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B64A8" w:rsidRDefault="00AB64A8" w:rsidP="00AB64A8">
      <w:pPr>
        <w:pStyle w:val="Title"/>
        <w:jc w:val="center"/>
      </w:pPr>
    </w:p>
    <w:p w:rsidR="00AB64A8" w:rsidRDefault="00A557CC" w:rsidP="00AB64A8">
      <w:pPr>
        <w:pStyle w:val="Title"/>
        <w:jc w:val="center"/>
      </w:pPr>
      <w:r>
        <w:rPr>
          <w:noProof/>
        </w:rPr>
        <w:drawing>
          <wp:inline distT="0" distB="0" distL="0" distR="0">
            <wp:extent cx="3337560" cy="1668780"/>
            <wp:effectExtent l="0" t="0" r="0" b="0"/>
            <wp:docPr id="162571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337560" cy="1668780"/>
                    </a:xfrm>
                    <a:prstGeom prst="rect">
                      <a:avLst/>
                    </a:prstGeom>
                    <a:noFill/>
                  </pic:spPr>
                </pic:pic>
              </a:graphicData>
            </a:graphic>
          </wp:inline>
        </w:drawing>
      </w:r>
    </w:p>
    <w:p w:rsidR="00AB64A8" w:rsidRDefault="00AB64A8" w:rsidP="00A557CC">
      <w:pPr>
        <w:pStyle w:val="Title"/>
      </w:pPr>
    </w:p>
    <w:p w:rsidR="00AB64A8" w:rsidRDefault="00AB64A8" w:rsidP="00AB64A8">
      <w:pPr>
        <w:pStyle w:val="Title"/>
        <w:jc w:val="center"/>
      </w:pPr>
    </w:p>
    <w:p w:rsidR="00FB1251" w:rsidRDefault="0013519D" w:rsidP="00AB64A8">
      <w:pPr>
        <w:pStyle w:val="Title"/>
        <w:jc w:val="center"/>
        <w:rPr>
          <w:lang w:val="en-GB"/>
        </w:rPr>
      </w:pPr>
      <w:r w:rsidRPr="0013519D">
        <w:t>BA Business Management</w:t>
      </w:r>
    </w:p>
    <w:p w:rsidR="00FB1251" w:rsidRDefault="00AB64A8" w:rsidP="00AB64A8">
      <w:pPr>
        <w:pStyle w:val="Title"/>
        <w:jc w:val="center"/>
        <w:rPr>
          <w:lang w:val="en-GB"/>
        </w:rPr>
      </w:pPr>
      <w:r w:rsidRPr="00AB64A8">
        <w:t>Introducing the Modern Workplace LCBB4003</w:t>
      </w:r>
    </w:p>
    <w:p w:rsidR="0013519D" w:rsidRDefault="0013519D" w:rsidP="0013519D">
      <w:pPr>
        <w:rPr>
          <w:lang w:val="en-GB"/>
        </w:rPr>
      </w:pPr>
    </w:p>
    <w:p w:rsidR="0013519D" w:rsidRDefault="0013519D" w:rsidP="0013519D">
      <w:pPr>
        <w:rPr>
          <w:lang w:val="en-GB"/>
        </w:rPr>
      </w:pPr>
    </w:p>
    <w:p w:rsidR="0013519D" w:rsidRDefault="0013519D" w:rsidP="0013519D">
      <w:pPr>
        <w:rPr>
          <w:lang w:val="en-GB"/>
        </w:rPr>
      </w:pPr>
    </w:p>
    <w:p w:rsidR="003E2F29" w:rsidRDefault="003E2F29" w:rsidP="0013519D">
      <w:pPr>
        <w:rPr>
          <w:lang w:val="en-GB"/>
        </w:rPr>
      </w:pPr>
    </w:p>
    <w:p w:rsidR="003E2F29" w:rsidRDefault="003E2F29" w:rsidP="0013519D">
      <w:pPr>
        <w:rPr>
          <w:lang w:val="en-GB"/>
        </w:rPr>
      </w:pPr>
    </w:p>
    <w:p w:rsidR="0013519D" w:rsidRDefault="0013519D" w:rsidP="0013519D">
      <w:pPr>
        <w:rPr>
          <w:lang w:val="en-GB"/>
        </w:rPr>
      </w:pPr>
    </w:p>
    <w:p w:rsidR="0013519D" w:rsidRPr="003E2F29" w:rsidRDefault="00A557CC" w:rsidP="0013519D">
      <w:pPr>
        <w:rPr>
          <w:sz w:val="40"/>
          <w:szCs w:val="40"/>
          <w:lang w:val="en-GB"/>
        </w:rPr>
      </w:pPr>
      <w:r w:rsidRPr="003E2F29">
        <w:rPr>
          <w:sz w:val="40"/>
          <w:szCs w:val="40"/>
          <w:lang w:val="en-GB"/>
        </w:rPr>
        <w:t>Fizesan Florin -2116189</w:t>
      </w:r>
    </w:p>
    <w:p w:rsidR="0013519D" w:rsidRDefault="0013519D" w:rsidP="0013519D">
      <w:pPr>
        <w:rPr>
          <w:lang w:val="en-GB"/>
        </w:rPr>
      </w:pPr>
    </w:p>
    <w:p w:rsidR="0013519D" w:rsidRDefault="0013519D" w:rsidP="0013519D">
      <w:pPr>
        <w:rPr>
          <w:lang w:val="en-GB"/>
        </w:rPr>
      </w:pPr>
    </w:p>
    <w:p w:rsidR="00FB1251" w:rsidRDefault="00FB1251" w:rsidP="005028BF">
      <w:pPr>
        <w:pStyle w:val="Heading1"/>
        <w:rPr>
          <w:lang w:val="en-GB"/>
        </w:rPr>
      </w:pPr>
    </w:p>
    <w:p w:rsidR="001470BC" w:rsidRDefault="001470BC" w:rsidP="001470BC">
      <w:pPr>
        <w:rPr>
          <w:lang w:val="en-GB"/>
        </w:rPr>
      </w:pPr>
    </w:p>
    <w:p w:rsidR="001470BC" w:rsidRDefault="001470BC" w:rsidP="001470BC">
      <w:pPr>
        <w:rPr>
          <w:lang w:val="en-GB"/>
        </w:rPr>
      </w:pPr>
    </w:p>
    <w:p w:rsidR="001470BC" w:rsidRPr="001470BC" w:rsidRDefault="001470BC" w:rsidP="001470BC">
      <w:pPr>
        <w:rPr>
          <w:lang w:val="en-GB"/>
        </w:rPr>
      </w:pPr>
    </w:p>
    <w:sdt>
      <w:sdtPr>
        <w:rPr>
          <w:rFonts w:asciiTheme="minorHAnsi" w:eastAsiaTheme="minorHAnsi" w:hAnsiTheme="minorHAnsi" w:cstheme="minorBidi"/>
          <w:color w:val="auto"/>
          <w:kern w:val="2"/>
          <w:sz w:val="22"/>
          <w:szCs w:val="22"/>
        </w:rPr>
        <w:id w:val="1738290406"/>
        <w:docPartObj>
          <w:docPartGallery w:val="Table of Contents"/>
          <w:docPartUnique/>
        </w:docPartObj>
      </w:sdtPr>
      <w:sdtEndPr>
        <w:rPr>
          <w:b/>
          <w:bCs/>
          <w:noProof/>
        </w:rPr>
      </w:sdtEndPr>
      <w:sdtContent>
        <w:p w:rsidR="00FB1251" w:rsidRDefault="00FB1251">
          <w:pPr>
            <w:pStyle w:val="TOCHeading"/>
          </w:pPr>
          <w:r>
            <w:t>Table of Contents</w:t>
          </w:r>
        </w:p>
        <w:p w:rsidR="00FB1251" w:rsidRDefault="00470C90">
          <w:pPr>
            <w:pStyle w:val="TOC1"/>
            <w:tabs>
              <w:tab w:val="right" w:leader="dot" w:pos="9350"/>
            </w:tabs>
            <w:rPr>
              <w:rFonts w:eastAsiaTheme="minorEastAsia"/>
              <w:noProof/>
              <w:lang w:val="en-GB" w:eastAsia="en-GB"/>
            </w:rPr>
          </w:pPr>
          <w:r w:rsidRPr="00470C90">
            <w:fldChar w:fldCharType="begin"/>
          </w:r>
          <w:r w:rsidR="00FB1251">
            <w:instrText xml:space="preserve"> TOC \o "1-3" \h \z \u </w:instrText>
          </w:r>
          <w:r w:rsidRPr="00470C90">
            <w:fldChar w:fldCharType="separate"/>
          </w:r>
          <w:hyperlink w:anchor="_Toc153834161" w:history="1">
            <w:r w:rsidR="00FB1251" w:rsidRPr="0025169A">
              <w:rPr>
                <w:rStyle w:val="Hyperlink"/>
                <w:noProof/>
                <w:lang w:val="en-GB"/>
              </w:rPr>
              <w:t>Introduction</w:t>
            </w:r>
            <w:r w:rsidR="00FB1251">
              <w:rPr>
                <w:noProof/>
                <w:webHidden/>
              </w:rPr>
              <w:tab/>
            </w:r>
            <w:r>
              <w:rPr>
                <w:noProof/>
                <w:webHidden/>
              </w:rPr>
              <w:fldChar w:fldCharType="begin"/>
            </w:r>
            <w:r w:rsidR="00FB1251">
              <w:rPr>
                <w:noProof/>
                <w:webHidden/>
              </w:rPr>
              <w:instrText xml:space="preserve"> PAGEREF _Toc153834161 \h </w:instrText>
            </w:r>
            <w:r>
              <w:rPr>
                <w:noProof/>
                <w:webHidden/>
              </w:rPr>
            </w:r>
            <w:r>
              <w:rPr>
                <w:noProof/>
                <w:webHidden/>
              </w:rPr>
              <w:fldChar w:fldCharType="separate"/>
            </w:r>
            <w:r w:rsidR="00FB1251">
              <w:rPr>
                <w:noProof/>
                <w:webHidden/>
              </w:rPr>
              <w:t>2</w:t>
            </w:r>
            <w:r>
              <w:rPr>
                <w:noProof/>
                <w:webHidden/>
              </w:rPr>
              <w:fldChar w:fldCharType="end"/>
            </w:r>
          </w:hyperlink>
        </w:p>
        <w:p w:rsidR="00FB1251" w:rsidRDefault="00470C90">
          <w:pPr>
            <w:pStyle w:val="TOC1"/>
            <w:tabs>
              <w:tab w:val="right" w:leader="dot" w:pos="9350"/>
            </w:tabs>
            <w:rPr>
              <w:rFonts w:eastAsiaTheme="minorEastAsia"/>
              <w:noProof/>
              <w:lang w:val="en-GB" w:eastAsia="en-GB"/>
            </w:rPr>
          </w:pPr>
          <w:hyperlink w:anchor="_Toc153834162" w:history="1">
            <w:r w:rsidR="00FB1251" w:rsidRPr="0025169A">
              <w:rPr>
                <w:rStyle w:val="Hyperlink"/>
                <w:noProof/>
                <w:lang w:val="en-GB"/>
              </w:rPr>
              <w:t>Organisational Structure of AstraZeneca</w:t>
            </w:r>
            <w:r w:rsidR="00FB1251">
              <w:rPr>
                <w:noProof/>
                <w:webHidden/>
              </w:rPr>
              <w:tab/>
            </w:r>
            <w:r>
              <w:rPr>
                <w:noProof/>
                <w:webHidden/>
              </w:rPr>
              <w:fldChar w:fldCharType="begin"/>
            </w:r>
            <w:r w:rsidR="00FB1251">
              <w:rPr>
                <w:noProof/>
                <w:webHidden/>
              </w:rPr>
              <w:instrText xml:space="preserve"> PAGEREF _Toc153834162 \h </w:instrText>
            </w:r>
            <w:r>
              <w:rPr>
                <w:noProof/>
                <w:webHidden/>
              </w:rPr>
            </w:r>
            <w:r>
              <w:rPr>
                <w:noProof/>
                <w:webHidden/>
              </w:rPr>
              <w:fldChar w:fldCharType="separate"/>
            </w:r>
            <w:r w:rsidR="00FB1251">
              <w:rPr>
                <w:noProof/>
                <w:webHidden/>
              </w:rPr>
              <w:t>2</w:t>
            </w:r>
            <w:r>
              <w:rPr>
                <w:noProof/>
                <w:webHidden/>
              </w:rPr>
              <w:fldChar w:fldCharType="end"/>
            </w:r>
          </w:hyperlink>
        </w:p>
        <w:p w:rsidR="00FB1251" w:rsidRDefault="00470C90">
          <w:pPr>
            <w:pStyle w:val="TOC1"/>
            <w:tabs>
              <w:tab w:val="right" w:leader="dot" w:pos="9350"/>
            </w:tabs>
            <w:rPr>
              <w:rFonts w:eastAsiaTheme="minorEastAsia"/>
              <w:noProof/>
              <w:lang w:val="en-GB" w:eastAsia="en-GB"/>
            </w:rPr>
          </w:pPr>
          <w:hyperlink w:anchor="_Toc153834163" w:history="1">
            <w:r w:rsidR="00FB1251" w:rsidRPr="0025169A">
              <w:rPr>
                <w:rStyle w:val="Hyperlink"/>
                <w:noProof/>
                <w:lang w:val="en-GB"/>
              </w:rPr>
              <w:t>Relationship Between Structure and Performance</w:t>
            </w:r>
            <w:r w:rsidR="00FB1251">
              <w:rPr>
                <w:noProof/>
                <w:webHidden/>
              </w:rPr>
              <w:tab/>
            </w:r>
            <w:r>
              <w:rPr>
                <w:noProof/>
                <w:webHidden/>
              </w:rPr>
              <w:fldChar w:fldCharType="begin"/>
            </w:r>
            <w:r w:rsidR="00FB1251">
              <w:rPr>
                <w:noProof/>
                <w:webHidden/>
              </w:rPr>
              <w:instrText xml:space="preserve"> PAGEREF _Toc153834163 \h </w:instrText>
            </w:r>
            <w:r>
              <w:rPr>
                <w:noProof/>
                <w:webHidden/>
              </w:rPr>
            </w:r>
            <w:r>
              <w:rPr>
                <w:noProof/>
                <w:webHidden/>
              </w:rPr>
              <w:fldChar w:fldCharType="separate"/>
            </w:r>
            <w:r w:rsidR="00FB1251">
              <w:rPr>
                <w:noProof/>
                <w:webHidden/>
              </w:rPr>
              <w:t>4</w:t>
            </w:r>
            <w:r>
              <w:rPr>
                <w:noProof/>
                <w:webHidden/>
              </w:rPr>
              <w:fldChar w:fldCharType="end"/>
            </w:r>
          </w:hyperlink>
        </w:p>
        <w:p w:rsidR="00FB1251" w:rsidRDefault="00470C90">
          <w:pPr>
            <w:pStyle w:val="TOC2"/>
            <w:tabs>
              <w:tab w:val="right" w:leader="dot" w:pos="9350"/>
            </w:tabs>
            <w:rPr>
              <w:rFonts w:eastAsiaTheme="minorEastAsia"/>
              <w:noProof/>
              <w:lang w:val="en-GB" w:eastAsia="en-GB"/>
            </w:rPr>
          </w:pPr>
          <w:hyperlink w:anchor="_Toc153834164" w:history="1">
            <w:r w:rsidR="00FB1251" w:rsidRPr="0025169A">
              <w:rPr>
                <w:rStyle w:val="Hyperlink"/>
                <w:noProof/>
                <w:lang w:val="en-GB"/>
              </w:rPr>
              <w:t>Supporting Business Goals</w:t>
            </w:r>
            <w:r w:rsidR="00FB1251">
              <w:rPr>
                <w:noProof/>
                <w:webHidden/>
              </w:rPr>
              <w:tab/>
            </w:r>
            <w:r>
              <w:rPr>
                <w:noProof/>
                <w:webHidden/>
              </w:rPr>
              <w:fldChar w:fldCharType="begin"/>
            </w:r>
            <w:r w:rsidR="00FB1251">
              <w:rPr>
                <w:noProof/>
                <w:webHidden/>
              </w:rPr>
              <w:instrText xml:space="preserve"> PAGEREF _Toc153834164 \h </w:instrText>
            </w:r>
            <w:r>
              <w:rPr>
                <w:noProof/>
                <w:webHidden/>
              </w:rPr>
            </w:r>
            <w:r>
              <w:rPr>
                <w:noProof/>
                <w:webHidden/>
              </w:rPr>
              <w:fldChar w:fldCharType="separate"/>
            </w:r>
            <w:r w:rsidR="00FB1251">
              <w:rPr>
                <w:noProof/>
                <w:webHidden/>
              </w:rPr>
              <w:t>4</w:t>
            </w:r>
            <w:r>
              <w:rPr>
                <w:noProof/>
                <w:webHidden/>
              </w:rPr>
              <w:fldChar w:fldCharType="end"/>
            </w:r>
          </w:hyperlink>
        </w:p>
        <w:p w:rsidR="00FB1251" w:rsidRDefault="00470C90">
          <w:pPr>
            <w:pStyle w:val="TOC2"/>
            <w:tabs>
              <w:tab w:val="right" w:leader="dot" w:pos="9350"/>
            </w:tabs>
            <w:rPr>
              <w:rFonts w:eastAsiaTheme="minorEastAsia"/>
              <w:noProof/>
              <w:lang w:val="en-GB" w:eastAsia="en-GB"/>
            </w:rPr>
          </w:pPr>
          <w:hyperlink w:anchor="_Toc153834165" w:history="1">
            <w:r w:rsidR="00FB1251" w:rsidRPr="0025169A">
              <w:rPr>
                <w:rStyle w:val="Hyperlink"/>
                <w:noProof/>
                <w:lang w:val="en-GB"/>
              </w:rPr>
              <w:t>Impact on Innovation</w:t>
            </w:r>
            <w:r w:rsidR="00FB1251">
              <w:rPr>
                <w:noProof/>
                <w:webHidden/>
              </w:rPr>
              <w:tab/>
            </w:r>
            <w:r>
              <w:rPr>
                <w:noProof/>
                <w:webHidden/>
              </w:rPr>
              <w:fldChar w:fldCharType="begin"/>
            </w:r>
            <w:r w:rsidR="00FB1251">
              <w:rPr>
                <w:noProof/>
                <w:webHidden/>
              </w:rPr>
              <w:instrText xml:space="preserve"> PAGEREF _Toc153834165 \h </w:instrText>
            </w:r>
            <w:r>
              <w:rPr>
                <w:noProof/>
                <w:webHidden/>
              </w:rPr>
            </w:r>
            <w:r>
              <w:rPr>
                <w:noProof/>
                <w:webHidden/>
              </w:rPr>
              <w:fldChar w:fldCharType="separate"/>
            </w:r>
            <w:r w:rsidR="00FB1251">
              <w:rPr>
                <w:noProof/>
                <w:webHidden/>
              </w:rPr>
              <w:t>4</w:t>
            </w:r>
            <w:r>
              <w:rPr>
                <w:noProof/>
                <w:webHidden/>
              </w:rPr>
              <w:fldChar w:fldCharType="end"/>
            </w:r>
          </w:hyperlink>
        </w:p>
        <w:p w:rsidR="00FB1251" w:rsidRDefault="00470C90">
          <w:pPr>
            <w:pStyle w:val="TOC2"/>
            <w:tabs>
              <w:tab w:val="right" w:leader="dot" w:pos="9350"/>
            </w:tabs>
            <w:rPr>
              <w:rFonts w:eastAsiaTheme="minorEastAsia"/>
              <w:noProof/>
              <w:lang w:val="en-GB" w:eastAsia="en-GB"/>
            </w:rPr>
          </w:pPr>
          <w:hyperlink w:anchor="_Toc153834166" w:history="1">
            <w:r w:rsidR="00FB1251" w:rsidRPr="0025169A">
              <w:rPr>
                <w:rStyle w:val="Hyperlink"/>
                <w:noProof/>
                <w:lang w:val="en-GB"/>
              </w:rPr>
              <w:t>Response to Market Changes</w:t>
            </w:r>
            <w:r w:rsidR="00FB1251">
              <w:rPr>
                <w:noProof/>
                <w:webHidden/>
              </w:rPr>
              <w:tab/>
            </w:r>
            <w:r>
              <w:rPr>
                <w:noProof/>
                <w:webHidden/>
              </w:rPr>
              <w:fldChar w:fldCharType="begin"/>
            </w:r>
            <w:r w:rsidR="00FB1251">
              <w:rPr>
                <w:noProof/>
                <w:webHidden/>
              </w:rPr>
              <w:instrText xml:space="preserve"> PAGEREF _Toc153834166 \h </w:instrText>
            </w:r>
            <w:r>
              <w:rPr>
                <w:noProof/>
                <w:webHidden/>
              </w:rPr>
            </w:r>
            <w:r>
              <w:rPr>
                <w:noProof/>
                <w:webHidden/>
              </w:rPr>
              <w:fldChar w:fldCharType="separate"/>
            </w:r>
            <w:r w:rsidR="00FB1251">
              <w:rPr>
                <w:noProof/>
                <w:webHidden/>
              </w:rPr>
              <w:t>4</w:t>
            </w:r>
            <w:r>
              <w:rPr>
                <w:noProof/>
                <w:webHidden/>
              </w:rPr>
              <w:fldChar w:fldCharType="end"/>
            </w:r>
          </w:hyperlink>
        </w:p>
        <w:p w:rsidR="00FB1251" w:rsidRDefault="00470C90">
          <w:pPr>
            <w:pStyle w:val="TOC2"/>
            <w:tabs>
              <w:tab w:val="right" w:leader="dot" w:pos="9350"/>
            </w:tabs>
            <w:rPr>
              <w:rFonts w:eastAsiaTheme="minorEastAsia"/>
              <w:noProof/>
              <w:lang w:val="en-GB" w:eastAsia="en-GB"/>
            </w:rPr>
          </w:pPr>
          <w:hyperlink w:anchor="_Toc153834167" w:history="1">
            <w:r w:rsidR="00FB1251" w:rsidRPr="0025169A">
              <w:rPr>
                <w:rStyle w:val="Hyperlink"/>
                <w:noProof/>
                <w:lang w:val="en-GB"/>
              </w:rPr>
              <w:t>Case Study: COVID-19 Vaccine Development</w:t>
            </w:r>
            <w:r w:rsidR="00FB1251">
              <w:rPr>
                <w:noProof/>
                <w:webHidden/>
              </w:rPr>
              <w:tab/>
            </w:r>
            <w:r>
              <w:rPr>
                <w:noProof/>
                <w:webHidden/>
              </w:rPr>
              <w:fldChar w:fldCharType="begin"/>
            </w:r>
            <w:r w:rsidR="00FB1251">
              <w:rPr>
                <w:noProof/>
                <w:webHidden/>
              </w:rPr>
              <w:instrText xml:space="preserve"> PAGEREF _Toc153834167 \h </w:instrText>
            </w:r>
            <w:r>
              <w:rPr>
                <w:noProof/>
                <w:webHidden/>
              </w:rPr>
            </w:r>
            <w:r>
              <w:rPr>
                <w:noProof/>
                <w:webHidden/>
              </w:rPr>
              <w:fldChar w:fldCharType="separate"/>
            </w:r>
            <w:r w:rsidR="00FB1251">
              <w:rPr>
                <w:noProof/>
                <w:webHidden/>
              </w:rPr>
              <w:t>5</w:t>
            </w:r>
            <w:r>
              <w:rPr>
                <w:noProof/>
                <w:webHidden/>
              </w:rPr>
              <w:fldChar w:fldCharType="end"/>
            </w:r>
          </w:hyperlink>
        </w:p>
        <w:p w:rsidR="00FB1251" w:rsidRDefault="00470C90">
          <w:pPr>
            <w:pStyle w:val="TOC1"/>
            <w:tabs>
              <w:tab w:val="right" w:leader="dot" w:pos="9350"/>
            </w:tabs>
            <w:rPr>
              <w:rFonts w:eastAsiaTheme="minorEastAsia"/>
              <w:noProof/>
              <w:lang w:val="en-GB" w:eastAsia="en-GB"/>
            </w:rPr>
          </w:pPr>
          <w:hyperlink w:anchor="_Toc153834168" w:history="1">
            <w:r w:rsidR="00FB1251" w:rsidRPr="0025169A">
              <w:rPr>
                <w:rStyle w:val="Hyperlink"/>
                <w:noProof/>
                <w:lang w:val="en-GB"/>
              </w:rPr>
              <w:t>Organisational Culture at AstraZeneca</w:t>
            </w:r>
            <w:r w:rsidR="00FB1251">
              <w:rPr>
                <w:noProof/>
                <w:webHidden/>
              </w:rPr>
              <w:tab/>
            </w:r>
            <w:r>
              <w:rPr>
                <w:noProof/>
                <w:webHidden/>
              </w:rPr>
              <w:fldChar w:fldCharType="begin"/>
            </w:r>
            <w:r w:rsidR="00FB1251">
              <w:rPr>
                <w:noProof/>
                <w:webHidden/>
              </w:rPr>
              <w:instrText xml:space="preserve"> PAGEREF _Toc153834168 \h </w:instrText>
            </w:r>
            <w:r>
              <w:rPr>
                <w:noProof/>
                <w:webHidden/>
              </w:rPr>
            </w:r>
            <w:r>
              <w:rPr>
                <w:noProof/>
                <w:webHidden/>
              </w:rPr>
              <w:fldChar w:fldCharType="separate"/>
            </w:r>
            <w:r w:rsidR="00FB1251">
              <w:rPr>
                <w:noProof/>
                <w:webHidden/>
              </w:rPr>
              <w:t>5</w:t>
            </w:r>
            <w:r>
              <w:rPr>
                <w:noProof/>
                <w:webHidden/>
              </w:rPr>
              <w:fldChar w:fldCharType="end"/>
            </w:r>
          </w:hyperlink>
        </w:p>
        <w:p w:rsidR="00FB1251" w:rsidRDefault="00470C90">
          <w:pPr>
            <w:pStyle w:val="TOC2"/>
            <w:tabs>
              <w:tab w:val="right" w:leader="dot" w:pos="9350"/>
            </w:tabs>
            <w:rPr>
              <w:rFonts w:eastAsiaTheme="minorEastAsia"/>
              <w:noProof/>
              <w:lang w:val="en-GB" w:eastAsia="en-GB"/>
            </w:rPr>
          </w:pPr>
          <w:hyperlink w:anchor="_Toc153834169" w:history="1">
            <w:r w:rsidR="00FB1251" w:rsidRPr="0025169A">
              <w:rPr>
                <w:rStyle w:val="Hyperlink"/>
                <w:noProof/>
                <w:lang w:val="en-GB"/>
              </w:rPr>
              <w:t>Analysis using Schein's Model</w:t>
            </w:r>
            <w:r w:rsidR="00FB1251">
              <w:rPr>
                <w:noProof/>
                <w:webHidden/>
              </w:rPr>
              <w:tab/>
            </w:r>
            <w:r>
              <w:rPr>
                <w:noProof/>
                <w:webHidden/>
              </w:rPr>
              <w:fldChar w:fldCharType="begin"/>
            </w:r>
            <w:r w:rsidR="00FB1251">
              <w:rPr>
                <w:noProof/>
                <w:webHidden/>
              </w:rPr>
              <w:instrText xml:space="preserve"> PAGEREF _Toc153834169 \h </w:instrText>
            </w:r>
            <w:r>
              <w:rPr>
                <w:noProof/>
                <w:webHidden/>
              </w:rPr>
            </w:r>
            <w:r>
              <w:rPr>
                <w:noProof/>
                <w:webHidden/>
              </w:rPr>
              <w:fldChar w:fldCharType="separate"/>
            </w:r>
            <w:r w:rsidR="00FB1251">
              <w:rPr>
                <w:noProof/>
                <w:webHidden/>
              </w:rPr>
              <w:t>5</w:t>
            </w:r>
            <w:r>
              <w:rPr>
                <w:noProof/>
                <w:webHidden/>
              </w:rPr>
              <w:fldChar w:fldCharType="end"/>
            </w:r>
          </w:hyperlink>
        </w:p>
        <w:p w:rsidR="00FB1251" w:rsidRDefault="00470C90">
          <w:pPr>
            <w:pStyle w:val="TOC3"/>
            <w:tabs>
              <w:tab w:val="right" w:leader="dot" w:pos="9350"/>
            </w:tabs>
            <w:rPr>
              <w:rFonts w:eastAsiaTheme="minorEastAsia"/>
              <w:noProof/>
              <w:lang w:val="en-GB" w:eastAsia="en-GB"/>
            </w:rPr>
          </w:pPr>
          <w:hyperlink w:anchor="_Toc153834170" w:history="1">
            <w:r w:rsidR="00FB1251" w:rsidRPr="0025169A">
              <w:rPr>
                <w:rStyle w:val="Hyperlink"/>
                <w:noProof/>
                <w:lang w:val="en-GB"/>
              </w:rPr>
              <w:t>Artifacts:</w:t>
            </w:r>
            <w:r w:rsidR="00FB1251">
              <w:rPr>
                <w:noProof/>
                <w:webHidden/>
              </w:rPr>
              <w:tab/>
            </w:r>
            <w:r>
              <w:rPr>
                <w:noProof/>
                <w:webHidden/>
              </w:rPr>
              <w:fldChar w:fldCharType="begin"/>
            </w:r>
            <w:r w:rsidR="00FB1251">
              <w:rPr>
                <w:noProof/>
                <w:webHidden/>
              </w:rPr>
              <w:instrText xml:space="preserve"> PAGEREF _Toc153834170 \h </w:instrText>
            </w:r>
            <w:r>
              <w:rPr>
                <w:noProof/>
                <w:webHidden/>
              </w:rPr>
            </w:r>
            <w:r>
              <w:rPr>
                <w:noProof/>
                <w:webHidden/>
              </w:rPr>
              <w:fldChar w:fldCharType="separate"/>
            </w:r>
            <w:r w:rsidR="00FB1251">
              <w:rPr>
                <w:noProof/>
                <w:webHidden/>
              </w:rPr>
              <w:t>6</w:t>
            </w:r>
            <w:r>
              <w:rPr>
                <w:noProof/>
                <w:webHidden/>
              </w:rPr>
              <w:fldChar w:fldCharType="end"/>
            </w:r>
          </w:hyperlink>
        </w:p>
        <w:p w:rsidR="00FB1251" w:rsidRDefault="00470C90">
          <w:pPr>
            <w:pStyle w:val="TOC3"/>
            <w:tabs>
              <w:tab w:val="right" w:leader="dot" w:pos="9350"/>
            </w:tabs>
            <w:rPr>
              <w:rFonts w:eastAsiaTheme="minorEastAsia"/>
              <w:noProof/>
              <w:lang w:val="en-GB" w:eastAsia="en-GB"/>
            </w:rPr>
          </w:pPr>
          <w:hyperlink w:anchor="_Toc153834171" w:history="1">
            <w:r w:rsidR="00FB1251" w:rsidRPr="0025169A">
              <w:rPr>
                <w:rStyle w:val="Hyperlink"/>
                <w:noProof/>
                <w:lang w:val="en-GB"/>
              </w:rPr>
              <w:t>Espoused Values</w:t>
            </w:r>
            <w:r w:rsidR="00FB1251">
              <w:rPr>
                <w:noProof/>
                <w:webHidden/>
              </w:rPr>
              <w:tab/>
            </w:r>
            <w:r>
              <w:rPr>
                <w:noProof/>
                <w:webHidden/>
              </w:rPr>
              <w:fldChar w:fldCharType="begin"/>
            </w:r>
            <w:r w:rsidR="00FB1251">
              <w:rPr>
                <w:noProof/>
                <w:webHidden/>
              </w:rPr>
              <w:instrText xml:space="preserve"> PAGEREF _Toc153834171 \h </w:instrText>
            </w:r>
            <w:r>
              <w:rPr>
                <w:noProof/>
                <w:webHidden/>
              </w:rPr>
            </w:r>
            <w:r>
              <w:rPr>
                <w:noProof/>
                <w:webHidden/>
              </w:rPr>
              <w:fldChar w:fldCharType="separate"/>
            </w:r>
            <w:r w:rsidR="00FB1251">
              <w:rPr>
                <w:noProof/>
                <w:webHidden/>
              </w:rPr>
              <w:t>6</w:t>
            </w:r>
            <w:r>
              <w:rPr>
                <w:noProof/>
                <w:webHidden/>
              </w:rPr>
              <w:fldChar w:fldCharType="end"/>
            </w:r>
          </w:hyperlink>
        </w:p>
        <w:p w:rsidR="00FB1251" w:rsidRDefault="00470C90">
          <w:pPr>
            <w:pStyle w:val="TOC3"/>
            <w:tabs>
              <w:tab w:val="right" w:leader="dot" w:pos="9350"/>
            </w:tabs>
            <w:rPr>
              <w:rFonts w:eastAsiaTheme="minorEastAsia"/>
              <w:noProof/>
              <w:lang w:val="en-GB" w:eastAsia="en-GB"/>
            </w:rPr>
          </w:pPr>
          <w:hyperlink w:anchor="_Toc153834172" w:history="1">
            <w:r w:rsidR="00FB1251" w:rsidRPr="0025169A">
              <w:rPr>
                <w:rStyle w:val="Hyperlink"/>
                <w:noProof/>
                <w:lang w:val="en-GB"/>
              </w:rPr>
              <w:t>Basic Underlying Assumptions</w:t>
            </w:r>
            <w:r w:rsidR="00FB1251">
              <w:rPr>
                <w:noProof/>
                <w:webHidden/>
              </w:rPr>
              <w:tab/>
            </w:r>
            <w:r>
              <w:rPr>
                <w:noProof/>
                <w:webHidden/>
              </w:rPr>
              <w:fldChar w:fldCharType="begin"/>
            </w:r>
            <w:r w:rsidR="00FB1251">
              <w:rPr>
                <w:noProof/>
                <w:webHidden/>
              </w:rPr>
              <w:instrText xml:space="preserve"> PAGEREF _Toc153834172 \h </w:instrText>
            </w:r>
            <w:r>
              <w:rPr>
                <w:noProof/>
                <w:webHidden/>
              </w:rPr>
            </w:r>
            <w:r>
              <w:rPr>
                <w:noProof/>
                <w:webHidden/>
              </w:rPr>
              <w:fldChar w:fldCharType="separate"/>
            </w:r>
            <w:r w:rsidR="00FB1251">
              <w:rPr>
                <w:noProof/>
                <w:webHidden/>
              </w:rPr>
              <w:t>6</w:t>
            </w:r>
            <w:r>
              <w:rPr>
                <w:noProof/>
                <w:webHidden/>
              </w:rPr>
              <w:fldChar w:fldCharType="end"/>
            </w:r>
          </w:hyperlink>
        </w:p>
        <w:p w:rsidR="00FB1251" w:rsidRDefault="00470C90">
          <w:pPr>
            <w:pStyle w:val="TOC3"/>
            <w:tabs>
              <w:tab w:val="right" w:leader="dot" w:pos="9350"/>
            </w:tabs>
            <w:rPr>
              <w:rFonts w:eastAsiaTheme="minorEastAsia"/>
              <w:noProof/>
              <w:lang w:val="en-GB" w:eastAsia="en-GB"/>
            </w:rPr>
          </w:pPr>
          <w:hyperlink w:anchor="_Toc153834173" w:history="1">
            <w:r w:rsidR="00FB1251" w:rsidRPr="0025169A">
              <w:rPr>
                <w:rStyle w:val="Hyperlink"/>
                <w:noProof/>
                <w:lang w:val="en-GB"/>
              </w:rPr>
              <w:t>Alignment with Goals and Strategies</w:t>
            </w:r>
            <w:r w:rsidR="00FB1251">
              <w:rPr>
                <w:noProof/>
                <w:webHidden/>
              </w:rPr>
              <w:tab/>
            </w:r>
            <w:r>
              <w:rPr>
                <w:noProof/>
                <w:webHidden/>
              </w:rPr>
              <w:fldChar w:fldCharType="begin"/>
            </w:r>
            <w:r w:rsidR="00FB1251">
              <w:rPr>
                <w:noProof/>
                <w:webHidden/>
              </w:rPr>
              <w:instrText xml:space="preserve"> PAGEREF _Toc153834173 \h </w:instrText>
            </w:r>
            <w:r>
              <w:rPr>
                <w:noProof/>
                <w:webHidden/>
              </w:rPr>
            </w:r>
            <w:r>
              <w:rPr>
                <w:noProof/>
                <w:webHidden/>
              </w:rPr>
              <w:fldChar w:fldCharType="separate"/>
            </w:r>
            <w:r w:rsidR="00FB1251">
              <w:rPr>
                <w:noProof/>
                <w:webHidden/>
              </w:rPr>
              <w:t>6</w:t>
            </w:r>
            <w:r>
              <w:rPr>
                <w:noProof/>
                <w:webHidden/>
              </w:rPr>
              <w:fldChar w:fldCharType="end"/>
            </w:r>
          </w:hyperlink>
        </w:p>
        <w:p w:rsidR="00FB1251" w:rsidRDefault="00470C90">
          <w:pPr>
            <w:pStyle w:val="TOC1"/>
            <w:tabs>
              <w:tab w:val="right" w:leader="dot" w:pos="9350"/>
            </w:tabs>
            <w:rPr>
              <w:rFonts w:eastAsiaTheme="minorEastAsia"/>
              <w:noProof/>
              <w:lang w:val="en-GB" w:eastAsia="en-GB"/>
            </w:rPr>
          </w:pPr>
          <w:hyperlink w:anchor="_Toc153834174" w:history="1">
            <w:r w:rsidR="00FB1251" w:rsidRPr="0025169A">
              <w:rPr>
                <w:rStyle w:val="Hyperlink"/>
                <w:noProof/>
                <w:lang w:val="en-GB"/>
              </w:rPr>
              <w:t>Culture and Performance</w:t>
            </w:r>
            <w:r w:rsidR="00FB1251">
              <w:rPr>
                <w:noProof/>
                <w:webHidden/>
              </w:rPr>
              <w:tab/>
            </w:r>
            <w:r>
              <w:rPr>
                <w:noProof/>
                <w:webHidden/>
              </w:rPr>
              <w:fldChar w:fldCharType="begin"/>
            </w:r>
            <w:r w:rsidR="00FB1251">
              <w:rPr>
                <w:noProof/>
                <w:webHidden/>
              </w:rPr>
              <w:instrText xml:space="preserve"> PAGEREF _Toc153834174 \h </w:instrText>
            </w:r>
            <w:r>
              <w:rPr>
                <w:noProof/>
                <w:webHidden/>
              </w:rPr>
            </w:r>
            <w:r>
              <w:rPr>
                <w:noProof/>
                <w:webHidden/>
              </w:rPr>
              <w:fldChar w:fldCharType="separate"/>
            </w:r>
            <w:r w:rsidR="00FB1251">
              <w:rPr>
                <w:noProof/>
                <w:webHidden/>
              </w:rPr>
              <w:t>6</w:t>
            </w:r>
            <w:r>
              <w:rPr>
                <w:noProof/>
                <w:webHidden/>
              </w:rPr>
              <w:fldChar w:fldCharType="end"/>
            </w:r>
          </w:hyperlink>
        </w:p>
        <w:p w:rsidR="00FB1251" w:rsidRDefault="00470C90">
          <w:pPr>
            <w:pStyle w:val="TOC2"/>
            <w:tabs>
              <w:tab w:val="right" w:leader="dot" w:pos="9350"/>
            </w:tabs>
            <w:rPr>
              <w:rFonts w:eastAsiaTheme="minorEastAsia"/>
              <w:noProof/>
              <w:lang w:val="en-GB" w:eastAsia="en-GB"/>
            </w:rPr>
          </w:pPr>
          <w:hyperlink w:anchor="_Toc153834175" w:history="1">
            <w:r w:rsidR="00FB1251" w:rsidRPr="0025169A">
              <w:rPr>
                <w:rStyle w:val="Hyperlink"/>
                <w:noProof/>
                <w:lang w:val="en-GB"/>
              </w:rPr>
              <w:t>Motivating Employees and Fostering Innovation</w:t>
            </w:r>
            <w:r w:rsidR="00FB1251">
              <w:rPr>
                <w:noProof/>
                <w:webHidden/>
              </w:rPr>
              <w:tab/>
            </w:r>
            <w:r>
              <w:rPr>
                <w:noProof/>
                <w:webHidden/>
              </w:rPr>
              <w:fldChar w:fldCharType="begin"/>
            </w:r>
            <w:r w:rsidR="00FB1251">
              <w:rPr>
                <w:noProof/>
                <w:webHidden/>
              </w:rPr>
              <w:instrText xml:space="preserve"> PAGEREF _Toc153834175 \h </w:instrText>
            </w:r>
            <w:r>
              <w:rPr>
                <w:noProof/>
                <w:webHidden/>
              </w:rPr>
            </w:r>
            <w:r>
              <w:rPr>
                <w:noProof/>
                <w:webHidden/>
              </w:rPr>
              <w:fldChar w:fldCharType="separate"/>
            </w:r>
            <w:r w:rsidR="00FB1251">
              <w:rPr>
                <w:noProof/>
                <w:webHidden/>
              </w:rPr>
              <w:t>7</w:t>
            </w:r>
            <w:r>
              <w:rPr>
                <w:noProof/>
                <w:webHidden/>
              </w:rPr>
              <w:fldChar w:fldCharType="end"/>
            </w:r>
          </w:hyperlink>
        </w:p>
        <w:p w:rsidR="00FB1251" w:rsidRDefault="00470C90">
          <w:pPr>
            <w:pStyle w:val="TOC2"/>
            <w:tabs>
              <w:tab w:val="right" w:leader="dot" w:pos="9350"/>
            </w:tabs>
            <w:rPr>
              <w:rFonts w:eastAsiaTheme="minorEastAsia"/>
              <w:noProof/>
              <w:lang w:val="en-GB" w:eastAsia="en-GB"/>
            </w:rPr>
          </w:pPr>
          <w:hyperlink w:anchor="_Toc153834176" w:history="1">
            <w:r w:rsidR="00FB1251" w:rsidRPr="0025169A">
              <w:rPr>
                <w:rStyle w:val="Hyperlink"/>
                <w:noProof/>
                <w:lang w:val="en-GB"/>
              </w:rPr>
              <w:t>Impact on Public Image and Stakeholder Relations</w:t>
            </w:r>
            <w:r w:rsidR="00FB1251">
              <w:rPr>
                <w:noProof/>
                <w:webHidden/>
              </w:rPr>
              <w:tab/>
            </w:r>
            <w:r>
              <w:rPr>
                <w:noProof/>
                <w:webHidden/>
              </w:rPr>
              <w:fldChar w:fldCharType="begin"/>
            </w:r>
            <w:r w:rsidR="00FB1251">
              <w:rPr>
                <w:noProof/>
                <w:webHidden/>
              </w:rPr>
              <w:instrText xml:space="preserve"> PAGEREF _Toc153834176 \h </w:instrText>
            </w:r>
            <w:r>
              <w:rPr>
                <w:noProof/>
                <w:webHidden/>
              </w:rPr>
            </w:r>
            <w:r>
              <w:rPr>
                <w:noProof/>
                <w:webHidden/>
              </w:rPr>
              <w:fldChar w:fldCharType="separate"/>
            </w:r>
            <w:r w:rsidR="00FB1251">
              <w:rPr>
                <w:noProof/>
                <w:webHidden/>
              </w:rPr>
              <w:t>7</w:t>
            </w:r>
            <w:r>
              <w:rPr>
                <w:noProof/>
                <w:webHidden/>
              </w:rPr>
              <w:fldChar w:fldCharType="end"/>
            </w:r>
          </w:hyperlink>
        </w:p>
        <w:p w:rsidR="00FB1251" w:rsidRDefault="00470C90">
          <w:pPr>
            <w:pStyle w:val="TOC2"/>
            <w:tabs>
              <w:tab w:val="right" w:leader="dot" w:pos="9350"/>
            </w:tabs>
            <w:rPr>
              <w:rFonts w:eastAsiaTheme="minorEastAsia"/>
              <w:noProof/>
              <w:lang w:val="en-GB" w:eastAsia="en-GB"/>
            </w:rPr>
          </w:pPr>
          <w:hyperlink w:anchor="_Toc153834177" w:history="1">
            <w:r w:rsidR="00FB1251" w:rsidRPr="0025169A">
              <w:rPr>
                <w:rStyle w:val="Hyperlink"/>
                <w:noProof/>
                <w:lang w:val="en-GB"/>
              </w:rPr>
              <w:t>Influence on Business Outcomes</w:t>
            </w:r>
            <w:r w:rsidR="00FB1251">
              <w:rPr>
                <w:noProof/>
                <w:webHidden/>
              </w:rPr>
              <w:tab/>
            </w:r>
            <w:r>
              <w:rPr>
                <w:noProof/>
                <w:webHidden/>
              </w:rPr>
              <w:fldChar w:fldCharType="begin"/>
            </w:r>
            <w:r w:rsidR="00FB1251">
              <w:rPr>
                <w:noProof/>
                <w:webHidden/>
              </w:rPr>
              <w:instrText xml:space="preserve"> PAGEREF _Toc153834177 \h </w:instrText>
            </w:r>
            <w:r>
              <w:rPr>
                <w:noProof/>
                <w:webHidden/>
              </w:rPr>
            </w:r>
            <w:r>
              <w:rPr>
                <w:noProof/>
                <w:webHidden/>
              </w:rPr>
              <w:fldChar w:fldCharType="separate"/>
            </w:r>
            <w:r w:rsidR="00FB1251">
              <w:rPr>
                <w:noProof/>
                <w:webHidden/>
              </w:rPr>
              <w:t>7</w:t>
            </w:r>
            <w:r>
              <w:rPr>
                <w:noProof/>
                <w:webHidden/>
              </w:rPr>
              <w:fldChar w:fldCharType="end"/>
            </w:r>
          </w:hyperlink>
        </w:p>
        <w:p w:rsidR="00FB1251" w:rsidRDefault="00470C90">
          <w:pPr>
            <w:pStyle w:val="TOC1"/>
            <w:tabs>
              <w:tab w:val="right" w:leader="dot" w:pos="9350"/>
            </w:tabs>
            <w:rPr>
              <w:rFonts w:eastAsiaTheme="minorEastAsia"/>
              <w:noProof/>
              <w:lang w:val="en-GB" w:eastAsia="en-GB"/>
            </w:rPr>
          </w:pPr>
          <w:hyperlink w:anchor="_Toc153834178" w:history="1">
            <w:r w:rsidR="00FB1251" w:rsidRPr="0025169A">
              <w:rPr>
                <w:rStyle w:val="Hyperlink"/>
                <w:noProof/>
                <w:lang w:val="en-GB"/>
              </w:rPr>
              <w:t>Employee Motivation at AstraZeneca</w:t>
            </w:r>
            <w:r w:rsidR="00FB1251">
              <w:rPr>
                <w:noProof/>
                <w:webHidden/>
              </w:rPr>
              <w:tab/>
            </w:r>
            <w:r>
              <w:rPr>
                <w:noProof/>
                <w:webHidden/>
              </w:rPr>
              <w:fldChar w:fldCharType="begin"/>
            </w:r>
            <w:r w:rsidR="00FB1251">
              <w:rPr>
                <w:noProof/>
                <w:webHidden/>
              </w:rPr>
              <w:instrText xml:space="preserve"> PAGEREF _Toc153834178 \h </w:instrText>
            </w:r>
            <w:r>
              <w:rPr>
                <w:noProof/>
                <w:webHidden/>
              </w:rPr>
            </w:r>
            <w:r>
              <w:rPr>
                <w:noProof/>
                <w:webHidden/>
              </w:rPr>
              <w:fldChar w:fldCharType="separate"/>
            </w:r>
            <w:r w:rsidR="00FB1251">
              <w:rPr>
                <w:noProof/>
                <w:webHidden/>
              </w:rPr>
              <w:t>7</w:t>
            </w:r>
            <w:r>
              <w:rPr>
                <w:noProof/>
                <w:webHidden/>
              </w:rPr>
              <w:fldChar w:fldCharType="end"/>
            </w:r>
          </w:hyperlink>
        </w:p>
        <w:p w:rsidR="00FB1251" w:rsidRDefault="00470C90">
          <w:pPr>
            <w:pStyle w:val="TOC3"/>
            <w:tabs>
              <w:tab w:val="right" w:leader="dot" w:pos="9350"/>
            </w:tabs>
            <w:rPr>
              <w:rFonts w:eastAsiaTheme="minorEastAsia"/>
              <w:noProof/>
              <w:lang w:val="en-GB" w:eastAsia="en-GB"/>
            </w:rPr>
          </w:pPr>
          <w:hyperlink w:anchor="_Toc153834179" w:history="1">
            <w:r w:rsidR="00FB1251" w:rsidRPr="0025169A">
              <w:rPr>
                <w:rStyle w:val="Hyperlink"/>
                <w:noProof/>
                <w:lang w:val="en-GB"/>
              </w:rPr>
              <w:t>Motivational Strategies and Practices</w:t>
            </w:r>
            <w:r w:rsidR="00FB1251">
              <w:rPr>
                <w:noProof/>
                <w:webHidden/>
              </w:rPr>
              <w:tab/>
            </w:r>
            <w:r>
              <w:rPr>
                <w:noProof/>
                <w:webHidden/>
              </w:rPr>
              <w:fldChar w:fldCharType="begin"/>
            </w:r>
            <w:r w:rsidR="00FB1251">
              <w:rPr>
                <w:noProof/>
                <w:webHidden/>
              </w:rPr>
              <w:instrText xml:space="preserve"> PAGEREF _Toc153834179 \h </w:instrText>
            </w:r>
            <w:r>
              <w:rPr>
                <w:noProof/>
                <w:webHidden/>
              </w:rPr>
            </w:r>
            <w:r>
              <w:rPr>
                <w:noProof/>
                <w:webHidden/>
              </w:rPr>
              <w:fldChar w:fldCharType="separate"/>
            </w:r>
            <w:r w:rsidR="00FB1251">
              <w:rPr>
                <w:noProof/>
                <w:webHidden/>
              </w:rPr>
              <w:t>8</w:t>
            </w:r>
            <w:r>
              <w:rPr>
                <w:noProof/>
                <w:webHidden/>
              </w:rPr>
              <w:fldChar w:fldCharType="end"/>
            </w:r>
          </w:hyperlink>
        </w:p>
        <w:p w:rsidR="00FB1251" w:rsidRDefault="00470C90">
          <w:pPr>
            <w:pStyle w:val="TOC3"/>
            <w:tabs>
              <w:tab w:val="right" w:leader="dot" w:pos="9350"/>
            </w:tabs>
            <w:rPr>
              <w:rFonts w:eastAsiaTheme="minorEastAsia"/>
              <w:noProof/>
              <w:lang w:val="en-GB" w:eastAsia="en-GB"/>
            </w:rPr>
          </w:pPr>
          <w:hyperlink w:anchor="_Toc153834180" w:history="1">
            <w:r w:rsidR="00FB1251" w:rsidRPr="0025169A">
              <w:rPr>
                <w:rStyle w:val="Hyperlink"/>
                <w:noProof/>
                <w:lang w:val="en-GB"/>
              </w:rPr>
              <w:t>Role of Technology in Motivation</w:t>
            </w:r>
            <w:r w:rsidR="00FB1251">
              <w:rPr>
                <w:noProof/>
                <w:webHidden/>
              </w:rPr>
              <w:tab/>
            </w:r>
            <w:r>
              <w:rPr>
                <w:noProof/>
                <w:webHidden/>
              </w:rPr>
              <w:fldChar w:fldCharType="begin"/>
            </w:r>
            <w:r w:rsidR="00FB1251">
              <w:rPr>
                <w:noProof/>
                <w:webHidden/>
              </w:rPr>
              <w:instrText xml:space="preserve"> PAGEREF _Toc153834180 \h </w:instrText>
            </w:r>
            <w:r>
              <w:rPr>
                <w:noProof/>
                <w:webHidden/>
              </w:rPr>
            </w:r>
            <w:r>
              <w:rPr>
                <w:noProof/>
                <w:webHidden/>
              </w:rPr>
              <w:fldChar w:fldCharType="separate"/>
            </w:r>
            <w:r w:rsidR="00FB1251">
              <w:rPr>
                <w:noProof/>
                <w:webHidden/>
              </w:rPr>
              <w:t>8</w:t>
            </w:r>
            <w:r>
              <w:rPr>
                <w:noProof/>
                <w:webHidden/>
              </w:rPr>
              <w:fldChar w:fldCharType="end"/>
            </w:r>
          </w:hyperlink>
        </w:p>
        <w:p w:rsidR="00FB1251" w:rsidRDefault="00470C90">
          <w:pPr>
            <w:pStyle w:val="TOC3"/>
            <w:tabs>
              <w:tab w:val="right" w:leader="dot" w:pos="9350"/>
            </w:tabs>
            <w:rPr>
              <w:rFonts w:eastAsiaTheme="minorEastAsia"/>
              <w:noProof/>
              <w:lang w:val="en-GB" w:eastAsia="en-GB"/>
            </w:rPr>
          </w:pPr>
          <w:hyperlink w:anchor="_Toc153834181" w:history="1">
            <w:r w:rsidR="00FB1251" w:rsidRPr="0025169A">
              <w:rPr>
                <w:rStyle w:val="Hyperlink"/>
                <w:noProof/>
                <w:lang w:val="en-GB"/>
              </w:rPr>
              <w:t>Impact on Productivity, Job Satisfaction, and Retention</w:t>
            </w:r>
            <w:r w:rsidR="00FB1251">
              <w:rPr>
                <w:noProof/>
                <w:webHidden/>
              </w:rPr>
              <w:tab/>
            </w:r>
            <w:r>
              <w:rPr>
                <w:noProof/>
                <w:webHidden/>
              </w:rPr>
              <w:fldChar w:fldCharType="begin"/>
            </w:r>
            <w:r w:rsidR="00FB1251">
              <w:rPr>
                <w:noProof/>
                <w:webHidden/>
              </w:rPr>
              <w:instrText xml:space="preserve"> PAGEREF _Toc153834181 \h </w:instrText>
            </w:r>
            <w:r>
              <w:rPr>
                <w:noProof/>
                <w:webHidden/>
              </w:rPr>
            </w:r>
            <w:r>
              <w:rPr>
                <w:noProof/>
                <w:webHidden/>
              </w:rPr>
              <w:fldChar w:fldCharType="separate"/>
            </w:r>
            <w:r w:rsidR="00FB1251">
              <w:rPr>
                <w:noProof/>
                <w:webHidden/>
              </w:rPr>
              <w:t>8</w:t>
            </w:r>
            <w:r>
              <w:rPr>
                <w:noProof/>
                <w:webHidden/>
              </w:rPr>
              <w:fldChar w:fldCharType="end"/>
            </w:r>
          </w:hyperlink>
        </w:p>
        <w:p w:rsidR="00FB1251" w:rsidRDefault="00470C90">
          <w:pPr>
            <w:pStyle w:val="TOC1"/>
            <w:tabs>
              <w:tab w:val="right" w:leader="dot" w:pos="9350"/>
            </w:tabs>
            <w:rPr>
              <w:rFonts w:eastAsiaTheme="minorEastAsia"/>
              <w:noProof/>
              <w:lang w:val="en-GB" w:eastAsia="en-GB"/>
            </w:rPr>
          </w:pPr>
          <w:hyperlink w:anchor="_Toc153834182" w:history="1">
            <w:r w:rsidR="00FB1251" w:rsidRPr="0025169A">
              <w:rPr>
                <w:rStyle w:val="Hyperlink"/>
                <w:noProof/>
                <w:lang w:val="en-GB"/>
              </w:rPr>
              <w:t>Conclusion</w:t>
            </w:r>
            <w:r w:rsidR="00FB1251">
              <w:rPr>
                <w:noProof/>
                <w:webHidden/>
              </w:rPr>
              <w:tab/>
            </w:r>
            <w:r>
              <w:rPr>
                <w:noProof/>
                <w:webHidden/>
              </w:rPr>
              <w:fldChar w:fldCharType="begin"/>
            </w:r>
            <w:r w:rsidR="00FB1251">
              <w:rPr>
                <w:noProof/>
                <w:webHidden/>
              </w:rPr>
              <w:instrText xml:space="preserve"> PAGEREF _Toc153834182 \h </w:instrText>
            </w:r>
            <w:r>
              <w:rPr>
                <w:noProof/>
                <w:webHidden/>
              </w:rPr>
            </w:r>
            <w:r>
              <w:rPr>
                <w:noProof/>
                <w:webHidden/>
              </w:rPr>
              <w:fldChar w:fldCharType="separate"/>
            </w:r>
            <w:r w:rsidR="00FB1251">
              <w:rPr>
                <w:noProof/>
                <w:webHidden/>
              </w:rPr>
              <w:t>9</w:t>
            </w:r>
            <w:r>
              <w:rPr>
                <w:noProof/>
                <w:webHidden/>
              </w:rPr>
              <w:fldChar w:fldCharType="end"/>
            </w:r>
          </w:hyperlink>
        </w:p>
        <w:p w:rsidR="00FB1251" w:rsidRDefault="00470C90">
          <w:pPr>
            <w:pStyle w:val="TOC1"/>
            <w:tabs>
              <w:tab w:val="right" w:leader="dot" w:pos="9350"/>
            </w:tabs>
            <w:rPr>
              <w:rFonts w:eastAsiaTheme="minorEastAsia"/>
              <w:noProof/>
              <w:lang w:val="en-GB" w:eastAsia="en-GB"/>
            </w:rPr>
          </w:pPr>
          <w:hyperlink w:anchor="_Toc153834183" w:history="1">
            <w:r w:rsidR="00FB1251" w:rsidRPr="0025169A">
              <w:rPr>
                <w:rStyle w:val="Hyperlink"/>
                <w:noProof/>
                <w:lang w:val="en-GB"/>
              </w:rPr>
              <w:t>References</w:t>
            </w:r>
            <w:r w:rsidR="00FB1251">
              <w:rPr>
                <w:noProof/>
                <w:webHidden/>
              </w:rPr>
              <w:tab/>
            </w:r>
            <w:r>
              <w:rPr>
                <w:noProof/>
                <w:webHidden/>
              </w:rPr>
              <w:fldChar w:fldCharType="begin"/>
            </w:r>
            <w:r w:rsidR="00FB1251">
              <w:rPr>
                <w:noProof/>
                <w:webHidden/>
              </w:rPr>
              <w:instrText xml:space="preserve"> PAGEREF _Toc153834183 \h </w:instrText>
            </w:r>
            <w:r>
              <w:rPr>
                <w:noProof/>
                <w:webHidden/>
              </w:rPr>
            </w:r>
            <w:r>
              <w:rPr>
                <w:noProof/>
                <w:webHidden/>
              </w:rPr>
              <w:fldChar w:fldCharType="separate"/>
            </w:r>
            <w:r w:rsidR="00FB1251">
              <w:rPr>
                <w:noProof/>
                <w:webHidden/>
              </w:rPr>
              <w:t>9</w:t>
            </w:r>
            <w:r>
              <w:rPr>
                <w:noProof/>
                <w:webHidden/>
              </w:rPr>
              <w:fldChar w:fldCharType="end"/>
            </w:r>
          </w:hyperlink>
        </w:p>
        <w:p w:rsidR="00FB1251" w:rsidRPr="0013519D" w:rsidRDefault="00470C90" w:rsidP="0013519D">
          <w:pPr>
            <w:rPr>
              <w:b/>
              <w:bCs/>
              <w:noProof/>
            </w:rPr>
          </w:pPr>
          <w:r>
            <w:rPr>
              <w:b/>
              <w:bCs/>
              <w:noProof/>
            </w:rPr>
            <w:fldChar w:fldCharType="end"/>
          </w:r>
        </w:p>
      </w:sdtContent>
    </w:sdt>
    <w:p w:rsidR="0013519D" w:rsidRDefault="0013519D" w:rsidP="005028BF">
      <w:pPr>
        <w:pStyle w:val="Heading1"/>
        <w:rPr>
          <w:lang w:val="en-GB"/>
        </w:rPr>
      </w:pPr>
      <w:bookmarkStart w:id="0" w:name="_Toc153834161"/>
    </w:p>
    <w:p w:rsidR="001470BC" w:rsidRDefault="001470BC" w:rsidP="005028BF">
      <w:pPr>
        <w:pStyle w:val="Heading1"/>
        <w:rPr>
          <w:lang w:val="en-GB"/>
        </w:rPr>
      </w:pPr>
    </w:p>
    <w:p w:rsidR="001470BC" w:rsidRDefault="001470BC" w:rsidP="001470BC">
      <w:pPr>
        <w:rPr>
          <w:lang w:val="en-GB"/>
        </w:rPr>
      </w:pPr>
    </w:p>
    <w:p w:rsidR="001470BC" w:rsidRPr="001470BC" w:rsidRDefault="001470BC" w:rsidP="001470BC">
      <w:pPr>
        <w:rPr>
          <w:lang w:val="en-GB"/>
        </w:rPr>
      </w:pPr>
    </w:p>
    <w:p w:rsidR="003734C5" w:rsidRDefault="003734C5" w:rsidP="005028BF">
      <w:pPr>
        <w:pStyle w:val="Heading1"/>
        <w:rPr>
          <w:lang w:val="en-GB"/>
        </w:rPr>
      </w:pPr>
      <w:r w:rsidRPr="003734C5">
        <w:rPr>
          <w:lang w:val="en-GB"/>
        </w:rPr>
        <w:lastRenderedPageBreak/>
        <w:t>I</w:t>
      </w:r>
      <w:r w:rsidR="001470BC">
        <w:rPr>
          <w:lang w:val="en-GB"/>
        </w:rPr>
        <w:t>n</w:t>
      </w:r>
      <w:r w:rsidRPr="003734C5">
        <w:rPr>
          <w:lang w:val="en-GB"/>
        </w:rPr>
        <w:t>troduction</w:t>
      </w:r>
      <w:bookmarkEnd w:id="0"/>
    </w:p>
    <w:p w:rsidR="00592A76" w:rsidRPr="00592A76" w:rsidRDefault="00592A76" w:rsidP="00592A76">
      <w:pPr>
        <w:rPr>
          <w:lang w:val="en-GB"/>
        </w:rPr>
      </w:pPr>
    </w:p>
    <w:p w:rsidR="005028BF" w:rsidRPr="005028BF" w:rsidRDefault="005028BF" w:rsidP="005028BF">
      <w:pPr>
        <w:spacing w:line="360" w:lineRule="auto"/>
        <w:rPr>
          <w:sz w:val="24"/>
          <w:szCs w:val="24"/>
          <w:lang w:val="en-GB"/>
        </w:rPr>
      </w:pPr>
      <w:r w:rsidRPr="005028BF">
        <w:rPr>
          <w:sz w:val="24"/>
          <w:szCs w:val="24"/>
          <w:lang w:val="en-GB"/>
        </w:rPr>
        <w:t>AstraZeneca, a global biopharmaceutical company, has established itself as a key player in the UK's healthcare sector. Originating from a merger between Astra AB of Sweden and Zeneca Group PLC of the UK in 1999, it has since been at the forefront of developing innovative medicines (AstraZeneca, 2021). The company has a significant presence in the UK, contributing not only to the local economy but also to global health advancements, particularly in areas like oncology, cardiovascular, renal, metabolism, and respiratory diseases (AstraZeneca, 2021).</w:t>
      </w:r>
    </w:p>
    <w:p w:rsidR="005028BF" w:rsidRPr="005028BF" w:rsidRDefault="005028BF" w:rsidP="005028BF">
      <w:pPr>
        <w:spacing w:line="360" w:lineRule="auto"/>
        <w:rPr>
          <w:sz w:val="24"/>
          <w:szCs w:val="24"/>
          <w:lang w:val="en-GB"/>
        </w:rPr>
      </w:pPr>
      <w:r w:rsidRPr="005028BF">
        <w:rPr>
          <w:sz w:val="24"/>
          <w:szCs w:val="24"/>
          <w:lang w:val="en-GB"/>
        </w:rPr>
        <w:t>This report aims to analyse the interplay between organisational structure, culture, and individual motivation at AstraZeneca, and how these elements collectively impact its performance. Specifically, it will explore how the company’s structural framework enables or hinders its operational efficiency and adaptability in a fast-evolving industry. Additionally, the report will examine the nature of its organisational culture, assessing how it fosters a conducive work environment and drives performance. In terms of employee motivation, the analysis will be anchored on intrinsic and extrinsic motivational factors, using relevant theories such as Maslow's Hierarchy of Needs and Herzberg's Two-Factor Theory (Maslow, 1943; Herzberg, 1959). By integrating these concepts and frameworks, the report will provide a comprehensive understanding of the dynamics within AstraZeneca that contribute to its success and areas of potential improvement.</w:t>
      </w:r>
    </w:p>
    <w:p w:rsidR="00A23D26" w:rsidRPr="003734C5" w:rsidRDefault="00A23D26" w:rsidP="005C5633">
      <w:pPr>
        <w:pStyle w:val="Heading1"/>
        <w:rPr>
          <w:lang w:val="en-GB"/>
        </w:rPr>
      </w:pPr>
    </w:p>
    <w:p w:rsidR="003734C5" w:rsidRPr="00FB1251" w:rsidRDefault="003734C5" w:rsidP="005C5633">
      <w:pPr>
        <w:pStyle w:val="Heading1"/>
        <w:rPr>
          <w:lang w:val="en-GB"/>
        </w:rPr>
      </w:pPr>
      <w:bookmarkStart w:id="1" w:name="_Toc153834162"/>
      <w:r w:rsidRPr="00FB1251">
        <w:rPr>
          <w:lang w:val="en-GB"/>
        </w:rPr>
        <w:t>Organisational Structure of AstraZeneca</w:t>
      </w:r>
      <w:bookmarkEnd w:id="1"/>
    </w:p>
    <w:p w:rsidR="00592A76" w:rsidRPr="00592A76" w:rsidRDefault="00592A76" w:rsidP="00592A76">
      <w:pPr>
        <w:rPr>
          <w:lang w:val="en-GB"/>
        </w:rPr>
      </w:pPr>
    </w:p>
    <w:p w:rsidR="00A3570A" w:rsidRPr="00A3570A" w:rsidRDefault="00A3570A" w:rsidP="00EC32CB">
      <w:pPr>
        <w:spacing w:line="360" w:lineRule="auto"/>
        <w:rPr>
          <w:sz w:val="24"/>
          <w:szCs w:val="24"/>
          <w:lang w:val="en-GB"/>
        </w:rPr>
      </w:pPr>
      <w:r w:rsidRPr="00A3570A">
        <w:rPr>
          <w:sz w:val="24"/>
          <w:szCs w:val="24"/>
          <w:lang w:val="en-GB"/>
        </w:rPr>
        <w:t>AstraZeneca operates under a matrix organizational structure, characterized by a blend of functional and divisional structures. This structure is evident in its dual focus on both geographic regions and specific therapeutic areas (AstraZeneca, 2021). For instance, the company has dedicated units for oncology, cardiovascular diseases, and respiratory conditions, each with its own specialized teams, while also maintaining strong regional divisions for operational purposes (AstraZeneca Annual Report, 2021).</w:t>
      </w:r>
    </w:p>
    <w:p w:rsidR="00A3570A" w:rsidRPr="00A3570A" w:rsidRDefault="00A3570A" w:rsidP="00EC32CB">
      <w:pPr>
        <w:spacing w:line="360" w:lineRule="auto"/>
        <w:rPr>
          <w:sz w:val="24"/>
          <w:szCs w:val="24"/>
          <w:lang w:val="en-GB"/>
        </w:rPr>
      </w:pPr>
      <w:r w:rsidRPr="00A3570A">
        <w:rPr>
          <w:sz w:val="24"/>
          <w:szCs w:val="24"/>
          <w:lang w:val="en-GB"/>
        </w:rPr>
        <w:lastRenderedPageBreak/>
        <w:t>Mintzberg’s Organizational Configurations offer a useful lens to understand this structure. According to Mintzberg, a matrix structure can be seen as a combination of his 'Professional Bureaucracy' and '</w:t>
      </w:r>
      <w:r w:rsidRPr="005C5633">
        <w:rPr>
          <w:sz w:val="24"/>
          <w:szCs w:val="24"/>
          <w:lang w:val="en-GB"/>
        </w:rPr>
        <w:t>Divisional zed</w:t>
      </w:r>
      <w:r w:rsidRPr="00A3570A">
        <w:rPr>
          <w:sz w:val="24"/>
          <w:szCs w:val="24"/>
          <w:lang w:val="en-GB"/>
        </w:rPr>
        <w:t xml:space="preserve"> Form' models (Mintzberg, 1981). AstraZeneca's focus on specialized therapeutic areas aligns with the Professional Bureaucracy model, where highly trained professionals are empowered to make decisions within their areas of expertise. Concurrently, the </w:t>
      </w:r>
      <w:r w:rsidRPr="005C5633">
        <w:rPr>
          <w:sz w:val="24"/>
          <w:szCs w:val="24"/>
          <w:lang w:val="en-GB"/>
        </w:rPr>
        <w:t>Divisional zed</w:t>
      </w:r>
      <w:r w:rsidRPr="00A3570A">
        <w:rPr>
          <w:sz w:val="24"/>
          <w:szCs w:val="24"/>
          <w:lang w:val="en-GB"/>
        </w:rPr>
        <w:t xml:space="preserve"> Form aspect is reflected in the company’s regional operational divisions, allowing for a focus on market-specific needs and a more tailored approach to different geographic areas.</w:t>
      </w:r>
    </w:p>
    <w:p w:rsidR="00A3570A" w:rsidRPr="00A3570A" w:rsidRDefault="00A3570A" w:rsidP="00EC32CB">
      <w:pPr>
        <w:spacing w:line="360" w:lineRule="auto"/>
        <w:rPr>
          <w:sz w:val="24"/>
          <w:szCs w:val="24"/>
          <w:lang w:val="en-GB"/>
        </w:rPr>
      </w:pPr>
      <w:r w:rsidRPr="00A3570A">
        <w:rPr>
          <w:sz w:val="24"/>
          <w:szCs w:val="24"/>
          <w:lang w:val="en-GB"/>
        </w:rPr>
        <w:t>This matrix structure significantly influences AstraZeneca’s operational efficiency and decision-making processes. On one hand, the specialized units allow for a high degree of expertise and focus on specific therapeutic areas, leading to innovative drug development. On the other, the regional divisions ensure that the company remains responsive to local market needs and regulatory environments (AstraZeneca Annual Report, 2021).</w:t>
      </w:r>
    </w:p>
    <w:p w:rsidR="00A3570A" w:rsidRPr="00A3570A" w:rsidRDefault="00A3570A" w:rsidP="00EC32CB">
      <w:pPr>
        <w:spacing w:line="360" w:lineRule="auto"/>
        <w:rPr>
          <w:sz w:val="24"/>
          <w:szCs w:val="24"/>
          <w:lang w:val="en-GB"/>
        </w:rPr>
      </w:pPr>
      <w:r w:rsidRPr="00A3570A">
        <w:rPr>
          <w:sz w:val="24"/>
          <w:szCs w:val="24"/>
          <w:lang w:val="en-GB"/>
        </w:rPr>
        <w:t>However, while this structure offers flexibility and specialization, it can also pose challenges in terms of decision-making and operational efficiency. The dual lines of authority in a matrix can lead to conflicts and slow decision-making if not managed effectively (Burns, 2017). AstraZeneca navigates this by establishing clear roles and communication channels, and by fostering a culture of collaboration across different units (AstraZeneca, 2021).</w:t>
      </w:r>
    </w:p>
    <w:p w:rsidR="00A3570A" w:rsidRPr="00A3570A" w:rsidRDefault="00A3570A" w:rsidP="00EC32CB">
      <w:pPr>
        <w:spacing w:line="360" w:lineRule="auto"/>
        <w:rPr>
          <w:sz w:val="24"/>
          <w:szCs w:val="24"/>
          <w:lang w:val="en-GB"/>
        </w:rPr>
      </w:pPr>
      <w:r w:rsidRPr="00A3570A">
        <w:rPr>
          <w:sz w:val="24"/>
          <w:szCs w:val="24"/>
          <w:lang w:val="en-GB"/>
        </w:rPr>
        <w:t>In terms of adaptability, the matrix structure enables AstraZeneca to swiftly respond to changes in the healthcare sector. This flexibility was notably evident during the COVID-19 pandemic, where the company rapidly adapted its operations to contribute to vaccine development and distribution (AstraZeneca, 2021).</w:t>
      </w:r>
    </w:p>
    <w:p w:rsidR="003734C5" w:rsidRPr="003734C5" w:rsidRDefault="003734C5" w:rsidP="00A3570A">
      <w:pPr>
        <w:rPr>
          <w:lang w:val="en-GB"/>
        </w:rPr>
      </w:pPr>
    </w:p>
    <w:p w:rsidR="003734C5" w:rsidRPr="005C5633" w:rsidRDefault="003734C5" w:rsidP="005C5633">
      <w:pPr>
        <w:pStyle w:val="Heading1"/>
        <w:rPr>
          <w:lang w:val="en-GB"/>
        </w:rPr>
      </w:pPr>
      <w:bookmarkStart w:id="2" w:name="_Toc153834163"/>
      <w:r w:rsidRPr="003734C5">
        <w:rPr>
          <w:lang w:val="en-GB"/>
        </w:rPr>
        <w:t>Relationship Between Structure and Performance</w:t>
      </w:r>
      <w:bookmarkEnd w:id="2"/>
    </w:p>
    <w:p w:rsidR="005C5633" w:rsidRPr="00EC32CB" w:rsidRDefault="005C5633" w:rsidP="00EC32CB">
      <w:pPr>
        <w:spacing w:line="360" w:lineRule="auto"/>
        <w:rPr>
          <w:sz w:val="24"/>
          <w:szCs w:val="24"/>
          <w:lang w:val="en-GB"/>
        </w:rPr>
      </w:pPr>
      <w:r w:rsidRPr="005C5633">
        <w:rPr>
          <w:lang w:val="en-GB"/>
        </w:rPr>
        <w:br/>
      </w:r>
      <w:r w:rsidRPr="00EC32CB">
        <w:rPr>
          <w:sz w:val="24"/>
          <w:szCs w:val="24"/>
          <w:lang w:val="en-GB"/>
        </w:rPr>
        <w:t xml:space="preserve">AstraZeneca's matrix organizational structure significantly bolsters its business goals, </w:t>
      </w:r>
      <w:r w:rsidRPr="00EC32CB">
        <w:rPr>
          <w:sz w:val="24"/>
          <w:szCs w:val="24"/>
          <w:lang w:val="en-GB"/>
        </w:rPr>
        <w:lastRenderedPageBreak/>
        <w:t>particularly in fostering innovation, reacting swiftly to market changes, and enhancing internal communication.</w:t>
      </w:r>
    </w:p>
    <w:p w:rsidR="005C5633" w:rsidRPr="00EC32CB" w:rsidRDefault="005C5633" w:rsidP="00EC32CB">
      <w:pPr>
        <w:pStyle w:val="Heading2"/>
        <w:spacing w:line="360" w:lineRule="auto"/>
        <w:rPr>
          <w:sz w:val="24"/>
          <w:szCs w:val="24"/>
          <w:lang w:val="en-GB"/>
        </w:rPr>
      </w:pPr>
      <w:bookmarkStart w:id="3" w:name="_Toc153834164"/>
      <w:r w:rsidRPr="00EC32CB">
        <w:rPr>
          <w:sz w:val="24"/>
          <w:szCs w:val="24"/>
          <w:lang w:val="en-GB"/>
        </w:rPr>
        <w:t>Supporting Business Goals</w:t>
      </w:r>
      <w:bookmarkEnd w:id="3"/>
    </w:p>
    <w:p w:rsidR="005C5633" w:rsidRPr="00EC32CB" w:rsidRDefault="005C5633" w:rsidP="00EC32CB">
      <w:pPr>
        <w:spacing w:line="360" w:lineRule="auto"/>
        <w:rPr>
          <w:sz w:val="24"/>
          <w:szCs w:val="24"/>
          <w:lang w:val="en-GB"/>
        </w:rPr>
      </w:pPr>
      <w:r w:rsidRPr="00EC32CB">
        <w:rPr>
          <w:sz w:val="24"/>
          <w:szCs w:val="24"/>
          <w:lang w:val="en-GB"/>
        </w:rPr>
        <w:t>The matrix structure, combining functional and divisional aspects, aligns closely with AstraZeneca’s strategic objectives. These objectives often involve developing innovative pharmaceutical products while catering to diverse global markets. The divisional aspect of the structure allows for a focus on specific therapeutic areas such as oncology, respiratory, and cardiovascular diseases. This specialization is crucial for driving research and development initiatives tailored to each area's unique challenges and opportunities (AstraZeneca Annual Report, 2021).</w:t>
      </w:r>
    </w:p>
    <w:p w:rsidR="005C5633" w:rsidRPr="00EC32CB" w:rsidRDefault="005C5633" w:rsidP="00EC32CB">
      <w:pPr>
        <w:pStyle w:val="Heading2"/>
        <w:spacing w:line="360" w:lineRule="auto"/>
        <w:rPr>
          <w:sz w:val="24"/>
          <w:szCs w:val="24"/>
          <w:lang w:val="en-GB"/>
        </w:rPr>
      </w:pPr>
      <w:bookmarkStart w:id="4" w:name="_Toc153834165"/>
      <w:r w:rsidRPr="00EC32CB">
        <w:rPr>
          <w:sz w:val="24"/>
          <w:szCs w:val="24"/>
          <w:lang w:val="en-GB"/>
        </w:rPr>
        <w:t>Impact on Innovation</w:t>
      </w:r>
      <w:bookmarkEnd w:id="4"/>
    </w:p>
    <w:p w:rsidR="005C5633" w:rsidRPr="00EC32CB" w:rsidRDefault="005C5633" w:rsidP="00EC32CB">
      <w:pPr>
        <w:spacing w:line="360" w:lineRule="auto"/>
        <w:rPr>
          <w:sz w:val="24"/>
          <w:szCs w:val="24"/>
          <w:lang w:val="en-GB"/>
        </w:rPr>
      </w:pPr>
      <w:r w:rsidRPr="00EC32CB">
        <w:rPr>
          <w:sz w:val="24"/>
          <w:szCs w:val="24"/>
          <w:lang w:val="en-GB"/>
        </w:rPr>
        <w:t>Innovation is at the heart of AstraZeneca's business, and its structure plays a vital role here. The functional aspect of the matrix, which often includes R&amp;D departments, facilitates the pooling of expertise and resources necessary for breakthroughs in pharmaceuticals. The company's significant investment in R&amp;D (£5.9 billion in 2020) is a testament to this commitment (AstraZeneca, 2020). Moreover, the cross-functional teams within this structure foster a collaborative environment, leading to more creative and effective solutions.</w:t>
      </w:r>
    </w:p>
    <w:p w:rsidR="005C5633" w:rsidRPr="00EC32CB" w:rsidRDefault="005C5633" w:rsidP="00EC32CB">
      <w:pPr>
        <w:pStyle w:val="Heading2"/>
        <w:spacing w:line="360" w:lineRule="auto"/>
        <w:rPr>
          <w:sz w:val="24"/>
          <w:szCs w:val="24"/>
          <w:lang w:val="en-GB"/>
        </w:rPr>
      </w:pPr>
      <w:bookmarkStart w:id="5" w:name="_Toc153834166"/>
      <w:r w:rsidRPr="00EC32CB">
        <w:rPr>
          <w:sz w:val="24"/>
          <w:szCs w:val="24"/>
          <w:lang w:val="en-GB"/>
        </w:rPr>
        <w:t>Response to Market Changes</w:t>
      </w:r>
      <w:bookmarkEnd w:id="5"/>
    </w:p>
    <w:p w:rsidR="005C5633" w:rsidRPr="00EC32CB" w:rsidRDefault="005C5633" w:rsidP="00EC32CB">
      <w:pPr>
        <w:spacing w:line="360" w:lineRule="auto"/>
        <w:rPr>
          <w:sz w:val="24"/>
          <w:szCs w:val="24"/>
          <w:lang w:val="en-GB"/>
        </w:rPr>
      </w:pPr>
      <w:r w:rsidRPr="00EC32CB">
        <w:rPr>
          <w:sz w:val="24"/>
          <w:szCs w:val="24"/>
          <w:lang w:val="en-GB"/>
        </w:rPr>
        <w:t>The matrix structure also enables AstraZeneca to adapt quickly to changing market conditions. The divisional side of the matrix, which focuses on geographic regions, ensures the company remains attuned to local market needs and regulatory environments. This aspect was particularly evident during the COVID-19 pandemic when AstraZeneca rapidly shifted resources towards vaccine development, demonstrating remarkable adaptability in a crisis situation (AstraZeneca COVID-19 Response, 2021).</w:t>
      </w:r>
    </w:p>
    <w:p w:rsidR="005C5633" w:rsidRPr="00EC32CB" w:rsidRDefault="005C5633" w:rsidP="00EC32CB">
      <w:pPr>
        <w:spacing w:line="360" w:lineRule="auto"/>
        <w:rPr>
          <w:sz w:val="24"/>
          <w:szCs w:val="24"/>
          <w:lang w:val="en-GB"/>
        </w:rPr>
      </w:pPr>
      <w:r w:rsidRPr="00EC32CB">
        <w:rPr>
          <w:sz w:val="24"/>
          <w:szCs w:val="24"/>
          <w:lang w:val="en-GB"/>
        </w:rPr>
        <w:t>Enhancing Internal Communication</w:t>
      </w:r>
    </w:p>
    <w:p w:rsidR="005C5633" w:rsidRPr="00EC32CB" w:rsidRDefault="005C5633" w:rsidP="00EC32CB">
      <w:pPr>
        <w:spacing w:line="360" w:lineRule="auto"/>
        <w:rPr>
          <w:sz w:val="24"/>
          <w:szCs w:val="24"/>
          <w:lang w:val="en-GB"/>
        </w:rPr>
      </w:pPr>
      <w:r w:rsidRPr="00EC32CB">
        <w:rPr>
          <w:sz w:val="24"/>
          <w:szCs w:val="24"/>
          <w:lang w:val="en-GB"/>
        </w:rPr>
        <w:t xml:space="preserve">Internal communication is another area where the matrix structure of AstraZeneca has a profound impact. The intersecting lines of communication in this structure can, at times, lead to </w:t>
      </w:r>
      <w:r w:rsidRPr="00EC32CB">
        <w:rPr>
          <w:sz w:val="24"/>
          <w:szCs w:val="24"/>
          <w:lang w:val="en-GB"/>
        </w:rPr>
        <w:lastRenderedPageBreak/>
        <w:t>complexity. However, AstraZeneca mitigates this through established communication channels and a culture that promotes open dialogue and teamwork. This approach ensures that information flows seamlessly between different departments and levels of the organization, enhancing overall efficiency and productivity.</w:t>
      </w:r>
    </w:p>
    <w:p w:rsidR="005C5633" w:rsidRPr="00EC32CB" w:rsidRDefault="005C5633" w:rsidP="00EC32CB">
      <w:pPr>
        <w:pStyle w:val="Heading2"/>
        <w:spacing w:line="360" w:lineRule="auto"/>
        <w:rPr>
          <w:sz w:val="24"/>
          <w:szCs w:val="24"/>
          <w:lang w:val="en-GB"/>
        </w:rPr>
      </w:pPr>
      <w:bookmarkStart w:id="6" w:name="_Toc153834167"/>
      <w:r w:rsidRPr="00EC32CB">
        <w:rPr>
          <w:sz w:val="24"/>
          <w:szCs w:val="24"/>
          <w:lang w:val="en-GB"/>
        </w:rPr>
        <w:t>Case Study: COVID-19 Vaccine Development</w:t>
      </w:r>
      <w:bookmarkEnd w:id="6"/>
    </w:p>
    <w:p w:rsidR="005C5633" w:rsidRPr="00EC32CB" w:rsidRDefault="005C5633" w:rsidP="00EC32CB">
      <w:pPr>
        <w:spacing w:line="360" w:lineRule="auto"/>
        <w:rPr>
          <w:sz w:val="24"/>
          <w:szCs w:val="24"/>
          <w:lang w:val="en-GB"/>
        </w:rPr>
      </w:pPr>
      <w:r w:rsidRPr="00EC32CB">
        <w:rPr>
          <w:sz w:val="24"/>
          <w:szCs w:val="24"/>
          <w:lang w:val="en-GB"/>
        </w:rPr>
        <w:t>A specific example illustrating the relationship between AstraZeneca’s structure and its performance is its development of the COVID-19 vaccine. The company leveraged its global presence and the expertise of its R&amp;D teams to develop the vaccine in record time. This feat underscored the structure’s ability to mobilize resources rapidly and respond to an unprecedented global health challenge (AstraZeneca COVID-19 Vaccine, 2021).</w:t>
      </w:r>
    </w:p>
    <w:p w:rsidR="005C5633" w:rsidRPr="003734C5" w:rsidRDefault="005C5633" w:rsidP="00EC32CB">
      <w:pPr>
        <w:spacing w:line="360" w:lineRule="auto"/>
        <w:rPr>
          <w:lang w:val="en-GB"/>
        </w:rPr>
      </w:pPr>
    </w:p>
    <w:p w:rsidR="003734C5" w:rsidRDefault="003734C5" w:rsidP="00335307">
      <w:pPr>
        <w:pStyle w:val="Heading1"/>
        <w:rPr>
          <w:lang w:val="en-GB"/>
        </w:rPr>
      </w:pPr>
      <w:bookmarkStart w:id="7" w:name="_Toc153834168"/>
      <w:r w:rsidRPr="003734C5">
        <w:rPr>
          <w:lang w:val="en-GB"/>
        </w:rPr>
        <w:t>Organisational Culture at AstraZeneca</w:t>
      </w:r>
      <w:bookmarkEnd w:id="7"/>
    </w:p>
    <w:p w:rsidR="00592A76" w:rsidRPr="00592A76" w:rsidRDefault="00592A76" w:rsidP="00592A76">
      <w:pPr>
        <w:rPr>
          <w:lang w:val="en-GB"/>
        </w:rPr>
      </w:pPr>
    </w:p>
    <w:p w:rsidR="00335307" w:rsidRPr="00335307" w:rsidRDefault="00335307" w:rsidP="00EC32CB">
      <w:pPr>
        <w:spacing w:line="360" w:lineRule="auto"/>
        <w:rPr>
          <w:sz w:val="24"/>
          <w:szCs w:val="24"/>
          <w:lang w:val="en-GB"/>
        </w:rPr>
      </w:pPr>
      <w:r w:rsidRPr="00335307">
        <w:rPr>
          <w:sz w:val="24"/>
          <w:szCs w:val="24"/>
          <w:lang w:val="en-GB"/>
        </w:rPr>
        <w:t>AstraZeneca's organisational culture is characterized by a strong emphasis on innovation, collaboration, and integrity, reflecting its commitment to 'follow the science' and make a meaningful difference in healthcare. This culture is evident in the company's core values, which include putting science at the heart of everything they do, being entrepreneurial, and doing the right thing (AstraZeneca, 2021).</w:t>
      </w:r>
    </w:p>
    <w:p w:rsidR="00335307" w:rsidRPr="00EC32CB" w:rsidRDefault="00335307" w:rsidP="00EC32CB">
      <w:pPr>
        <w:pStyle w:val="Heading2"/>
        <w:spacing w:line="360" w:lineRule="auto"/>
        <w:rPr>
          <w:sz w:val="28"/>
          <w:szCs w:val="28"/>
          <w:lang w:val="en-GB"/>
        </w:rPr>
      </w:pPr>
      <w:bookmarkStart w:id="8" w:name="_Toc153834169"/>
      <w:r w:rsidRPr="00EC32CB">
        <w:rPr>
          <w:sz w:val="28"/>
          <w:szCs w:val="28"/>
          <w:lang w:val="en-GB"/>
        </w:rPr>
        <w:t>Analysis using Schein's Model</w:t>
      </w:r>
      <w:bookmarkEnd w:id="8"/>
    </w:p>
    <w:p w:rsidR="00335307" w:rsidRPr="00335307" w:rsidRDefault="00335307" w:rsidP="00EC32CB">
      <w:pPr>
        <w:spacing w:line="360" w:lineRule="auto"/>
        <w:rPr>
          <w:sz w:val="24"/>
          <w:szCs w:val="24"/>
          <w:lang w:val="en-GB"/>
        </w:rPr>
      </w:pPr>
      <w:r w:rsidRPr="00335307">
        <w:rPr>
          <w:sz w:val="24"/>
          <w:szCs w:val="24"/>
          <w:lang w:val="en-GB"/>
        </w:rPr>
        <w:t xml:space="preserve">Schein's Model of Organizational Culture, which comprises three levels – artifacts, espoused values, and basic underlying assumptions – provides a useful framework for </w:t>
      </w:r>
      <w:r w:rsidR="00B861FD" w:rsidRPr="00EC32CB">
        <w:rPr>
          <w:sz w:val="24"/>
          <w:szCs w:val="24"/>
          <w:lang w:val="en-GB"/>
        </w:rPr>
        <w:t>analysing</w:t>
      </w:r>
      <w:r w:rsidRPr="00335307">
        <w:rPr>
          <w:sz w:val="24"/>
          <w:szCs w:val="24"/>
          <w:lang w:val="en-GB"/>
        </w:rPr>
        <w:t xml:space="preserve"> AstraZeneca's culture:</w:t>
      </w:r>
    </w:p>
    <w:p w:rsidR="00335307" w:rsidRPr="00335307" w:rsidRDefault="00335307" w:rsidP="00EC32CB">
      <w:pPr>
        <w:spacing w:line="360" w:lineRule="auto"/>
        <w:rPr>
          <w:sz w:val="24"/>
          <w:szCs w:val="24"/>
          <w:lang w:val="en-GB"/>
        </w:rPr>
      </w:pPr>
      <w:bookmarkStart w:id="9" w:name="_Toc153834170"/>
      <w:r w:rsidRPr="00335307">
        <w:rPr>
          <w:rStyle w:val="Heading3Char"/>
          <w:sz w:val="28"/>
          <w:szCs w:val="28"/>
          <w:lang w:val="en-GB"/>
        </w:rPr>
        <w:t>Artifacts:</w:t>
      </w:r>
      <w:bookmarkEnd w:id="9"/>
      <w:r w:rsidRPr="00335307">
        <w:rPr>
          <w:sz w:val="24"/>
          <w:szCs w:val="24"/>
          <w:lang w:val="en-GB"/>
        </w:rPr>
        <w:t xml:space="preserve"> These are visible organizational structures and processes observable in AstraZeneca. For instance, the company's open and modern workspaces, and their transparent communication channels, are artifacts that signify a culture of openness and collaboration.</w:t>
      </w:r>
    </w:p>
    <w:p w:rsidR="00335307" w:rsidRPr="00335307" w:rsidRDefault="00335307" w:rsidP="00EC32CB">
      <w:pPr>
        <w:spacing w:line="360" w:lineRule="auto"/>
        <w:rPr>
          <w:sz w:val="24"/>
          <w:szCs w:val="24"/>
          <w:lang w:val="en-GB"/>
        </w:rPr>
      </w:pPr>
      <w:bookmarkStart w:id="10" w:name="_Toc153834171"/>
      <w:r w:rsidRPr="00335307">
        <w:rPr>
          <w:rStyle w:val="Heading3Char"/>
          <w:sz w:val="28"/>
          <w:szCs w:val="28"/>
          <w:lang w:val="en-GB"/>
        </w:rPr>
        <w:lastRenderedPageBreak/>
        <w:t>Espoused Values</w:t>
      </w:r>
      <w:bookmarkEnd w:id="10"/>
      <w:r w:rsidRPr="00335307">
        <w:rPr>
          <w:sz w:val="24"/>
          <w:szCs w:val="24"/>
          <w:lang w:val="en-GB"/>
        </w:rPr>
        <w:t>: AstraZeneca's espoused values include a commitment to delivering life-changing medicines, being led by science, and maintaining ethical standards. These values are consistently communicated and upheld across all levels of the organization.</w:t>
      </w:r>
    </w:p>
    <w:p w:rsidR="00335307" w:rsidRPr="00335307" w:rsidRDefault="00335307" w:rsidP="00EC32CB">
      <w:pPr>
        <w:spacing w:line="360" w:lineRule="auto"/>
        <w:rPr>
          <w:sz w:val="24"/>
          <w:szCs w:val="24"/>
          <w:lang w:val="en-GB"/>
        </w:rPr>
      </w:pPr>
      <w:bookmarkStart w:id="11" w:name="_Toc153834172"/>
      <w:r w:rsidRPr="00335307">
        <w:rPr>
          <w:rStyle w:val="Heading3Char"/>
          <w:sz w:val="28"/>
          <w:szCs w:val="28"/>
          <w:lang w:val="en-GB"/>
        </w:rPr>
        <w:t>Basic Underlying Assumptions</w:t>
      </w:r>
      <w:bookmarkEnd w:id="11"/>
      <w:r w:rsidRPr="00335307">
        <w:rPr>
          <w:sz w:val="24"/>
          <w:szCs w:val="24"/>
          <w:lang w:val="en-GB"/>
        </w:rPr>
        <w:t>: At the deepest level, AstraZeneca operates on the underlying assumption that scientific innovation is key to success. This belief drives its strategies and decisions, from research and development to marketing and sales.</w:t>
      </w:r>
    </w:p>
    <w:p w:rsidR="00335307" w:rsidRPr="00EC32CB" w:rsidRDefault="00335307" w:rsidP="00EC32CB">
      <w:pPr>
        <w:pStyle w:val="Heading3"/>
        <w:spacing w:line="360" w:lineRule="auto"/>
        <w:rPr>
          <w:sz w:val="28"/>
          <w:szCs w:val="28"/>
          <w:lang w:val="en-GB"/>
        </w:rPr>
      </w:pPr>
      <w:bookmarkStart w:id="12" w:name="_Toc153834173"/>
      <w:r w:rsidRPr="00EC32CB">
        <w:rPr>
          <w:sz w:val="28"/>
          <w:szCs w:val="28"/>
          <w:lang w:val="en-GB"/>
        </w:rPr>
        <w:t>Alignment with Goals and Strategies</w:t>
      </w:r>
      <w:bookmarkEnd w:id="12"/>
    </w:p>
    <w:p w:rsidR="00335307" w:rsidRPr="00335307" w:rsidRDefault="00335307" w:rsidP="00EC32CB">
      <w:pPr>
        <w:spacing w:line="360" w:lineRule="auto"/>
        <w:rPr>
          <w:sz w:val="24"/>
          <w:szCs w:val="24"/>
          <w:lang w:val="en-GB"/>
        </w:rPr>
      </w:pPr>
      <w:r w:rsidRPr="00335307">
        <w:rPr>
          <w:sz w:val="24"/>
          <w:szCs w:val="24"/>
          <w:lang w:val="en-GB"/>
        </w:rPr>
        <w:t>The culture at AstraZeneca aligns closely with its strategic goals and objectives. The emphasis on innovation fuels its strong R&amp;D focus, as seen in its swift development of a COVID-19 vaccine (AstraZeneca COVID-19 Vaccine, 2021). This innovative spirit, combined with a collaborative approach, allows the company to partner effectively with other entities, fostering advancements in various therapeutic areas.</w:t>
      </w:r>
    </w:p>
    <w:p w:rsidR="00335307" w:rsidRPr="00335307" w:rsidRDefault="00335307" w:rsidP="00EC32CB">
      <w:pPr>
        <w:spacing w:line="360" w:lineRule="auto"/>
        <w:rPr>
          <w:sz w:val="24"/>
          <w:szCs w:val="24"/>
          <w:lang w:val="en-GB"/>
        </w:rPr>
      </w:pPr>
      <w:r w:rsidRPr="00335307">
        <w:rPr>
          <w:sz w:val="24"/>
          <w:szCs w:val="24"/>
          <w:lang w:val="en-GB"/>
        </w:rPr>
        <w:t>Moreover, the commitment to integrity and ethical practices aligns with its strategy of maintaining high standards in patient care and complying with regulatory requirements. This aspect of culture is critical in the pharmaceutical industry, where trust and credibility are paramount.</w:t>
      </w:r>
    </w:p>
    <w:p w:rsidR="00335307" w:rsidRPr="00335307" w:rsidRDefault="00335307" w:rsidP="00335307">
      <w:pPr>
        <w:rPr>
          <w:lang w:val="en-GB"/>
        </w:rPr>
      </w:pPr>
    </w:p>
    <w:p w:rsidR="003734C5" w:rsidRDefault="003734C5" w:rsidP="00592A76">
      <w:pPr>
        <w:pStyle w:val="Heading1"/>
        <w:rPr>
          <w:lang w:val="en-GB"/>
        </w:rPr>
      </w:pPr>
      <w:bookmarkStart w:id="13" w:name="_Toc153834174"/>
      <w:r w:rsidRPr="003734C5">
        <w:rPr>
          <w:lang w:val="en-GB"/>
        </w:rPr>
        <w:t>Culture and Performance</w:t>
      </w:r>
      <w:bookmarkEnd w:id="13"/>
    </w:p>
    <w:p w:rsidR="00592A76" w:rsidRPr="00592A76" w:rsidRDefault="00592A76" w:rsidP="00592A76">
      <w:pPr>
        <w:rPr>
          <w:lang w:val="en-GB"/>
        </w:rPr>
      </w:pPr>
    </w:p>
    <w:p w:rsidR="00592A76" w:rsidRPr="00592A76" w:rsidRDefault="00592A76" w:rsidP="00EC32CB">
      <w:pPr>
        <w:spacing w:line="360" w:lineRule="auto"/>
        <w:rPr>
          <w:sz w:val="24"/>
          <w:szCs w:val="24"/>
          <w:lang w:val="en-GB"/>
        </w:rPr>
      </w:pPr>
      <w:r w:rsidRPr="00592A76">
        <w:rPr>
          <w:sz w:val="24"/>
          <w:szCs w:val="24"/>
          <w:lang w:val="en-GB"/>
        </w:rPr>
        <w:t>AstraZeneca's organizational culture plays a pivotal role in motivating employees, fostering innovation, and shaping the organization's public image, stakeholder relations, and ethical standards.</w:t>
      </w:r>
    </w:p>
    <w:p w:rsidR="00592A76" w:rsidRPr="00EC32CB" w:rsidRDefault="00592A76" w:rsidP="00EC32CB">
      <w:pPr>
        <w:pStyle w:val="Heading2"/>
        <w:spacing w:line="360" w:lineRule="auto"/>
        <w:rPr>
          <w:sz w:val="28"/>
          <w:szCs w:val="28"/>
          <w:lang w:val="en-GB"/>
        </w:rPr>
      </w:pPr>
      <w:bookmarkStart w:id="14" w:name="_Toc153834175"/>
      <w:r w:rsidRPr="00EC32CB">
        <w:rPr>
          <w:sz w:val="28"/>
          <w:szCs w:val="28"/>
          <w:lang w:val="en-GB"/>
        </w:rPr>
        <w:t>Motivating Employees and Fostering Innovation</w:t>
      </w:r>
      <w:bookmarkEnd w:id="14"/>
    </w:p>
    <w:p w:rsidR="00592A76" w:rsidRPr="00592A76" w:rsidRDefault="00592A76" w:rsidP="00EC32CB">
      <w:pPr>
        <w:spacing w:line="360" w:lineRule="auto"/>
        <w:rPr>
          <w:sz w:val="24"/>
          <w:szCs w:val="24"/>
          <w:lang w:val="en-GB"/>
        </w:rPr>
      </w:pPr>
      <w:r w:rsidRPr="00592A76">
        <w:rPr>
          <w:sz w:val="24"/>
          <w:szCs w:val="24"/>
          <w:lang w:val="en-GB"/>
        </w:rPr>
        <w:t xml:space="preserve">AstraZeneca's culture, deeply ingrained with the ethos of continuous learning and discovery, is a significant motivator for its workforce. As a science-driven organization, it fosters an environment where innovation is not just encouraged but is a part of the company's DNA (HRD </w:t>
      </w:r>
      <w:r w:rsidRPr="00592A76">
        <w:rPr>
          <w:sz w:val="24"/>
          <w:szCs w:val="24"/>
          <w:lang w:val="en-GB"/>
        </w:rPr>
        <w:lastRenderedPageBreak/>
        <w:t>Connect, 2023). This culture of lifelong learning contributes to high-impact outcomes and encourages employees to push the boundaries of scientific discovery. This environment is crucial for the development of new pharmaceuticals and medical technologies, demonstrating how culture directly influences innovation.</w:t>
      </w:r>
    </w:p>
    <w:p w:rsidR="00592A76" w:rsidRPr="00EC32CB" w:rsidRDefault="00592A76" w:rsidP="00EC32CB">
      <w:pPr>
        <w:pStyle w:val="Heading2"/>
        <w:spacing w:line="360" w:lineRule="auto"/>
        <w:rPr>
          <w:sz w:val="28"/>
          <w:szCs w:val="28"/>
          <w:lang w:val="en-GB"/>
        </w:rPr>
      </w:pPr>
      <w:bookmarkStart w:id="15" w:name="_Toc153834176"/>
      <w:r w:rsidRPr="00EC32CB">
        <w:rPr>
          <w:sz w:val="28"/>
          <w:szCs w:val="28"/>
          <w:lang w:val="en-GB"/>
        </w:rPr>
        <w:t>Impact on Public Image and Stakeholder Relations</w:t>
      </w:r>
      <w:bookmarkEnd w:id="15"/>
    </w:p>
    <w:p w:rsidR="00592A76" w:rsidRPr="00592A76" w:rsidRDefault="00592A76" w:rsidP="00EC32CB">
      <w:pPr>
        <w:spacing w:line="360" w:lineRule="auto"/>
        <w:rPr>
          <w:sz w:val="24"/>
          <w:szCs w:val="24"/>
          <w:lang w:val="en-GB"/>
        </w:rPr>
      </w:pPr>
      <w:r w:rsidRPr="00592A76">
        <w:rPr>
          <w:sz w:val="24"/>
          <w:szCs w:val="24"/>
          <w:lang w:val="en-GB"/>
        </w:rPr>
        <w:t>The company's focus on agility and innovation, as part of its cultural identity, has greatly influenced its public image and stakeholder relationships (PMI, 2023). AstraZeneca's agile and innovative approach, especially evident during the COVID-19 pandemic, has bolstered its reputation as a dynamic and responsive player in the healthcare sector. Furthermore, the overhaul of its organizational culture through the design of its Code of Ethics highlights its commitment to ethical practices, which positively impacts stakeholder trust and corporate image (Compliance Week, 2023).</w:t>
      </w:r>
    </w:p>
    <w:p w:rsidR="00592A76" w:rsidRPr="00EC32CB" w:rsidRDefault="00592A76" w:rsidP="00EC32CB">
      <w:pPr>
        <w:pStyle w:val="Heading2"/>
        <w:spacing w:line="360" w:lineRule="auto"/>
        <w:rPr>
          <w:sz w:val="28"/>
          <w:szCs w:val="28"/>
          <w:lang w:val="en-GB"/>
        </w:rPr>
      </w:pPr>
      <w:bookmarkStart w:id="16" w:name="_Toc153834177"/>
      <w:r w:rsidRPr="00EC32CB">
        <w:rPr>
          <w:sz w:val="28"/>
          <w:szCs w:val="28"/>
          <w:lang w:val="en-GB"/>
        </w:rPr>
        <w:t>Influence on Business Outcomes</w:t>
      </w:r>
      <w:bookmarkEnd w:id="16"/>
    </w:p>
    <w:p w:rsidR="00592A76" w:rsidRPr="00592A76" w:rsidRDefault="00592A76" w:rsidP="00EC32CB">
      <w:pPr>
        <w:spacing w:line="360" w:lineRule="auto"/>
        <w:rPr>
          <w:sz w:val="24"/>
          <w:szCs w:val="24"/>
          <w:lang w:val="en-GB"/>
        </w:rPr>
      </w:pPr>
      <w:r w:rsidRPr="00592A76">
        <w:rPr>
          <w:sz w:val="24"/>
          <w:szCs w:val="24"/>
          <w:lang w:val="en-GB"/>
        </w:rPr>
        <w:t>AstraZeneca’s culture has directly influenced its business outcomes. The company's commitment to fostering a coaching culture, where employees at all levels are supported and encouraged to develop their skills, has led to a more engaged and productive workforce (HR Executive, 2023). This culture of empowerment and support is not only beneficial for employee morale but also translates into better performance and innovation, directly contributing to the company's success.</w:t>
      </w:r>
    </w:p>
    <w:p w:rsidR="00592A76" w:rsidRPr="00592A76" w:rsidRDefault="00592A76" w:rsidP="00592A76">
      <w:pPr>
        <w:rPr>
          <w:lang w:val="en-GB"/>
        </w:rPr>
      </w:pPr>
    </w:p>
    <w:p w:rsidR="003734C5" w:rsidRDefault="003734C5" w:rsidP="000743F1">
      <w:pPr>
        <w:pStyle w:val="Heading1"/>
        <w:rPr>
          <w:lang w:val="en-GB"/>
        </w:rPr>
      </w:pPr>
      <w:bookmarkStart w:id="17" w:name="_Toc153834178"/>
      <w:r w:rsidRPr="003734C5">
        <w:rPr>
          <w:lang w:val="en-GB"/>
        </w:rPr>
        <w:t>Employee Motivation at AstraZeneca</w:t>
      </w:r>
      <w:bookmarkEnd w:id="17"/>
    </w:p>
    <w:p w:rsidR="000743F1" w:rsidRDefault="000743F1" w:rsidP="000743F1">
      <w:pPr>
        <w:rPr>
          <w:lang w:val="en-GB"/>
        </w:rPr>
      </w:pPr>
    </w:p>
    <w:p w:rsidR="000743F1" w:rsidRPr="000743F1" w:rsidRDefault="000743F1" w:rsidP="00EC32CB">
      <w:pPr>
        <w:spacing w:line="360" w:lineRule="auto"/>
        <w:rPr>
          <w:sz w:val="24"/>
          <w:szCs w:val="24"/>
          <w:lang w:val="en-GB"/>
        </w:rPr>
      </w:pPr>
      <w:r w:rsidRPr="000743F1">
        <w:rPr>
          <w:sz w:val="24"/>
          <w:szCs w:val="24"/>
          <w:lang w:val="en-GB"/>
        </w:rPr>
        <w:t>AstraZeneca's employee motivation strategies are deeply embedded in its organizational culture, particularly through its emphasis on lifelong learning and continuous personal and professional development.</w:t>
      </w:r>
    </w:p>
    <w:p w:rsidR="000743F1" w:rsidRPr="00EC32CB" w:rsidRDefault="000743F1" w:rsidP="00EC32CB">
      <w:pPr>
        <w:pStyle w:val="Heading3"/>
        <w:spacing w:line="360" w:lineRule="auto"/>
        <w:rPr>
          <w:sz w:val="28"/>
          <w:szCs w:val="28"/>
          <w:lang w:val="en-GB"/>
        </w:rPr>
      </w:pPr>
      <w:bookmarkStart w:id="18" w:name="_Toc153834179"/>
      <w:r w:rsidRPr="00EC32CB">
        <w:rPr>
          <w:sz w:val="28"/>
          <w:szCs w:val="28"/>
          <w:lang w:val="en-GB"/>
        </w:rPr>
        <w:lastRenderedPageBreak/>
        <w:t>Motivational Strategies and Practices</w:t>
      </w:r>
      <w:bookmarkEnd w:id="18"/>
    </w:p>
    <w:p w:rsidR="000743F1" w:rsidRPr="000743F1" w:rsidRDefault="000743F1" w:rsidP="00EC32CB">
      <w:pPr>
        <w:spacing w:line="360" w:lineRule="auto"/>
        <w:rPr>
          <w:sz w:val="24"/>
          <w:szCs w:val="24"/>
          <w:lang w:val="en-GB"/>
        </w:rPr>
      </w:pPr>
      <w:r w:rsidRPr="000743F1">
        <w:rPr>
          <w:sz w:val="24"/>
          <w:szCs w:val="24"/>
          <w:lang w:val="en-GB"/>
        </w:rPr>
        <w:t>AstraZeneca fosters a culture where employees are empowered to take charge of their development, expand their knowledge, grow their capabilities, and enhance their skills. This empowerment enables employees to challenge the status quo and share ideas without fear of judgment, fostering a culture of growth and achievement (HRD Connect, 2023). Such an environment aligns well with Maslow’s Hierarchy of Needs, where AstraZeneca provides opportunities for self-actualization through personal and professional growth.</w:t>
      </w:r>
    </w:p>
    <w:p w:rsidR="000743F1" w:rsidRPr="00EC32CB" w:rsidRDefault="000743F1" w:rsidP="00EC32CB">
      <w:pPr>
        <w:pStyle w:val="Heading3"/>
        <w:spacing w:line="360" w:lineRule="auto"/>
        <w:rPr>
          <w:sz w:val="28"/>
          <w:szCs w:val="28"/>
          <w:lang w:val="en-GB"/>
        </w:rPr>
      </w:pPr>
      <w:bookmarkStart w:id="19" w:name="_Toc153834180"/>
      <w:r w:rsidRPr="00EC32CB">
        <w:rPr>
          <w:sz w:val="28"/>
          <w:szCs w:val="28"/>
          <w:lang w:val="en-GB"/>
        </w:rPr>
        <w:t>Role of Technology in Motivation</w:t>
      </w:r>
      <w:bookmarkEnd w:id="19"/>
    </w:p>
    <w:p w:rsidR="000743F1" w:rsidRPr="000743F1" w:rsidRDefault="000743F1" w:rsidP="00EC32CB">
      <w:pPr>
        <w:spacing w:line="360" w:lineRule="auto"/>
        <w:rPr>
          <w:sz w:val="24"/>
          <w:szCs w:val="24"/>
          <w:lang w:val="en-GB"/>
        </w:rPr>
      </w:pPr>
      <w:r w:rsidRPr="000743F1">
        <w:rPr>
          <w:sz w:val="24"/>
          <w:szCs w:val="24"/>
          <w:lang w:val="en-GB"/>
        </w:rPr>
        <w:t>The company also leverages technology to support this learning culture. Digital platforms make learning accessible, relevant, and tailored to individual needs, giving employees autonomy over their development. This approach not only motivates employees but also aligns with Herzberg’s Two-Factor Theory, where the provision of resources and opportunities for personal growth are key motivators (HRD Connect, 2023).</w:t>
      </w:r>
    </w:p>
    <w:p w:rsidR="000743F1" w:rsidRPr="00EC32CB" w:rsidRDefault="000743F1" w:rsidP="00EC32CB">
      <w:pPr>
        <w:pStyle w:val="Heading3"/>
        <w:spacing w:line="360" w:lineRule="auto"/>
        <w:rPr>
          <w:sz w:val="28"/>
          <w:szCs w:val="28"/>
          <w:lang w:val="en-GB"/>
        </w:rPr>
      </w:pPr>
      <w:bookmarkStart w:id="20" w:name="_Toc153834181"/>
      <w:r w:rsidRPr="00EC32CB">
        <w:rPr>
          <w:sz w:val="28"/>
          <w:szCs w:val="28"/>
          <w:lang w:val="en-GB"/>
        </w:rPr>
        <w:t>Impact on Productivity, Job Satisfaction, and Retention</w:t>
      </w:r>
      <w:bookmarkEnd w:id="20"/>
    </w:p>
    <w:p w:rsidR="000743F1" w:rsidRPr="000743F1" w:rsidRDefault="000743F1" w:rsidP="00EC32CB">
      <w:pPr>
        <w:spacing w:line="360" w:lineRule="auto"/>
        <w:rPr>
          <w:sz w:val="24"/>
          <w:szCs w:val="24"/>
          <w:lang w:val="en-GB"/>
        </w:rPr>
      </w:pPr>
      <w:r w:rsidRPr="000743F1">
        <w:rPr>
          <w:sz w:val="24"/>
          <w:szCs w:val="24"/>
          <w:lang w:val="en-GB"/>
        </w:rPr>
        <w:t>By placing themes such as innovation, agility, leadership, and continuous learning at the core of its business success, AstraZeneca has turned learning and talent development into a business issue rather than just an HR issue. This comprehensive approach ensures that the company's learning culture is inclusive, fostering collaboration, coaching, mentoring, and feedforward. Such practices are critical in building a connected and purpose-led learning community, contributing to a psychologically safe environment that encourages open feedback and diverse opinions. This approach significantly enhances employee productivity, job satisfaction, and retention by creating a supportive environment that values and understands the importance of continual growth (HRD Connect, 2023).</w:t>
      </w:r>
    </w:p>
    <w:p w:rsidR="000743F1" w:rsidRPr="000743F1" w:rsidRDefault="000743F1" w:rsidP="000743F1">
      <w:pPr>
        <w:rPr>
          <w:lang w:val="en-GB"/>
        </w:rPr>
      </w:pPr>
    </w:p>
    <w:p w:rsidR="003734C5" w:rsidRDefault="003734C5" w:rsidP="00DC36A5">
      <w:pPr>
        <w:pStyle w:val="Heading1"/>
        <w:rPr>
          <w:lang w:val="en-GB"/>
        </w:rPr>
      </w:pPr>
      <w:bookmarkStart w:id="21" w:name="_Toc153834182"/>
      <w:r w:rsidRPr="003734C5">
        <w:rPr>
          <w:lang w:val="en-GB"/>
        </w:rPr>
        <w:t>Conclusion</w:t>
      </w:r>
      <w:bookmarkEnd w:id="21"/>
    </w:p>
    <w:p w:rsidR="00DC36A5" w:rsidRPr="00DC36A5" w:rsidRDefault="00DC36A5" w:rsidP="00DC36A5">
      <w:pPr>
        <w:spacing w:line="360" w:lineRule="auto"/>
        <w:rPr>
          <w:sz w:val="24"/>
          <w:szCs w:val="24"/>
          <w:lang w:val="en-GB"/>
        </w:rPr>
      </w:pPr>
    </w:p>
    <w:p w:rsidR="00DC36A5" w:rsidRPr="00DC36A5" w:rsidRDefault="00DC36A5" w:rsidP="00DC36A5">
      <w:pPr>
        <w:spacing w:line="360" w:lineRule="auto"/>
        <w:rPr>
          <w:sz w:val="24"/>
          <w:szCs w:val="24"/>
          <w:lang w:val="en-GB"/>
        </w:rPr>
      </w:pPr>
      <w:r w:rsidRPr="00DC36A5">
        <w:rPr>
          <w:sz w:val="24"/>
          <w:szCs w:val="24"/>
          <w:lang w:val="en-GB"/>
        </w:rPr>
        <w:lastRenderedPageBreak/>
        <w:t>The analysis of AstraZeneca’s organizational structure, culture, and motivational strategies underscores their significant interrelation and collective impact on the company's performance. AstraZeneca's matrix structure fosters specialization and adaptability, crucial for innovation in the pharmaceutical industry. Its organizational culture, cantered on innovation, ethical integrity, and continuous learning, not only motivates employees but also positively influences its public image and stakeholder relationships. Furthermore, the company’s emphasis on lifelong learning and development significantly enhances employee motivation, productivity, and job satisfaction.</w:t>
      </w:r>
    </w:p>
    <w:p w:rsidR="00DC36A5" w:rsidRPr="00DC36A5" w:rsidRDefault="00DC36A5" w:rsidP="00DC36A5">
      <w:pPr>
        <w:spacing w:line="360" w:lineRule="auto"/>
        <w:rPr>
          <w:sz w:val="24"/>
          <w:szCs w:val="24"/>
          <w:lang w:val="en-GB"/>
        </w:rPr>
      </w:pPr>
      <w:r w:rsidRPr="00DC36A5">
        <w:rPr>
          <w:sz w:val="24"/>
          <w:szCs w:val="24"/>
          <w:lang w:val="en-GB"/>
        </w:rPr>
        <w:t>For potential improvement, AstraZeneca might consider further streamlining communication within its matrix structure to enhance decision-making efficiency. Continuously evolving its learning and development programs to align with emerging technologies and market needs can also bolster its innovative capabilities.</w:t>
      </w:r>
    </w:p>
    <w:p w:rsidR="00DC36A5" w:rsidRPr="00DC36A5" w:rsidRDefault="00DC36A5" w:rsidP="00DC36A5">
      <w:pPr>
        <w:spacing w:line="360" w:lineRule="auto"/>
        <w:rPr>
          <w:sz w:val="24"/>
          <w:szCs w:val="24"/>
          <w:lang w:val="en-GB"/>
        </w:rPr>
      </w:pPr>
      <w:r w:rsidRPr="00DC36A5">
        <w:rPr>
          <w:sz w:val="24"/>
          <w:szCs w:val="24"/>
          <w:lang w:val="en-GB"/>
        </w:rPr>
        <w:t>Looking ahead, AstraZeneca's commitment to these aspects positions it well for future challenges and opportunities in the dynamic healthcare sector. The company's ability to adapt, innovate, and maintain a motivated workforce will be pivotal in its continued success and contribution to global health advancements.</w:t>
      </w:r>
    </w:p>
    <w:p w:rsidR="00DC36A5" w:rsidRPr="00DC36A5" w:rsidRDefault="00DC36A5" w:rsidP="00DC36A5">
      <w:pPr>
        <w:rPr>
          <w:lang w:val="en-GB"/>
        </w:rPr>
      </w:pPr>
    </w:p>
    <w:p w:rsidR="00A23D26" w:rsidRDefault="003734C5" w:rsidP="00294E42">
      <w:pPr>
        <w:pStyle w:val="Heading1"/>
        <w:rPr>
          <w:lang w:val="en-GB"/>
        </w:rPr>
      </w:pPr>
      <w:bookmarkStart w:id="22" w:name="_Toc153834183"/>
      <w:r w:rsidRPr="003734C5">
        <w:rPr>
          <w:lang w:val="en-GB"/>
        </w:rPr>
        <w:t>References</w:t>
      </w:r>
      <w:bookmarkEnd w:id="22"/>
    </w:p>
    <w:p w:rsidR="00E03D2E" w:rsidRPr="004D39DC" w:rsidRDefault="00A23D26" w:rsidP="004D39DC">
      <w:pPr>
        <w:spacing w:line="360" w:lineRule="auto"/>
        <w:rPr>
          <w:sz w:val="24"/>
          <w:lang w:val="en-GB"/>
        </w:rPr>
      </w:pPr>
      <w:r w:rsidRPr="004D39DC">
        <w:rPr>
          <w:sz w:val="24"/>
          <w:lang w:val="en-GB"/>
        </w:rPr>
        <w:t>AstraZeneca. (2021). About Us. [online] Available at:</w:t>
      </w:r>
      <w:hyperlink r:id="rId9" w:history="1">
        <w:r w:rsidR="00E03D2E" w:rsidRPr="004D39DC">
          <w:rPr>
            <w:rStyle w:val="Hyperlink"/>
            <w:sz w:val="24"/>
            <w:lang w:val="en-GB"/>
          </w:rPr>
          <w:t>https://careers.astrazeneca.com/about-us</w:t>
        </w:r>
      </w:hyperlink>
    </w:p>
    <w:p w:rsidR="00A23D26" w:rsidRPr="004D39DC" w:rsidRDefault="00A23D26" w:rsidP="004D39DC">
      <w:pPr>
        <w:spacing w:line="360" w:lineRule="auto"/>
        <w:rPr>
          <w:sz w:val="24"/>
          <w:lang w:val="en-GB"/>
        </w:rPr>
      </w:pPr>
      <w:r w:rsidRPr="004D39DC">
        <w:rPr>
          <w:sz w:val="24"/>
          <w:lang w:val="en-GB"/>
        </w:rPr>
        <w:t>[Accessed Date</w:t>
      </w:r>
      <w:r w:rsidR="00A26493" w:rsidRPr="004D39DC">
        <w:rPr>
          <w:sz w:val="24"/>
          <w:lang w:val="en-GB"/>
        </w:rPr>
        <w:t>, 02/12/2023</w:t>
      </w:r>
      <w:r w:rsidRPr="004D39DC">
        <w:rPr>
          <w:sz w:val="24"/>
          <w:lang w:val="en-GB"/>
        </w:rPr>
        <w:t>].</w:t>
      </w:r>
    </w:p>
    <w:p w:rsidR="00A23D26" w:rsidRPr="004D39DC" w:rsidRDefault="00A23D26" w:rsidP="004D39DC">
      <w:pPr>
        <w:spacing w:line="360" w:lineRule="auto"/>
        <w:rPr>
          <w:sz w:val="24"/>
          <w:lang w:val="en-GB"/>
        </w:rPr>
      </w:pPr>
      <w:r w:rsidRPr="004D39DC">
        <w:rPr>
          <w:sz w:val="24"/>
          <w:lang w:val="en-GB"/>
        </w:rPr>
        <w:t>Maslow, A.H. (1943). A theory of human motivation. Psychological Review, 50(4), 370-396.</w:t>
      </w:r>
    </w:p>
    <w:p w:rsidR="00A23D26" w:rsidRPr="004D39DC" w:rsidRDefault="00A23D26" w:rsidP="004D39DC">
      <w:pPr>
        <w:spacing w:line="360" w:lineRule="auto"/>
        <w:rPr>
          <w:sz w:val="24"/>
          <w:lang w:val="en-GB"/>
        </w:rPr>
      </w:pPr>
      <w:r w:rsidRPr="004D39DC">
        <w:rPr>
          <w:sz w:val="24"/>
          <w:lang w:val="en-GB"/>
        </w:rPr>
        <w:t>Herzberg, F. (1959). The motivation to work. New York: John Wiley &amp; Sons.</w:t>
      </w:r>
    </w:p>
    <w:p w:rsidR="00ED3019" w:rsidRPr="004D39DC" w:rsidRDefault="00E73D9B" w:rsidP="004D39DC">
      <w:pPr>
        <w:spacing w:line="360" w:lineRule="auto"/>
        <w:rPr>
          <w:sz w:val="24"/>
        </w:rPr>
      </w:pPr>
      <w:r w:rsidRPr="004D39DC">
        <w:rPr>
          <w:sz w:val="24"/>
        </w:rPr>
        <w:t>AstraZeneca. (2021). Our Company Structure. [online] Available at:</w:t>
      </w:r>
      <w:hyperlink r:id="rId10" w:history="1">
        <w:r w:rsidR="00C67D51" w:rsidRPr="004D39DC">
          <w:rPr>
            <w:rStyle w:val="Hyperlink"/>
            <w:sz w:val="24"/>
          </w:rPr>
          <w:t>https://www.astrazeneca.com/search_results.s.html?q=structer</w:t>
        </w:r>
      </w:hyperlink>
      <w:r w:rsidR="006D5CC8" w:rsidRPr="004D39DC">
        <w:rPr>
          <w:sz w:val="24"/>
        </w:rPr>
        <w:t>[</w:t>
      </w:r>
      <w:r w:rsidR="00A26493" w:rsidRPr="004D39DC">
        <w:rPr>
          <w:sz w:val="24"/>
        </w:rPr>
        <w:t>Access</w:t>
      </w:r>
      <w:r w:rsidR="00CC4681" w:rsidRPr="004D39DC">
        <w:rPr>
          <w:sz w:val="24"/>
        </w:rPr>
        <w:t>ed</w:t>
      </w:r>
      <w:r w:rsidR="00A26493" w:rsidRPr="004D39DC">
        <w:rPr>
          <w:sz w:val="24"/>
        </w:rPr>
        <w:t xml:space="preserve"> date</w:t>
      </w:r>
      <w:r w:rsidR="006D5CC8" w:rsidRPr="004D39DC">
        <w:rPr>
          <w:sz w:val="24"/>
        </w:rPr>
        <w:t xml:space="preserve">, </w:t>
      </w:r>
      <w:r w:rsidR="00B15258" w:rsidRPr="004D39DC">
        <w:rPr>
          <w:sz w:val="24"/>
        </w:rPr>
        <w:t>02/12/2023}</w:t>
      </w:r>
    </w:p>
    <w:p w:rsidR="007E3642" w:rsidRPr="004D39DC" w:rsidRDefault="00FC0D05" w:rsidP="004D39DC">
      <w:pPr>
        <w:spacing w:line="360" w:lineRule="auto"/>
        <w:rPr>
          <w:sz w:val="24"/>
        </w:rPr>
      </w:pPr>
      <w:r w:rsidRPr="004D39DC">
        <w:rPr>
          <w:sz w:val="24"/>
        </w:rPr>
        <w:lastRenderedPageBreak/>
        <w:t xml:space="preserve">AstraZeneca Annual Report. (2021). [online] Available at: </w:t>
      </w:r>
      <w:hyperlink r:id="rId11" w:history="1">
        <w:r w:rsidR="0056412F" w:rsidRPr="004D39DC">
          <w:rPr>
            <w:rStyle w:val="Hyperlink"/>
            <w:sz w:val="24"/>
          </w:rPr>
          <w:t>https://www.astrazeneca.com/annual-report-2021.html</w:t>
        </w:r>
      </w:hyperlink>
      <w:r w:rsidR="00B15258" w:rsidRPr="004D39DC">
        <w:rPr>
          <w:sz w:val="24"/>
        </w:rPr>
        <w:t xml:space="preserve"> [ Access</w:t>
      </w:r>
      <w:r w:rsidR="00CC4681" w:rsidRPr="004D39DC">
        <w:rPr>
          <w:sz w:val="24"/>
        </w:rPr>
        <w:t>ed date, 02/12/2023]</w:t>
      </w:r>
    </w:p>
    <w:p w:rsidR="00840BAE" w:rsidRPr="004D39DC" w:rsidRDefault="00840BAE" w:rsidP="004D39DC">
      <w:pPr>
        <w:spacing w:line="360" w:lineRule="auto"/>
        <w:rPr>
          <w:sz w:val="24"/>
          <w:lang w:val="en-GB"/>
        </w:rPr>
      </w:pPr>
      <w:r w:rsidRPr="004D39DC">
        <w:rPr>
          <w:sz w:val="24"/>
          <w:lang w:val="en-GB"/>
        </w:rPr>
        <w:t>Mintzberg, H. (1981). Organization Design: Fashion or Fit? Harvard Business Review.</w:t>
      </w:r>
    </w:p>
    <w:p w:rsidR="00840BAE" w:rsidRPr="004D39DC" w:rsidRDefault="00840BAE" w:rsidP="004D39DC">
      <w:pPr>
        <w:spacing w:line="360" w:lineRule="auto"/>
        <w:rPr>
          <w:sz w:val="24"/>
          <w:lang w:val="en-GB"/>
        </w:rPr>
      </w:pPr>
      <w:r w:rsidRPr="004D39DC">
        <w:rPr>
          <w:sz w:val="24"/>
          <w:lang w:val="en-GB"/>
        </w:rPr>
        <w:t>Burns, T. (2017). Managing Change. Cambridge University Press.</w:t>
      </w:r>
    </w:p>
    <w:p w:rsidR="0056412F" w:rsidRPr="004D39DC" w:rsidRDefault="00DF6E57" w:rsidP="004D39DC">
      <w:pPr>
        <w:spacing w:line="360" w:lineRule="auto"/>
        <w:rPr>
          <w:sz w:val="24"/>
        </w:rPr>
      </w:pPr>
      <w:r w:rsidRPr="004D39DC">
        <w:rPr>
          <w:sz w:val="24"/>
        </w:rPr>
        <w:t xml:space="preserve">AstraZeneca. (2020). Annual Report and Form 20-F Information 2020. [online] Available at: </w:t>
      </w:r>
      <w:hyperlink r:id="rId12" w:history="1">
        <w:r w:rsidR="002B0B11" w:rsidRPr="004D39DC">
          <w:rPr>
            <w:rStyle w:val="Hyperlink"/>
            <w:sz w:val="24"/>
          </w:rPr>
          <w:t>https://www.astrazeneca.com/annual-report-2020.html</w:t>
        </w:r>
      </w:hyperlink>
      <w:r w:rsidR="00CC4681" w:rsidRPr="004D39DC">
        <w:rPr>
          <w:sz w:val="24"/>
        </w:rPr>
        <w:t xml:space="preserve"> [Accessed date, </w:t>
      </w:r>
      <w:r w:rsidR="004340FF" w:rsidRPr="004D39DC">
        <w:rPr>
          <w:sz w:val="24"/>
        </w:rPr>
        <w:t>0</w:t>
      </w:r>
      <w:r w:rsidR="00901491" w:rsidRPr="004D39DC">
        <w:rPr>
          <w:sz w:val="24"/>
        </w:rPr>
        <w:t>2</w:t>
      </w:r>
      <w:r w:rsidR="004340FF" w:rsidRPr="004D39DC">
        <w:rPr>
          <w:sz w:val="24"/>
        </w:rPr>
        <w:t>/12/202]</w:t>
      </w:r>
    </w:p>
    <w:p w:rsidR="00047F3F" w:rsidRPr="004D39DC" w:rsidRDefault="008E1F6A" w:rsidP="004D39DC">
      <w:pPr>
        <w:spacing w:line="360" w:lineRule="auto"/>
        <w:rPr>
          <w:sz w:val="24"/>
        </w:rPr>
      </w:pPr>
      <w:r w:rsidRPr="004D39DC">
        <w:rPr>
          <w:sz w:val="24"/>
        </w:rPr>
        <w:t xml:space="preserve">AstraZeneca. (2021). COVID-19 Response. [online] Available at: </w:t>
      </w:r>
      <w:hyperlink r:id="rId13" w:history="1">
        <w:r w:rsidR="00047F3F" w:rsidRPr="004D39DC">
          <w:rPr>
            <w:rStyle w:val="Hyperlink"/>
            <w:sz w:val="24"/>
          </w:rPr>
          <w:t>https://www.astrazeneca.com/media-centre/articles/2021/planning-for-a-sustainable-future-post-covid-19.html#</w:t>
        </w:r>
      </w:hyperlink>
      <w:r w:rsidR="004340FF" w:rsidRPr="004D39DC">
        <w:rPr>
          <w:sz w:val="24"/>
        </w:rPr>
        <w:t xml:space="preserve"> [ Accessed date, </w:t>
      </w:r>
      <w:r w:rsidR="00901491" w:rsidRPr="004D39DC">
        <w:rPr>
          <w:sz w:val="24"/>
        </w:rPr>
        <w:t>02/12/2023]</w:t>
      </w:r>
    </w:p>
    <w:p w:rsidR="00F926E4" w:rsidRPr="004D39DC" w:rsidRDefault="00F926E4" w:rsidP="004D39DC">
      <w:pPr>
        <w:spacing w:line="360" w:lineRule="auto"/>
        <w:rPr>
          <w:sz w:val="24"/>
          <w:lang w:val="en-GB"/>
        </w:rPr>
      </w:pPr>
      <w:r w:rsidRPr="004D39DC">
        <w:rPr>
          <w:sz w:val="24"/>
          <w:lang w:val="en-GB"/>
        </w:rPr>
        <w:t xml:space="preserve">HRD Connect. (2023). Lessons from AstraZeneca: Creating a lifelong learning culture. [online] Available at: </w:t>
      </w:r>
      <w:hyperlink r:id="rId14" w:tgtFrame="_new" w:history="1">
        <w:r w:rsidRPr="004D39DC">
          <w:rPr>
            <w:rStyle w:val="Hyperlink"/>
            <w:sz w:val="24"/>
            <w:lang w:val="en-GB"/>
          </w:rPr>
          <w:t>HRD Connect</w:t>
        </w:r>
      </w:hyperlink>
      <w:r w:rsidRPr="004D39DC">
        <w:rPr>
          <w:sz w:val="24"/>
          <w:lang w:val="en-GB"/>
        </w:rPr>
        <w:t xml:space="preserve"> [Accessed Date].</w:t>
      </w:r>
    </w:p>
    <w:p w:rsidR="00F926E4" w:rsidRPr="004D39DC" w:rsidRDefault="00F926E4" w:rsidP="004D39DC">
      <w:pPr>
        <w:spacing w:line="360" w:lineRule="auto"/>
        <w:rPr>
          <w:sz w:val="24"/>
          <w:lang w:val="en-GB"/>
        </w:rPr>
      </w:pPr>
      <w:r w:rsidRPr="004D39DC">
        <w:rPr>
          <w:sz w:val="24"/>
          <w:lang w:val="en-GB"/>
        </w:rPr>
        <w:t xml:space="preserve">PMI. (2023). AstraZeneca Creates a Culture of Agility and Innovation. [online] Available at: </w:t>
      </w:r>
      <w:hyperlink r:id="rId15" w:tgtFrame="_new" w:history="1">
        <w:r w:rsidRPr="004D39DC">
          <w:rPr>
            <w:rStyle w:val="Hyperlink"/>
            <w:sz w:val="24"/>
            <w:lang w:val="en-GB"/>
          </w:rPr>
          <w:t>PMI</w:t>
        </w:r>
      </w:hyperlink>
      <w:r w:rsidRPr="004D39DC">
        <w:rPr>
          <w:sz w:val="24"/>
          <w:lang w:val="en-GB"/>
        </w:rPr>
        <w:t xml:space="preserve"> [Accessed Date, 02/12/2023].</w:t>
      </w:r>
    </w:p>
    <w:p w:rsidR="00F926E4" w:rsidRPr="004D39DC" w:rsidRDefault="00F926E4" w:rsidP="004D39DC">
      <w:pPr>
        <w:spacing w:line="360" w:lineRule="auto"/>
        <w:rPr>
          <w:sz w:val="24"/>
          <w:lang w:val="en-GB"/>
        </w:rPr>
      </w:pPr>
      <w:r w:rsidRPr="004D39DC">
        <w:rPr>
          <w:sz w:val="24"/>
          <w:lang w:val="en-GB"/>
        </w:rPr>
        <w:t xml:space="preserve">Compliance Week. (2023). Q&amp;A: Shaping culture for the greater good at AstraZeneca. [online] Available at: </w:t>
      </w:r>
      <w:hyperlink r:id="rId16" w:tgtFrame="_new" w:history="1">
        <w:r w:rsidRPr="004D39DC">
          <w:rPr>
            <w:rStyle w:val="Hyperlink"/>
            <w:sz w:val="24"/>
            <w:lang w:val="en-GB"/>
          </w:rPr>
          <w:t>Compliance Week</w:t>
        </w:r>
      </w:hyperlink>
      <w:r w:rsidRPr="004D39DC">
        <w:rPr>
          <w:sz w:val="24"/>
          <w:lang w:val="en-GB"/>
        </w:rPr>
        <w:t xml:space="preserve"> [Accessed Date, 02/12/2023].</w:t>
      </w:r>
    </w:p>
    <w:p w:rsidR="00F926E4" w:rsidRPr="004D39DC" w:rsidRDefault="00F926E4" w:rsidP="004D39DC">
      <w:pPr>
        <w:spacing w:line="360" w:lineRule="auto"/>
        <w:rPr>
          <w:sz w:val="24"/>
          <w:lang w:val="en-GB"/>
        </w:rPr>
      </w:pPr>
      <w:r w:rsidRPr="004D39DC">
        <w:rPr>
          <w:sz w:val="24"/>
          <w:lang w:val="en-GB"/>
        </w:rPr>
        <w:t xml:space="preserve">HR Executive. (2023). How AstraZeneca built a coaching culture. [online] Available at: </w:t>
      </w:r>
      <w:hyperlink r:id="rId17" w:tgtFrame="_new" w:history="1">
        <w:r w:rsidRPr="004D39DC">
          <w:rPr>
            <w:rStyle w:val="Hyperlink"/>
            <w:sz w:val="24"/>
            <w:lang w:val="en-GB"/>
          </w:rPr>
          <w:t>HR Executive</w:t>
        </w:r>
      </w:hyperlink>
      <w:r w:rsidRPr="004D39DC">
        <w:rPr>
          <w:sz w:val="24"/>
          <w:lang w:val="en-GB"/>
        </w:rPr>
        <w:t xml:space="preserve"> [Accessed Date, 02/12/2023].</w:t>
      </w:r>
    </w:p>
    <w:p w:rsidR="00F926E4" w:rsidRPr="00F926E4" w:rsidRDefault="00F926E4" w:rsidP="00F926E4">
      <w:pPr>
        <w:rPr>
          <w:vanish/>
          <w:lang w:val="en-GB"/>
        </w:rPr>
      </w:pPr>
      <w:r w:rsidRPr="00F926E4">
        <w:rPr>
          <w:vanish/>
          <w:lang w:val="en-GB"/>
        </w:rPr>
        <w:t>Top of Form</w:t>
      </w:r>
    </w:p>
    <w:p w:rsidR="00F926E4" w:rsidRDefault="00F926E4"/>
    <w:sectPr w:rsidR="00F926E4" w:rsidSect="00470C90">
      <w:headerReference w:type="default" r:id="rId18"/>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A26CE" w:rsidRDefault="009A26CE" w:rsidP="00FB1251">
      <w:pPr>
        <w:spacing w:after="0" w:line="240" w:lineRule="auto"/>
      </w:pPr>
      <w:r>
        <w:separator/>
      </w:r>
    </w:p>
  </w:endnote>
  <w:endnote w:type="continuationSeparator" w:id="1">
    <w:p w:rsidR="009A26CE" w:rsidRDefault="009A26CE" w:rsidP="00FB125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A26CE" w:rsidRDefault="009A26CE" w:rsidP="00FB1251">
      <w:pPr>
        <w:spacing w:after="0" w:line="240" w:lineRule="auto"/>
      </w:pPr>
      <w:r>
        <w:separator/>
      </w:r>
    </w:p>
  </w:footnote>
  <w:footnote w:type="continuationSeparator" w:id="1">
    <w:p w:rsidR="009A26CE" w:rsidRDefault="009A26CE" w:rsidP="00FB125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24565452"/>
      <w:docPartObj>
        <w:docPartGallery w:val="Page Numbers (Top of Page)"/>
        <w:docPartUnique/>
      </w:docPartObj>
    </w:sdtPr>
    <w:sdtEndPr>
      <w:rPr>
        <w:noProof/>
      </w:rPr>
    </w:sdtEndPr>
    <w:sdtContent>
      <w:p w:rsidR="00FB1251" w:rsidRDefault="00470C90">
        <w:pPr>
          <w:pStyle w:val="Header"/>
          <w:jc w:val="right"/>
        </w:pPr>
        <w:r>
          <w:fldChar w:fldCharType="begin"/>
        </w:r>
        <w:r w:rsidR="00FB1251">
          <w:instrText xml:space="preserve"> PAGE   \* MERGEFORMAT </w:instrText>
        </w:r>
        <w:r>
          <w:fldChar w:fldCharType="separate"/>
        </w:r>
        <w:r w:rsidR="004D39DC">
          <w:rPr>
            <w:noProof/>
          </w:rPr>
          <w:t>9</w:t>
        </w:r>
        <w:r>
          <w:rPr>
            <w:noProof/>
          </w:rPr>
          <w:fldChar w:fldCharType="end"/>
        </w:r>
      </w:p>
    </w:sdtContent>
  </w:sdt>
  <w:p w:rsidR="00FB1251" w:rsidRDefault="00FB1251">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297C33"/>
    <w:multiLevelType w:val="multilevel"/>
    <w:tmpl w:val="EB6E9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A1B43F3"/>
    <w:multiLevelType w:val="multilevel"/>
    <w:tmpl w:val="F3104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2EC7367B"/>
    <w:multiLevelType w:val="multilevel"/>
    <w:tmpl w:val="8EB66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35C74717"/>
    <w:multiLevelType w:val="multilevel"/>
    <w:tmpl w:val="166A3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4C396AF4"/>
    <w:multiLevelType w:val="multilevel"/>
    <w:tmpl w:val="D324C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6252366B"/>
    <w:multiLevelType w:val="multilevel"/>
    <w:tmpl w:val="D3EA4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659E29C7"/>
    <w:multiLevelType w:val="multilevel"/>
    <w:tmpl w:val="DAD84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6CA65A6D"/>
    <w:multiLevelType w:val="multilevel"/>
    <w:tmpl w:val="7D84B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6CE61430"/>
    <w:multiLevelType w:val="multilevel"/>
    <w:tmpl w:val="5C128E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6EC964A5"/>
    <w:multiLevelType w:val="multilevel"/>
    <w:tmpl w:val="B4D27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7F3B4C9C"/>
    <w:multiLevelType w:val="multilevel"/>
    <w:tmpl w:val="7602C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1"/>
  </w:num>
  <w:num w:numId="3">
    <w:abstractNumId w:val="9"/>
  </w:num>
  <w:num w:numId="4">
    <w:abstractNumId w:val="0"/>
  </w:num>
  <w:num w:numId="5">
    <w:abstractNumId w:val="7"/>
  </w:num>
  <w:num w:numId="6">
    <w:abstractNumId w:val="2"/>
  </w:num>
  <w:num w:numId="7">
    <w:abstractNumId w:val="5"/>
  </w:num>
  <w:num w:numId="8">
    <w:abstractNumId w:val="3"/>
  </w:num>
  <w:num w:numId="9">
    <w:abstractNumId w:val="10"/>
  </w:num>
  <w:num w:numId="10">
    <w:abstractNumId w:val="8"/>
  </w:num>
  <w:num w:numId="11">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B86C80"/>
    <w:rsid w:val="00047F3F"/>
    <w:rsid w:val="000743F1"/>
    <w:rsid w:val="0013519D"/>
    <w:rsid w:val="001470BC"/>
    <w:rsid w:val="00294E42"/>
    <w:rsid w:val="002B0B11"/>
    <w:rsid w:val="00335307"/>
    <w:rsid w:val="003734C5"/>
    <w:rsid w:val="003C28E8"/>
    <w:rsid w:val="003E2F29"/>
    <w:rsid w:val="004340FF"/>
    <w:rsid w:val="00470C90"/>
    <w:rsid w:val="0047199E"/>
    <w:rsid w:val="004C67E3"/>
    <w:rsid w:val="004D39DC"/>
    <w:rsid w:val="005028BF"/>
    <w:rsid w:val="0056412F"/>
    <w:rsid w:val="00592A76"/>
    <w:rsid w:val="005C5633"/>
    <w:rsid w:val="006D5CC8"/>
    <w:rsid w:val="007E3642"/>
    <w:rsid w:val="00810DD9"/>
    <w:rsid w:val="00840BAE"/>
    <w:rsid w:val="008E1F6A"/>
    <w:rsid w:val="00901491"/>
    <w:rsid w:val="009A26CE"/>
    <w:rsid w:val="00A23D26"/>
    <w:rsid w:val="00A26493"/>
    <w:rsid w:val="00A3570A"/>
    <w:rsid w:val="00A557CC"/>
    <w:rsid w:val="00AB64A8"/>
    <w:rsid w:val="00B15258"/>
    <w:rsid w:val="00B861FD"/>
    <w:rsid w:val="00B86C80"/>
    <w:rsid w:val="00C67D51"/>
    <w:rsid w:val="00CC4681"/>
    <w:rsid w:val="00DC36A5"/>
    <w:rsid w:val="00DE1445"/>
    <w:rsid w:val="00DF6E57"/>
    <w:rsid w:val="00E03D2E"/>
    <w:rsid w:val="00E73D9B"/>
    <w:rsid w:val="00EC32CB"/>
    <w:rsid w:val="00ED3019"/>
    <w:rsid w:val="00F926E4"/>
    <w:rsid w:val="00FB1251"/>
    <w:rsid w:val="00FC0D0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0C90"/>
  </w:style>
  <w:style w:type="paragraph" w:styleId="Heading1">
    <w:name w:val="heading 1"/>
    <w:basedOn w:val="Normal"/>
    <w:next w:val="Normal"/>
    <w:link w:val="Heading1Char"/>
    <w:uiPriority w:val="9"/>
    <w:qFormat/>
    <w:rsid w:val="005028B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5C5633"/>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5C5633"/>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5C5633"/>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28BF"/>
    <w:rPr>
      <w:rFonts w:asciiTheme="majorHAnsi" w:eastAsiaTheme="majorEastAsia" w:hAnsiTheme="majorHAnsi" w:cstheme="majorBidi"/>
      <w:color w:val="365F91" w:themeColor="accent1" w:themeShade="BF"/>
      <w:sz w:val="32"/>
      <w:szCs w:val="32"/>
    </w:rPr>
  </w:style>
  <w:style w:type="character" w:styleId="Hyperlink">
    <w:name w:val="Hyperlink"/>
    <w:basedOn w:val="DefaultParagraphFont"/>
    <w:uiPriority w:val="99"/>
    <w:unhideWhenUsed/>
    <w:rsid w:val="007E3642"/>
    <w:rPr>
      <w:color w:val="0000FF" w:themeColor="hyperlink"/>
      <w:u w:val="single"/>
    </w:rPr>
  </w:style>
  <w:style w:type="character" w:customStyle="1" w:styleId="UnresolvedMention">
    <w:name w:val="Unresolved Mention"/>
    <w:basedOn w:val="DefaultParagraphFont"/>
    <w:uiPriority w:val="99"/>
    <w:semiHidden/>
    <w:unhideWhenUsed/>
    <w:rsid w:val="007E3642"/>
    <w:rPr>
      <w:color w:val="605E5C"/>
      <w:shd w:val="clear" w:color="auto" w:fill="E1DFDD"/>
    </w:rPr>
  </w:style>
  <w:style w:type="character" w:customStyle="1" w:styleId="Heading3Char">
    <w:name w:val="Heading 3 Char"/>
    <w:basedOn w:val="DefaultParagraphFont"/>
    <w:link w:val="Heading3"/>
    <w:uiPriority w:val="9"/>
    <w:rsid w:val="005C5633"/>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5C5633"/>
    <w:rPr>
      <w:rFonts w:asciiTheme="majorHAnsi" w:eastAsiaTheme="majorEastAsia" w:hAnsiTheme="majorHAnsi" w:cstheme="majorBidi"/>
      <w:i/>
      <w:iCs/>
      <w:color w:val="365F91" w:themeColor="accent1" w:themeShade="BF"/>
    </w:rPr>
  </w:style>
  <w:style w:type="character" w:customStyle="1" w:styleId="Heading2Char">
    <w:name w:val="Heading 2 Char"/>
    <w:basedOn w:val="DefaultParagraphFont"/>
    <w:link w:val="Heading2"/>
    <w:uiPriority w:val="9"/>
    <w:rsid w:val="005C5633"/>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FB12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1251"/>
  </w:style>
  <w:style w:type="paragraph" w:styleId="Footer">
    <w:name w:val="footer"/>
    <w:basedOn w:val="Normal"/>
    <w:link w:val="FooterChar"/>
    <w:uiPriority w:val="99"/>
    <w:unhideWhenUsed/>
    <w:rsid w:val="00FB12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1251"/>
  </w:style>
  <w:style w:type="paragraph" w:styleId="TOCHeading">
    <w:name w:val="TOC Heading"/>
    <w:basedOn w:val="Heading1"/>
    <w:next w:val="Normal"/>
    <w:uiPriority w:val="39"/>
    <w:unhideWhenUsed/>
    <w:qFormat/>
    <w:rsid w:val="00FB1251"/>
    <w:pPr>
      <w:spacing w:line="259" w:lineRule="auto"/>
      <w:outlineLvl w:val="9"/>
    </w:pPr>
    <w:rPr>
      <w:kern w:val="0"/>
    </w:rPr>
  </w:style>
  <w:style w:type="paragraph" w:styleId="TOC1">
    <w:name w:val="toc 1"/>
    <w:basedOn w:val="Normal"/>
    <w:next w:val="Normal"/>
    <w:autoRedefine/>
    <w:uiPriority w:val="39"/>
    <w:unhideWhenUsed/>
    <w:rsid w:val="00FB1251"/>
    <w:pPr>
      <w:spacing w:after="100"/>
    </w:pPr>
  </w:style>
  <w:style w:type="paragraph" w:styleId="TOC2">
    <w:name w:val="toc 2"/>
    <w:basedOn w:val="Normal"/>
    <w:next w:val="Normal"/>
    <w:autoRedefine/>
    <w:uiPriority w:val="39"/>
    <w:unhideWhenUsed/>
    <w:rsid w:val="00FB1251"/>
    <w:pPr>
      <w:spacing w:after="100"/>
      <w:ind w:left="220"/>
    </w:pPr>
  </w:style>
  <w:style w:type="paragraph" w:styleId="TOC3">
    <w:name w:val="toc 3"/>
    <w:basedOn w:val="Normal"/>
    <w:next w:val="Normal"/>
    <w:autoRedefine/>
    <w:uiPriority w:val="39"/>
    <w:unhideWhenUsed/>
    <w:rsid w:val="00FB1251"/>
    <w:pPr>
      <w:spacing w:after="100"/>
      <w:ind w:left="440"/>
    </w:pPr>
  </w:style>
  <w:style w:type="paragraph" w:styleId="Title">
    <w:name w:val="Title"/>
    <w:basedOn w:val="Normal"/>
    <w:next w:val="Normal"/>
    <w:link w:val="TitleChar"/>
    <w:uiPriority w:val="10"/>
    <w:qFormat/>
    <w:rsid w:val="0013519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519D"/>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4D39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39D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98345830">
      <w:bodyDiv w:val="1"/>
      <w:marLeft w:val="0"/>
      <w:marRight w:val="0"/>
      <w:marTop w:val="0"/>
      <w:marBottom w:val="0"/>
      <w:divBdr>
        <w:top w:val="none" w:sz="0" w:space="0" w:color="auto"/>
        <w:left w:val="none" w:sz="0" w:space="0" w:color="auto"/>
        <w:bottom w:val="none" w:sz="0" w:space="0" w:color="auto"/>
        <w:right w:val="none" w:sz="0" w:space="0" w:color="auto"/>
      </w:divBdr>
    </w:div>
    <w:div w:id="359551909">
      <w:bodyDiv w:val="1"/>
      <w:marLeft w:val="0"/>
      <w:marRight w:val="0"/>
      <w:marTop w:val="0"/>
      <w:marBottom w:val="0"/>
      <w:divBdr>
        <w:top w:val="none" w:sz="0" w:space="0" w:color="auto"/>
        <w:left w:val="none" w:sz="0" w:space="0" w:color="auto"/>
        <w:bottom w:val="none" w:sz="0" w:space="0" w:color="auto"/>
        <w:right w:val="none" w:sz="0" w:space="0" w:color="auto"/>
      </w:divBdr>
    </w:div>
    <w:div w:id="576136891">
      <w:bodyDiv w:val="1"/>
      <w:marLeft w:val="0"/>
      <w:marRight w:val="0"/>
      <w:marTop w:val="0"/>
      <w:marBottom w:val="0"/>
      <w:divBdr>
        <w:top w:val="none" w:sz="0" w:space="0" w:color="auto"/>
        <w:left w:val="none" w:sz="0" w:space="0" w:color="auto"/>
        <w:bottom w:val="none" w:sz="0" w:space="0" w:color="auto"/>
        <w:right w:val="none" w:sz="0" w:space="0" w:color="auto"/>
      </w:divBdr>
    </w:div>
    <w:div w:id="629894864">
      <w:bodyDiv w:val="1"/>
      <w:marLeft w:val="0"/>
      <w:marRight w:val="0"/>
      <w:marTop w:val="0"/>
      <w:marBottom w:val="0"/>
      <w:divBdr>
        <w:top w:val="none" w:sz="0" w:space="0" w:color="auto"/>
        <w:left w:val="none" w:sz="0" w:space="0" w:color="auto"/>
        <w:bottom w:val="none" w:sz="0" w:space="0" w:color="auto"/>
        <w:right w:val="none" w:sz="0" w:space="0" w:color="auto"/>
      </w:divBdr>
    </w:div>
    <w:div w:id="698513156">
      <w:bodyDiv w:val="1"/>
      <w:marLeft w:val="0"/>
      <w:marRight w:val="0"/>
      <w:marTop w:val="0"/>
      <w:marBottom w:val="0"/>
      <w:divBdr>
        <w:top w:val="none" w:sz="0" w:space="0" w:color="auto"/>
        <w:left w:val="none" w:sz="0" w:space="0" w:color="auto"/>
        <w:bottom w:val="none" w:sz="0" w:space="0" w:color="auto"/>
        <w:right w:val="none" w:sz="0" w:space="0" w:color="auto"/>
      </w:divBdr>
    </w:div>
    <w:div w:id="838926476">
      <w:bodyDiv w:val="1"/>
      <w:marLeft w:val="0"/>
      <w:marRight w:val="0"/>
      <w:marTop w:val="0"/>
      <w:marBottom w:val="0"/>
      <w:divBdr>
        <w:top w:val="none" w:sz="0" w:space="0" w:color="auto"/>
        <w:left w:val="none" w:sz="0" w:space="0" w:color="auto"/>
        <w:bottom w:val="none" w:sz="0" w:space="0" w:color="auto"/>
        <w:right w:val="none" w:sz="0" w:space="0" w:color="auto"/>
      </w:divBdr>
    </w:div>
    <w:div w:id="1297907623">
      <w:bodyDiv w:val="1"/>
      <w:marLeft w:val="0"/>
      <w:marRight w:val="0"/>
      <w:marTop w:val="0"/>
      <w:marBottom w:val="0"/>
      <w:divBdr>
        <w:top w:val="none" w:sz="0" w:space="0" w:color="auto"/>
        <w:left w:val="none" w:sz="0" w:space="0" w:color="auto"/>
        <w:bottom w:val="none" w:sz="0" w:space="0" w:color="auto"/>
        <w:right w:val="none" w:sz="0" w:space="0" w:color="auto"/>
      </w:divBdr>
    </w:div>
    <w:div w:id="1889147395">
      <w:bodyDiv w:val="1"/>
      <w:marLeft w:val="0"/>
      <w:marRight w:val="0"/>
      <w:marTop w:val="0"/>
      <w:marBottom w:val="0"/>
      <w:divBdr>
        <w:top w:val="none" w:sz="0" w:space="0" w:color="auto"/>
        <w:left w:val="none" w:sz="0" w:space="0" w:color="auto"/>
        <w:bottom w:val="none" w:sz="0" w:space="0" w:color="auto"/>
        <w:right w:val="none" w:sz="0" w:space="0" w:color="auto"/>
      </w:divBdr>
    </w:div>
    <w:div w:id="1999191019">
      <w:bodyDiv w:val="1"/>
      <w:marLeft w:val="0"/>
      <w:marRight w:val="0"/>
      <w:marTop w:val="0"/>
      <w:marBottom w:val="0"/>
      <w:divBdr>
        <w:top w:val="none" w:sz="0" w:space="0" w:color="auto"/>
        <w:left w:val="none" w:sz="0" w:space="0" w:color="auto"/>
        <w:bottom w:val="none" w:sz="0" w:space="0" w:color="auto"/>
        <w:right w:val="none" w:sz="0" w:space="0" w:color="auto"/>
      </w:divBdr>
      <w:divsChild>
        <w:div w:id="380401747">
          <w:marLeft w:val="0"/>
          <w:marRight w:val="0"/>
          <w:marTop w:val="0"/>
          <w:marBottom w:val="0"/>
          <w:divBdr>
            <w:top w:val="single" w:sz="2" w:space="0" w:color="D9D9E3"/>
            <w:left w:val="single" w:sz="2" w:space="0" w:color="D9D9E3"/>
            <w:bottom w:val="single" w:sz="2" w:space="0" w:color="D9D9E3"/>
            <w:right w:val="single" w:sz="2" w:space="0" w:color="D9D9E3"/>
          </w:divBdr>
          <w:divsChild>
            <w:div w:id="713045880">
              <w:marLeft w:val="0"/>
              <w:marRight w:val="0"/>
              <w:marTop w:val="0"/>
              <w:marBottom w:val="0"/>
              <w:divBdr>
                <w:top w:val="single" w:sz="2" w:space="0" w:color="D9D9E3"/>
                <w:left w:val="single" w:sz="2" w:space="0" w:color="D9D9E3"/>
                <w:bottom w:val="single" w:sz="2" w:space="0" w:color="D9D9E3"/>
                <w:right w:val="single" w:sz="2" w:space="0" w:color="D9D9E3"/>
              </w:divBdr>
              <w:divsChild>
                <w:div w:id="1024475158">
                  <w:marLeft w:val="0"/>
                  <w:marRight w:val="0"/>
                  <w:marTop w:val="0"/>
                  <w:marBottom w:val="0"/>
                  <w:divBdr>
                    <w:top w:val="single" w:sz="2" w:space="0" w:color="D9D9E3"/>
                    <w:left w:val="single" w:sz="2" w:space="0" w:color="D9D9E3"/>
                    <w:bottom w:val="single" w:sz="2" w:space="0" w:color="D9D9E3"/>
                    <w:right w:val="single" w:sz="2" w:space="0" w:color="D9D9E3"/>
                  </w:divBdr>
                  <w:divsChild>
                    <w:div w:id="601374866">
                      <w:marLeft w:val="0"/>
                      <w:marRight w:val="0"/>
                      <w:marTop w:val="0"/>
                      <w:marBottom w:val="0"/>
                      <w:divBdr>
                        <w:top w:val="single" w:sz="2" w:space="0" w:color="D9D9E3"/>
                        <w:left w:val="single" w:sz="2" w:space="0" w:color="D9D9E3"/>
                        <w:bottom w:val="single" w:sz="2" w:space="0" w:color="D9D9E3"/>
                        <w:right w:val="single" w:sz="2" w:space="0" w:color="D9D9E3"/>
                      </w:divBdr>
                      <w:divsChild>
                        <w:div w:id="1640568284">
                          <w:marLeft w:val="0"/>
                          <w:marRight w:val="0"/>
                          <w:marTop w:val="0"/>
                          <w:marBottom w:val="0"/>
                          <w:divBdr>
                            <w:top w:val="single" w:sz="2" w:space="0" w:color="D9D9E3"/>
                            <w:left w:val="single" w:sz="2" w:space="0" w:color="D9D9E3"/>
                            <w:bottom w:val="single" w:sz="2" w:space="0" w:color="D9D9E3"/>
                            <w:right w:val="single" w:sz="2" w:space="0" w:color="D9D9E3"/>
                          </w:divBdr>
                          <w:divsChild>
                            <w:div w:id="748162488">
                              <w:marLeft w:val="0"/>
                              <w:marRight w:val="0"/>
                              <w:marTop w:val="100"/>
                              <w:marBottom w:val="100"/>
                              <w:divBdr>
                                <w:top w:val="single" w:sz="2" w:space="0" w:color="D9D9E3"/>
                                <w:left w:val="single" w:sz="2" w:space="0" w:color="D9D9E3"/>
                                <w:bottom w:val="single" w:sz="2" w:space="0" w:color="D9D9E3"/>
                                <w:right w:val="single" w:sz="2" w:space="0" w:color="D9D9E3"/>
                              </w:divBdr>
                              <w:divsChild>
                                <w:div w:id="2086341540">
                                  <w:marLeft w:val="0"/>
                                  <w:marRight w:val="0"/>
                                  <w:marTop w:val="0"/>
                                  <w:marBottom w:val="0"/>
                                  <w:divBdr>
                                    <w:top w:val="single" w:sz="2" w:space="0" w:color="D9D9E3"/>
                                    <w:left w:val="single" w:sz="2" w:space="0" w:color="D9D9E3"/>
                                    <w:bottom w:val="single" w:sz="2" w:space="0" w:color="D9D9E3"/>
                                    <w:right w:val="single" w:sz="2" w:space="0" w:color="D9D9E3"/>
                                  </w:divBdr>
                                  <w:divsChild>
                                    <w:div w:id="1262492400">
                                      <w:marLeft w:val="0"/>
                                      <w:marRight w:val="0"/>
                                      <w:marTop w:val="0"/>
                                      <w:marBottom w:val="0"/>
                                      <w:divBdr>
                                        <w:top w:val="single" w:sz="2" w:space="0" w:color="D9D9E3"/>
                                        <w:left w:val="single" w:sz="2" w:space="0" w:color="D9D9E3"/>
                                        <w:bottom w:val="single" w:sz="2" w:space="0" w:color="D9D9E3"/>
                                        <w:right w:val="single" w:sz="2" w:space="0" w:color="D9D9E3"/>
                                      </w:divBdr>
                                      <w:divsChild>
                                        <w:div w:id="1679186232">
                                          <w:marLeft w:val="0"/>
                                          <w:marRight w:val="0"/>
                                          <w:marTop w:val="0"/>
                                          <w:marBottom w:val="0"/>
                                          <w:divBdr>
                                            <w:top w:val="single" w:sz="2" w:space="0" w:color="D9D9E3"/>
                                            <w:left w:val="single" w:sz="2" w:space="0" w:color="D9D9E3"/>
                                            <w:bottom w:val="single" w:sz="2" w:space="0" w:color="D9D9E3"/>
                                            <w:right w:val="single" w:sz="2" w:space="0" w:color="D9D9E3"/>
                                          </w:divBdr>
                                          <w:divsChild>
                                            <w:div w:id="482549638">
                                              <w:marLeft w:val="0"/>
                                              <w:marRight w:val="0"/>
                                              <w:marTop w:val="0"/>
                                              <w:marBottom w:val="0"/>
                                              <w:divBdr>
                                                <w:top w:val="single" w:sz="2" w:space="0" w:color="D9D9E3"/>
                                                <w:left w:val="single" w:sz="2" w:space="0" w:color="D9D9E3"/>
                                                <w:bottom w:val="single" w:sz="2" w:space="0" w:color="D9D9E3"/>
                                                <w:right w:val="single" w:sz="2" w:space="0" w:color="D9D9E3"/>
                                              </w:divBdr>
                                              <w:divsChild>
                                                <w:div w:id="1377125061">
                                                  <w:marLeft w:val="0"/>
                                                  <w:marRight w:val="0"/>
                                                  <w:marTop w:val="0"/>
                                                  <w:marBottom w:val="0"/>
                                                  <w:divBdr>
                                                    <w:top w:val="single" w:sz="2" w:space="0" w:color="D9D9E3"/>
                                                    <w:left w:val="single" w:sz="2" w:space="0" w:color="D9D9E3"/>
                                                    <w:bottom w:val="single" w:sz="2" w:space="0" w:color="D9D9E3"/>
                                                    <w:right w:val="single" w:sz="2" w:space="0" w:color="D9D9E3"/>
                                                  </w:divBdr>
                                                  <w:divsChild>
                                                    <w:div w:id="10658348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30463466">
          <w:marLeft w:val="0"/>
          <w:marRight w:val="0"/>
          <w:marTop w:val="0"/>
          <w:marBottom w:val="0"/>
          <w:divBdr>
            <w:top w:val="none" w:sz="0" w:space="0" w:color="auto"/>
            <w:left w:val="none" w:sz="0" w:space="0" w:color="auto"/>
            <w:bottom w:val="none" w:sz="0" w:space="0" w:color="auto"/>
            <w:right w:val="none" w:sz="0" w:space="0" w:color="auto"/>
          </w:divBdr>
        </w:div>
      </w:divsChild>
    </w:div>
    <w:div w:id="2038114493">
      <w:bodyDiv w:val="1"/>
      <w:marLeft w:val="0"/>
      <w:marRight w:val="0"/>
      <w:marTop w:val="0"/>
      <w:marBottom w:val="0"/>
      <w:divBdr>
        <w:top w:val="none" w:sz="0" w:space="0" w:color="auto"/>
        <w:left w:val="none" w:sz="0" w:space="0" w:color="auto"/>
        <w:bottom w:val="none" w:sz="0" w:space="0" w:color="auto"/>
        <w:right w:val="none" w:sz="0" w:space="0" w:color="auto"/>
      </w:divBdr>
    </w:div>
    <w:div w:id="2121291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strazeneca.com/media-centre/articles/2021/planning-for-a-sustainable-future-post-covid-19.html"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strazeneca.com/annual-report-2020.html" TargetMode="External"/><Relationship Id="rId17" Type="http://schemas.openxmlformats.org/officeDocument/2006/relationships/hyperlink" Target="https://www.hrexecutive.com/" TargetMode="External"/><Relationship Id="rId2" Type="http://schemas.openxmlformats.org/officeDocument/2006/relationships/numbering" Target="numbering.xml"/><Relationship Id="rId16" Type="http://schemas.openxmlformats.org/officeDocument/2006/relationships/hyperlink" Target="https://www.complianceweek.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strazeneca.com/annual-report-2021.html" TargetMode="External"/><Relationship Id="rId5" Type="http://schemas.openxmlformats.org/officeDocument/2006/relationships/webSettings" Target="webSettings.xml"/><Relationship Id="rId15" Type="http://schemas.openxmlformats.org/officeDocument/2006/relationships/hyperlink" Target="https://www.pmi.org/" TargetMode="External"/><Relationship Id="rId10" Type="http://schemas.openxmlformats.org/officeDocument/2006/relationships/hyperlink" Target="https://www.astrazeneca.com/search_results.s.html?q=structer"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careers.astrazeneca.com/about-us" TargetMode="External"/><Relationship Id="rId14" Type="http://schemas.openxmlformats.org/officeDocument/2006/relationships/hyperlink" Target="https://www.hrdconnec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F088D5-BAEA-4739-87A9-C684770BE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2835</Words>
  <Characters>16160</Characters>
  <Application>Microsoft Office Word</Application>
  <DocSecurity>0</DocSecurity>
  <Lines>134</Lines>
  <Paragraphs>37</Paragraphs>
  <ScaleCrop>false</ScaleCrop>
  <Company>Grizli777</Company>
  <LinksUpToDate>false</LinksUpToDate>
  <CharactersWithSpaces>18958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Fizesan</dc:creator>
  <cp:keywords/>
  <dc:description/>
  <cp:lastModifiedBy>MyPc</cp:lastModifiedBy>
  <cp:revision>3</cp:revision>
  <dcterms:created xsi:type="dcterms:W3CDTF">2023-12-18T23:27:00Z</dcterms:created>
  <dcterms:modified xsi:type="dcterms:W3CDTF">2023-12-19T00:14:00Z</dcterms:modified>
</cp:coreProperties>
</file>