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7267878"/>
        <w:docPartObj>
          <w:docPartGallery w:val="Cover Pages"/>
          <w:docPartUnique/>
        </w:docPartObj>
      </w:sdtPr>
      <w:sdtEndPr>
        <w:rPr>
          <w:rFonts w:ascii="Arial" w:hAnsi="Arial" w:cs="Arial"/>
          <w:b/>
          <w:bCs/>
        </w:rPr>
      </w:sdtEndPr>
      <w:sdtContent>
        <w:p w14:paraId="6495C46E" w14:textId="3019460C" w:rsidR="00DC0CFA" w:rsidRDefault="00DC0CFA">
          <w:r>
            <w:rPr>
              <w:noProof/>
            </w:rPr>
            <mc:AlternateContent>
              <mc:Choice Requires="wpg">
                <w:drawing>
                  <wp:anchor distT="0" distB="0" distL="114300" distR="114300" simplePos="0" relativeHeight="251662336" behindDoc="0" locked="0" layoutInCell="1" allowOverlap="1" wp14:anchorId="609DA320" wp14:editId="1A87E36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682B8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A2CE6DF" wp14:editId="57A1F92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olor w:val="000000" w:themeColor="text1"/>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32F5A1" w14:textId="4F278B2D" w:rsidR="00DC0CFA" w:rsidRPr="00DC0CFA" w:rsidRDefault="00DC0CFA">
                                    <w:pPr>
                                      <w:pStyle w:val="NoSpacing"/>
                                      <w:jc w:val="right"/>
                                      <w:rPr>
                                        <w:rFonts w:ascii="Arial Black" w:hAnsi="Arial Black"/>
                                        <w:color w:val="000000" w:themeColor="text1"/>
                                        <w:sz w:val="44"/>
                                        <w:szCs w:val="44"/>
                                      </w:rPr>
                                    </w:pPr>
                                    <w:r w:rsidRPr="00DC0CFA">
                                      <w:rPr>
                                        <w:rFonts w:ascii="Arial Black" w:hAnsi="Arial Black"/>
                                        <w:color w:val="000000" w:themeColor="text1"/>
                                        <w:sz w:val="44"/>
                                        <w:szCs w:val="44"/>
                                      </w:rPr>
                                      <w:t>Student name: Daniel Radulea</w:t>
                                    </w:r>
                                  </w:p>
                                </w:sdtContent>
                              </w:sdt>
                              <w:p w14:paraId="0305C77B" w14:textId="2CD3AB9E" w:rsidR="00DC0CFA" w:rsidRPr="00DC0CFA" w:rsidRDefault="00DC0CFA">
                                <w:pPr>
                                  <w:pStyle w:val="NoSpacing"/>
                                  <w:jc w:val="right"/>
                                  <w:rPr>
                                    <w:rFonts w:ascii="Arial Black" w:hAnsi="Arial Black"/>
                                    <w:color w:val="000000" w:themeColor="text1"/>
                                    <w:sz w:val="44"/>
                                    <w:szCs w:val="44"/>
                                  </w:rPr>
                                </w:pPr>
                                <w:sdt>
                                  <w:sdtPr>
                                    <w:rPr>
                                      <w:rFonts w:ascii="Arial Black" w:hAnsi="Arial Black"/>
                                      <w:color w:val="000000" w:themeColor="text1"/>
                                      <w:sz w:val="44"/>
                                      <w:szCs w:val="44"/>
                                    </w:rPr>
                                    <w:alias w:val="Email"/>
                                    <w:tag w:val="Email"/>
                                    <w:id w:val="942260680"/>
                                    <w:dataBinding w:prefixMappings="xmlns:ns0='http://schemas.microsoft.com/office/2006/coverPageProps' " w:xpath="/ns0:CoverPageProperties[1]/ns0:CompanyEmail[1]" w:storeItemID="{55AF091B-3C7A-41E3-B477-F2FDAA23CFDA}"/>
                                    <w:text/>
                                  </w:sdtPr>
                                  <w:sdtContent>
                                    <w:r w:rsidRPr="00DC0CFA">
                                      <w:rPr>
                                        <w:rFonts w:ascii="Arial Black" w:hAnsi="Arial Black"/>
                                        <w:color w:val="000000" w:themeColor="text1"/>
                                        <w:sz w:val="44"/>
                                        <w:szCs w:val="44"/>
                                      </w:rPr>
                                      <w:t>Module code:</w:t>
                                    </w:r>
                                    <w:r w:rsidRPr="00DC0CFA">
                                      <w:rPr>
                                        <w:rFonts w:ascii="Arial Black" w:hAnsi="Arial Black"/>
                                        <w:color w:val="000000" w:themeColor="text1"/>
                                        <w:sz w:val="44"/>
                                        <w:szCs w:val="44"/>
                                      </w:rPr>
                                      <w:t xml:space="preserve"> </w:t>
                                    </w:r>
                                    <w:r w:rsidRPr="00DC0CFA">
                                      <w:rPr>
                                        <w:rFonts w:ascii="Arial Black" w:hAnsi="Arial Black"/>
                                        <w:color w:val="000000" w:themeColor="text1"/>
                                        <w:sz w:val="44"/>
                                        <w:szCs w:val="44"/>
                                      </w:rPr>
                                      <w:t>BMSE4009D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A2CE6DF"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Black" w:hAnsi="Arial Black"/>
                              <w:color w:val="000000" w:themeColor="text1"/>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32F5A1" w14:textId="4F278B2D" w:rsidR="00DC0CFA" w:rsidRPr="00DC0CFA" w:rsidRDefault="00DC0CFA">
                              <w:pPr>
                                <w:pStyle w:val="NoSpacing"/>
                                <w:jc w:val="right"/>
                                <w:rPr>
                                  <w:rFonts w:ascii="Arial Black" w:hAnsi="Arial Black"/>
                                  <w:color w:val="000000" w:themeColor="text1"/>
                                  <w:sz w:val="44"/>
                                  <w:szCs w:val="44"/>
                                </w:rPr>
                              </w:pPr>
                              <w:r w:rsidRPr="00DC0CFA">
                                <w:rPr>
                                  <w:rFonts w:ascii="Arial Black" w:hAnsi="Arial Black"/>
                                  <w:color w:val="000000" w:themeColor="text1"/>
                                  <w:sz w:val="44"/>
                                  <w:szCs w:val="44"/>
                                </w:rPr>
                                <w:t>Student name: Daniel Radulea</w:t>
                              </w:r>
                            </w:p>
                          </w:sdtContent>
                        </w:sdt>
                        <w:p w14:paraId="0305C77B" w14:textId="2CD3AB9E" w:rsidR="00DC0CFA" w:rsidRPr="00DC0CFA" w:rsidRDefault="00DC0CFA">
                          <w:pPr>
                            <w:pStyle w:val="NoSpacing"/>
                            <w:jc w:val="right"/>
                            <w:rPr>
                              <w:rFonts w:ascii="Arial Black" w:hAnsi="Arial Black"/>
                              <w:color w:val="000000" w:themeColor="text1"/>
                              <w:sz w:val="44"/>
                              <w:szCs w:val="44"/>
                            </w:rPr>
                          </w:pPr>
                          <w:sdt>
                            <w:sdtPr>
                              <w:rPr>
                                <w:rFonts w:ascii="Arial Black" w:hAnsi="Arial Black"/>
                                <w:color w:val="000000" w:themeColor="text1"/>
                                <w:sz w:val="44"/>
                                <w:szCs w:val="44"/>
                              </w:rPr>
                              <w:alias w:val="Email"/>
                              <w:tag w:val="Email"/>
                              <w:id w:val="942260680"/>
                              <w:dataBinding w:prefixMappings="xmlns:ns0='http://schemas.microsoft.com/office/2006/coverPageProps' " w:xpath="/ns0:CoverPageProperties[1]/ns0:CompanyEmail[1]" w:storeItemID="{55AF091B-3C7A-41E3-B477-F2FDAA23CFDA}"/>
                              <w:text/>
                            </w:sdtPr>
                            <w:sdtContent>
                              <w:r w:rsidRPr="00DC0CFA">
                                <w:rPr>
                                  <w:rFonts w:ascii="Arial Black" w:hAnsi="Arial Black"/>
                                  <w:color w:val="000000" w:themeColor="text1"/>
                                  <w:sz w:val="44"/>
                                  <w:szCs w:val="44"/>
                                </w:rPr>
                                <w:t>Module code:</w:t>
                              </w:r>
                              <w:r w:rsidRPr="00DC0CFA">
                                <w:rPr>
                                  <w:rFonts w:ascii="Arial Black" w:hAnsi="Arial Black"/>
                                  <w:color w:val="000000" w:themeColor="text1"/>
                                  <w:sz w:val="44"/>
                                  <w:szCs w:val="44"/>
                                </w:rPr>
                                <w:t xml:space="preserve"> </w:t>
                              </w:r>
                              <w:r w:rsidRPr="00DC0CFA">
                                <w:rPr>
                                  <w:rFonts w:ascii="Arial Black" w:hAnsi="Arial Black"/>
                                  <w:color w:val="000000" w:themeColor="text1"/>
                                  <w:sz w:val="44"/>
                                  <w:szCs w:val="44"/>
                                </w:rPr>
                                <w:t>BMSE4009D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12C17A" wp14:editId="54A1041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372F2" w14:textId="59AA98C0" w:rsidR="00DC0CFA" w:rsidRPr="00DC0CFA" w:rsidRDefault="00DC0CFA">
                                <w:pPr>
                                  <w:jc w:val="right"/>
                                  <w:rPr>
                                    <w:rFonts w:ascii="Arial Black" w:hAnsi="Arial Black"/>
                                    <w:color w:val="000000" w:themeColor="text1"/>
                                    <w:sz w:val="72"/>
                                    <w:szCs w:val="72"/>
                                  </w:rPr>
                                </w:pPr>
                                <w:sdt>
                                  <w:sdtPr>
                                    <w:rPr>
                                      <w:rFonts w:ascii="Arial Black" w:hAnsi="Arial Black"/>
                                      <w:caps/>
                                      <w:color w:val="000000" w:themeColor="tex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C0CFA">
                                      <w:rPr>
                                        <w:rFonts w:ascii="Arial Black" w:hAnsi="Arial Black"/>
                                        <w:caps/>
                                        <w:color w:val="000000" w:themeColor="text1"/>
                                        <w:sz w:val="72"/>
                                        <w:szCs w:val="72"/>
                                      </w:rPr>
                                      <w:t>Social Impact Measurement</w:t>
                                    </w:r>
                                  </w:sdtContent>
                                </w:sdt>
                              </w:p>
                              <w:sdt>
                                <w:sdtPr>
                                  <w:rPr>
                                    <w:rFonts w:ascii="Arial Black" w:hAnsi="Arial Black"/>
                                    <w:color w:val="000000" w:themeColor="text1"/>
                                    <w:sz w:val="72"/>
                                    <w:szCs w:val="7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AD96D1" w14:textId="7C55FE2C" w:rsidR="00DC0CFA" w:rsidRDefault="00DC0CFA">
                                    <w:pPr>
                                      <w:jc w:val="right"/>
                                      <w:rPr>
                                        <w:smallCaps/>
                                        <w:color w:val="404040" w:themeColor="text1" w:themeTint="BF"/>
                                        <w:sz w:val="36"/>
                                        <w:szCs w:val="36"/>
                                      </w:rPr>
                                    </w:pPr>
                                    <w:r w:rsidRPr="00DC0CFA">
                                      <w:rPr>
                                        <w:rFonts w:ascii="Arial Black" w:hAnsi="Arial Black"/>
                                        <w:color w:val="000000" w:themeColor="text1"/>
                                        <w:sz w:val="72"/>
                                        <w:szCs w:val="72"/>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12C17A"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F9372F2" w14:textId="59AA98C0" w:rsidR="00DC0CFA" w:rsidRPr="00DC0CFA" w:rsidRDefault="00DC0CFA">
                          <w:pPr>
                            <w:jc w:val="right"/>
                            <w:rPr>
                              <w:rFonts w:ascii="Arial Black" w:hAnsi="Arial Black"/>
                              <w:color w:val="000000" w:themeColor="text1"/>
                              <w:sz w:val="72"/>
                              <w:szCs w:val="72"/>
                            </w:rPr>
                          </w:pPr>
                          <w:sdt>
                            <w:sdtPr>
                              <w:rPr>
                                <w:rFonts w:ascii="Arial Black" w:hAnsi="Arial Black"/>
                                <w:caps/>
                                <w:color w:val="000000" w:themeColor="tex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C0CFA">
                                <w:rPr>
                                  <w:rFonts w:ascii="Arial Black" w:hAnsi="Arial Black"/>
                                  <w:caps/>
                                  <w:color w:val="000000" w:themeColor="text1"/>
                                  <w:sz w:val="72"/>
                                  <w:szCs w:val="72"/>
                                </w:rPr>
                                <w:t>Social Impact Measurement</w:t>
                              </w:r>
                            </w:sdtContent>
                          </w:sdt>
                        </w:p>
                        <w:sdt>
                          <w:sdtPr>
                            <w:rPr>
                              <w:rFonts w:ascii="Arial Black" w:hAnsi="Arial Black"/>
                              <w:color w:val="000000" w:themeColor="text1"/>
                              <w:sz w:val="72"/>
                              <w:szCs w:val="7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6AD96D1" w14:textId="7C55FE2C" w:rsidR="00DC0CFA" w:rsidRDefault="00DC0CFA">
                              <w:pPr>
                                <w:jc w:val="right"/>
                                <w:rPr>
                                  <w:smallCaps/>
                                  <w:color w:val="404040" w:themeColor="text1" w:themeTint="BF"/>
                                  <w:sz w:val="36"/>
                                  <w:szCs w:val="36"/>
                                </w:rPr>
                              </w:pPr>
                              <w:r w:rsidRPr="00DC0CFA">
                                <w:rPr>
                                  <w:rFonts w:ascii="Arial Black" w:hAnsi="Arial Black"/>
                                  <w:color w:val="000000" w:themeColor="text1"/>
                                  <w:sz w:val="72"/>
                                  <w:szCs w:val="72"/>
                                </w:rPr>
                                <w:t>Assignment 2</w:t>
                              </w:r>
                            </w:p>
                          </w:sdtContent>
                        </w:sdt>
                      </w:txbxContent>
                    </v:textbox>
                    <w10:wrap type="square" anchorx="page" anchory="page"/>
                  </v:shape>
                </w:pict>
              </mc:Fallback>
            </mc:AlternateContent>
          </w:r>
        </w:p>
        <w:p w14:paraId="51F7B234" w14:textId="2FEB87E1" w:rsidR="00DC0CFA" w:rsidRDefault="00DC0CFA">
          <w:pPr>
            <w:rPr>
              <w:rFonts w:ascii="Arial" w:hAnsi="Arial" w:cs="Arial"/>
              <w:b/>
              <w:bCs/>
            </w:rPr>
          </w:pPr>
          <w:r>
            <w:rPr>
              <w:rFonts w:ascii="Arial" w:hAnsi="Arial" w:cs="Arial"/>
              <w:b/>
              <w:bCs/>
              <w:noProof/>
            </w:rPr>
            <w:drawing>
              <wp:anchor distT="0" distB="0" distL="114300" distR="114300" simplePos="0" relativeHeight="251663360" behindDoc="1" locked="0" layoutInCell="1" allowOverlap="1" wp14:anchorId="6EFE1AF9" wp14:editId="25518B2E">
                <wp:simplePos x="0" y="0"/>
                <wp:positionH relativeFrom="column">
                  <wp:posOffset>-497711</wp:posOffset>
                </wp:positionH>
                <wp:positionV relativeFrom="paragraph">
                  <wp:posOffset>498981</wp:posOffset>
                </wp:positionV>
                <wp:extent cx="1810385" cy="725170"/>
                <wp:effectExtent l="0" t="0" r="0" b="0"/>
                <wp:wrapTight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ight>
                <wp:docPr id="72750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r>
            <w:rPr>
              <w:rFonts w:ascii="Arial" w:hAnsi="Arial" w:cs="Arial"/>
              <w:b/>
              <w:bCs/>
            </w:rPr>
            <w:br w:type="page"/>
          </w:r>
        </w:p>
      </w:sdtContent>
    </w:sdt>
    <w:p w14:paraId="22680D12" w14:textId="10F995E2" w:rsidR="004576EA" w:rsidRPr="00AC3010" w:rsidRDefault="004576EA" w:rsidP="004576EA">
      <w:pPr>
        <w:spacing w:line="480" w:lineRule="auto"/>
        <w:rPr>
          <w:rFonts w:ascii="Arial" w:hAnsi="Arial" w:cs="Arial"/>
          <w:b/>
          <w:bCs/>
        </w:rPr>
      </w:pPr>
      <w:r w:rsidRPr="00AC3010">
        <w:rPr>
          <w:rFonts w:ascii="Arial" w:hAnsi="Arial" w:cs="Arial"/>
          <w:b/>
          <w:bCs/>
        </w:rPr>
        <w:lastRenderedPageBreak/>
        <w:t>Executive Summary</w:t>
      </w:r>
    </w:p>
    <w:p w14:paraId="2D1BE30D" w14:textId="77777777" w:rsidR="004576EA" w:rsidRPr="004576EA" w:rsidRDefault="004576EA" w:rsidP="004576EA">
      <w:pPr>
        <w:spacing w:line="480" w:lineRule="auto"/>
        <w:rPr>
          <w:rFonts w:ascii="Arial" w:hAnsi="Arial" w:cs="Arial"/>
        </w:rPr>
      </w:pPr>
      <w:r w:rsidRPr="004576EA">
        <w:rPr>
          <w:rFonts w:ascii="Arial" w:hAnsi="Arial" w:cs="Arial"/>
        </w:rPr>
        <w:t>This document analyses the social impact of Belu Water, a UK-based social enterprise creating bottled water and water filtration products and donating all profits to clean water and sanitation projects. The analysis of Belu Water has been based on the Social Audit Network (SAN) principles and presented to the reader in simplified sections. Based on the analysis, we used principles found in theories on social enterprise models, ethics, sustainability theory, stakeholder engagement, theory of change and impact measurement to assess the social impact of Belu Water. The findings indicate that Belu Water is combining environmental and social responsibility with commercial success; therefore, Belu Water demonstrates how hybrid models have created ethical, economic and environmental value at the same time. Belu Water's mission-driven model serves as a strong example of a sustainable business in the beverage industry.</w:t>
      </w:r>
    </w:p>
    <w:p w14:paraId="21E22358" w14:textId="77777777" w:rsidR="004576EA" w:rsidRPr="004576EA" w:rsidRDefault="004576EA" w:rsidP="004576EA">
      <w:pPr>
        <w:spacing w:line="480" w:lineRule="auto"/>
        <w:rPr>
          <w:rFonts w:ascii="Arial" w:hAnsi="Arial" w:cs="Arial"/>
        </w:rPr>
      </w:pPr>
    </w:p>
    <w:p w14:paraId="7B72B497" w14:textId="77777777" w:rsidR="004576EA" w:rsidRPr="004576EA" w:rsidRDefault="004576EA" w:rsidP="004576EA">
      <w:pPr>
        <w:spacing w:line="480" w:lineRule="auto"/>
        <w:rPr>
          <w:rFonts w:ascii="Arial" w:hAnsi="Arial" w:cs="Arial"/>
        </w:rPr>
      </w:pPr>
    </w:p>
    <w:p w14:paraId="4A6D7ABC" w14:textId="77777777" w:rsidR="00AC3010" w:rsidRDefault="00AC3010" w:rsidP="004576EA">
      <w:pPr>
        <w:spacing w:line="480" w:lineRule="auto"/>
        <w:rPr>
          <w:rFonts w:ascii="Arial" w:hAnsi="Arial" w:cs="Arial"/>
        </w:rPr>
      </w:pPr>
    </w:p>
    <w:p w14:paraId="580C7216" w14:textId="77777777" w:rsidR="00AC3010" w:rsidRDefault="00AC3010" w:rsidP="004576EA">
      <w:pPr>
        <w:spacing w:line="480" w:lineRule="auto"/>
        <w:rPr>
          <w:rFonts w:ascii="Arial" w:hAnsi="Arial" w:cs="Arial"/>
        </w:rPr>
      </w:pPr>
    </w:p>
    <w:p w14:paraId="35B9CD14" w14:textId="77777777" w:rsidR="00AC3010" w:rsidRDefault="00AC3010" w:rsidP="004576EA">
      <w:pPr>
        <w:spacing w:line="480" w:lineRule="auto"/>
        <w:rPr>
          <w:rFonts w:ascii="Arial" w:hAnsi="Arial" w:cs="Arial"/>
        </w:rPr>
      </w:pPr>
    </w:p>
    <w:p w14:paraId="1580874C" w14:textId="77777777" w:rsidR="00AC3010" w:rsidRDefault="00AC3010" w:rsidP="004576EA">
      <w:pPr>
        <w:spacing w:line="480" w:lineRule="auto"/>
        <w:rPr>
          <w:rFonts w:ascii="Arial" w:hAnsi="Arial" w:cs="Arial"/>
        </w:rPr>
      </w:pPr>
    </w:p>
    <w:p w14:paraId="0730DC40" w14:textId="77777777" w:rsidR="00AC3010" w:rsidRDefault="00AC3010" w:rsidP="004576EA">
      <w:pPr>
        <w:spacing w:line="480" w:lineRule="auto"/>
        <w:rPr>
          <w:rFonts w:ascii="Arial" w:hAnsi="Arial" w:cs="Arial"/>
        </w:rPr>
      </w:pPr>
    </w:p>
    <w:p w14:paraId="1E4840C3" w14:textId="77777777" w:rsidR="00AC3010" w:rsidRDefault="00AC3010" w:rsidP="004576EA">
      <w:pPr>
        <w:spacing w:line="480" w:lineRule="auto"/>
        <w:rPr>
          <w:rFonts w:ascii="Arial" w:hAnsi="Arial" w:cs="Arial"/>
        </w:rPr>
      </w:pPr>
    </w:p>
    <w:p w14:paraId="101C73B0" w14:textId="77777777" w:rsidR="00AC3010" w:rsidRDefault="00AC3010" w:rsidP="004576EA">
      <w:pPr>
        <w:spacing w:line="480" w:lineRule="auto"/>
        <w:rPr>
          <w:rFonts w:ascii="Arial" w:hAnsi="Arial" w:cs="Arial"/>
        </w:rPr>
      </w:pPr>
    </w:p>
    <w:p w14:paraId="5F102911" w14:textId="77777777" w:rsidR="00AC3010" w:rsidRDefault="004576EA" w:rsidP="004576EA">
      <w:pPr>
        <w:spacing w:line="480" w:lineRule="auto"/>
        <w:rPr>
          <w:rFonts w:ascii="Arial" w:hAnsi="Arial" w:cs="Arial"/>
          <w:b/>
          <w:bCs/>
        </w:rPr>
      </w:pPr>
      <w:r w:rsidRPr="00AC3010">
        <w:rPr>
          <w:rFonts w:ascii="Arial" w:hAnsi="Arial" w:cs="Arial"/>
          <w:b/>
          <w:bCs/>
        </w:rPr>
        <w:lastRenderedPageBreak/>
        <w:t>Belu's Mission and Strategic Model</w:t>
      </w:r>
    </w:p>
    <w:p w14:paraId="1C0142CA" w14:textId="77777777" w:rsidR="00AC3010" w:rsidRDefault="004576EA" w:rsidP="004576EA">
      <w:pPr>
        <w:spacing w:line="480" w:lineRule="auto"/>
        <w:rPr>
          <w:rFonts w:ascii="Arial" w:hAnsi="Arial" w:cs="Arial"/>
          <w:b/>
          <w:bCs/>
        </w:rPr>
      </w:pPr>
      <w:r w:rsidRPr="004576EA">
        <w:rPr>
          <w:rFonts w:ascii="Arial" w:hAnsi="Arial" w:cs="Arial"/>
        </w:rPr>
        <w:t>Belu Water was founded to show that business can be used as a tool to support the environment and society. The mission of Belu Water is to lessen the environmental damage caused by the bottled water industry while using the profits from Belu Water to help support clean water and sanitation programs globally. This mission is based on the hybrid model of social enterprise found in (</w:t>
      </w:r>
      <w:proofErr w:type="spellStart"/>
      <w:r w:rsidRPr="004576EA">
        <w:rPr>
          <w:rFonts w:ascii="Arial" w:hAnsi="Arial" w:cs="Arial"/>
        </w:rPr>
        <w:t>Defourny</w:t>
      </w:r>
      <w:proofErr w:type="spellEnd"/>
      <w:r w:rsidRPr="004576EA">
        <w:rPr>
          <w:rFonts w:ascii="Arial" w:hAnsi="Arial" w:cs="Arial"/>
        </w:rPr>
        <w:t xml:space="preserve"> &amp; Nyssens, 2021). Belu Water's strategic response to two key global issues: </w:t>
      </w:r>
      <w:r w:rsidR="00AC3010">
        <w:rPr>
          <w:rFonts w:ascii="Arial" w:hAnsi="Arial" w:cs="Arial"/>
        </w:rPr>
        <w:t>e</w:t>
      </w:r>
      <w:r w:rsidRPr="004576EA">
        <w:rPr>
          <w:rFonts w:ascii="Arial" w:hAnsi="Arial" w:cs="Arial"/>
        </w:rPr>
        <w:t xml:space="preserve">nvironmental </w:t>
      </w:r>
      <w:r w:rsidR="00AC3010">
        <w:rPr>
          <w:rFonts w:ascii="Arial" w:hAnsi="Arial" w:cs="Arial"/>
        </w:rPr>
        <w:t>w</w:t>
      </w:r>
      <w:r w:rsidRPr="004576EA">
        <w:rPr>
          <w:rFonts w:ascii="Arial" w:hAnsi="Arial" w:cs="Arial"/>
        </w:rPr>
        <w:t xml:space="preserve">aste and the </w:t>
      </w:r>
      <w:r w:rsidR="00AC3010">
        <w:rPr>
          <w:rFonts w:ascii="Arial" w:hAnsi="Arial" w:cs="Arial"/>
        </w:rPr>
        <w:t>l</w:t>
      </w:r>
      <w:r w:rsidRPr="004576EA">
        <w:rPr>
          <w:rFonts w:ascii="Arial" w:hAnsi="Arial" w:cs="Arial"/>
        </w:rPr>
        <w:t xml:space="preserve">ack of </w:t>
      </w:r>
      <w:r w:rsidR="00AC3010">
        <w:rPr>
          <w:rFonts w:ascii="Arial" w:hAnsi="Arial" w:cs="Arial"/>
        </w:rPr>
        <w:t>s</w:t>
      </w:r>
      <w:r w:rsidRPr="004576EA">
        <w:rPr>
          <w:rFonts w:ascii="Arial" w:hAnsi="Arial" w:cs="Arial"/>
        </w:rPr>
        <w:t xml:space="preserve">afe </w:t>
      </w:r>
      <w:r w:rsidR="00AC3010">
        <w:rPr>
          <w:rFonts w:ascii="Arial" w:hAnsi="Arial" w:cs="Arial"/>
        </w:rPr>
        <w:t>w</w:t>
      </w:r>
      <w:r w:rsidRPr="004576EA">
        <w:rPr>
          <w:rFonts w:ascii="Arial" w:hAnsi="Arial" w:cs="Arial"/>
        </w:rPr>
        <w:t xml:space="preserve">ater </w:t>
      </w:r>
      <w:r w:rsidR="00AC3010">
        <w:rPr>
          <w:rFonts w:ascii="Arial" w:hAnsi="Arial" w:cs="Arial"/>
        </w:rPr>
        <w:t>a</w:t>
      </w:r>
      <w:r w:rsidRPr="004576EA">
        <w:rPr>
          <w:rFonts w:ascii="Arial" w:hAnsi="Arial" w:cs="Arial"/>
        </w:rPr>
        <w:t>ccess.</w:t>
      </w:r>
    </w:p>
    <w:p w14:paraId="7C4EFB24" w14:textId="77777777" w:rsidR="00AC3010" w:rsidRDefault="004576EA" w:rsidP="004576EA">
      <w:pPr>
        <w:spacing w:line="480" w:lineRule="auto"/>
        <w:rPr>
          <w:rFonts w:ascii="Arial" w:hAnsi="Arial" w:cs="Arial"/>
          <w:b/>
          <w:bCs/>
        </w:rPr>
      </w:pPr>
      <w:r w:rsidRPr="004576EA">
        <w:rPr>
          <w:rFonts w:ascii="Arial" w:hAnsi="Arial" w:cs="Arial"/>
        </w:rPr>
        <w:t xml:space="preserve">Belu Water operates as a hybrid business model that prioritises transparency, sustainability, ethical decision-making, and accountability. The study of hybrid business models indicates that hybrid charities can operate by fusing both the commercial and social mission by creating a business model that embraces purpose and profitability (Grassl, 2012). Belu Water achieves this by using a minimal-impact materials policy and donating all profits to </w:t>
      </w:r>
      <w:r w:rsidR="00AC3010" w:rsidRPr="004576EA">
        <w:rPr>
          <w:rFonts w:ascii="Arial" w:hAnsi="Arial" w:cs="Arial"/>
        </w:rPr>
        <w:t>WaterAid. The</w:t>
      </w:r>
      <w:r w:rsidRPr="004576EA">
        <w:rPr>
          <w:rFonts w:ascii="Arial" w:hAnsi="Arial" w:cs="Arial"/>
        </w:rPr>
        <w:t xml:space="preserve"> Business Model Canvas of the Organisation is based on the Business Model Canvas of the Social Entrepreneurship Model where </w:t>
      </w:r>
      <w:r w:rsidR="00AC3010">
        <w:rPr>
          <w:rFonts w:ascii="Arial" w:hAnsi="Arial" w:cs="Arial"/>
        </w:rPr>
        <w:t>v</w:t>
      </w:r>
      <w:r w:rsidRPr="004576EA">
        <w:rPr>
          <w:rFonts w:ascii="Arial" w:hAnsi="Arial" w:cs="Arial"/>
        </w:rPr>
        <w:t xml:space="preserve">alue is created for customers, </w:t>
      </w:r>
      <w:r w:rsidR="00AC3010">
        <w:rPr>
          <w:rFonts w:ascii="Arial" w:hAnsi="Arial" w:cs="Arial"/>
        </w:rPr>
        <w:t>s</w:t>
      </w:r>
      <w:r w:rsidRPr="004576EA">
        <w:rPr>
          <w:rFonts w:ascii="Arial" w:hAnsi="Arial" w:cs="Arial"/>
        </w:rPr>
        <w:t xml:space="preserve">ociety and </w:t>
      </w:r>
      <w:r w:rsidR="00AC3010">
        <w:rPr>
          <w:rFonts w:ascii="Arial" w:hAnsi="Arial" w:cs="Arial"/>
        </w:rPr>
        <w:t>e</w:t>
      </w:r>
      <w:r w:rsidRPr="004576EA">
        <w:rPr>
          <w:rFonts w:ascii="Arial" w:hAnsi="Arial" w:cs="Arial"/>
        </w:rPr>
        <w:t>nvironment through non-profits or businesses operating with ethical principles of sustainability (</w:t>
      </w:r>
      <w:proofErr w:type="spellStart"/>
      <w:r w:rsidRPr="004576EA">
        <w:rPr>
          <w:rFonts w:ascii="Arial" w:hAnsi="Arial" w:cs="Arial"/>
        </w:rPr>
        <w:t>Qastharin</w:t>
      </w:r>
      <w:proofErr w:type="spellEnd"/>
      <w:r w:rsidRPr="004576EA">
        <w:rPr>
          <w:rFonts w:ascii="Arial" w:hAnsi="Arial" w:cs="Arial"/>
        </w:rPr>
        <w:t xml:space="preserve"> 2016). Belu has differentiated itself in the market for bottled water by offering a sustainable product and production process using less carbon, with improved packaging and reduced reliance on single-use plastics, and these ethical principles are in line with the social enterprise model (Bull and Ridley-Duff, 2019) which has been examined to describe how organisations make decisions and their responsibilities to stakeholders.</w:t>
      </w:r>
    </w:p>
    <w:p w14:paraId="1426DE80" w14:textId="77777777" w:rsidR="00AC3010" w:rsidRDefault="004576EA" w:rsidP="004576EA">
      <w:pPr>
        <w:spacing w:line="480" w:lineRule="auto"/>
        <w:rPr>
          <w:rFonts w:ascii="Arial" w:hAnsi="Arial" w:cs="Arial"/>
        </w:rPr>
      </w:pPr>
      <w:r w:rsidRPr="004576EA">
        <w:rPr>
          <w:rFonts w:ascii="Arial" w:hAnsi="Arial" w:cs="Arial"/>
        </w:rPr>
        <w:lastRenderedPageBreak/>
        <w:t>Belu uses environmental sustainability principles as part of its overall business strategy, and these principles coincide with sustainable business models that call for environmental protection to be included in the long-term business plan. The Triple Bottom Line Model asserts that a company should seek to achieve a balance between economic success and social and environmental impacts (Kamaludin et al., 2024). Belu is directly linking commercial success to social and environmental impacts in the model.</w:t>
      </w:r>
    </w:p>
    <w:p w14:paraId="5A9C90B4" w14:textId="7136DA34" w:rsidR="00AC3010" w:rsidRPr="00DC0CFA" w:rsidRDefault="00DC0CFA" w:rsidP="004576EA">
      <w:pPr>
        <w:spacing w:line="480" w:lineRule="auto"/>
        <w:rPr>
          <w:rFonts w:ascii="Arial" w:hAnsi="Arial" w:cs="Arial"/>
          <w:b/>
          <w:bCs/>
          <w:color w:val="000000" w:themeColor="text1"/>
        </w:rPr>
      </w:pPr>
      <w:r w:rsidRPr="00DC0CFA">
        <w:rPr>
          <w:rFonts w:ascii="Arial" w:hAnsi="Arial" w:cs="Arial"/>
          <w:b/>
          <w:bCs/>
          <w:color w:val="000000" w:themeColor="text1"/>
        </w:rPr>
        <w:t>Stakeholders’ relationships</w:t>
      </w:r>
    </w:p>
    <w:p w14:paraId="0924E83F" w14:textId="77777777" w:rsidR="00DC0CFA" w:rsidRDefault="004576EA" w:rsidP="004576EA">
      <w:pPr>
        <w:spacing w:line="480" w:lineRule="auto"/>
        <w:rPr>
          <w:rFonts w:ascii="Arial" w:hAnsi="Arial" w:cs="Arial"/>
          <w:b/>
          <w:bCs/>
        </w:rPr>
      </w:pPr>
      <w:r w:rsidRPr="004576EA">
        <w:rPr>
          <w:rFonts w:ascii="Arial" w:hAnsi="Arial" w:cs="Arial"/>
        </w:rPr>
        <w:t>Belu relies heavily on developing effective relationships with stakeholders for its success, which include suppliers, hospitality business partners, bottling facilities, environmental organisations, WaterAid and consumers, and government policy makers. According to Stakeholder Theory, to create and deliver sustainable value for an organisation, the interests of the various groups of stakeholders should be taken into consideration while serving the broader community (Awa et al., 2024). Belu has established strong accountability to its stakeholders through the regular publication of their impact reports and adherence to transparent supply chain practices.</w:t>
      </w:r>
    </w:p>
    <w:p w14:paraId="1B8BCFEA" w14:textId="77777777" w:rsidR="00DC0CFA" w:rsidRDefault="004576EA" w:rsidP="004576EA">
      <w:pPr>
        <w:spacing w:line="480" w:lineRule="auto"/>
        <w:rPr>
          <w:rFonts w:ascii="Arial" w:hAnsi="Arial" w:cs="Arial"/>
          <w:b/>
          <w:bCs/>
        </w:rPr>
      </w:pPr>
      <w:r w:rsidRPr="004576EA">
        <w:rPr>
          <w:rFonts w:ascii="Arial" w:hAnsi="Arial" w:cs="Arial"/>
        </w:rPr>
        <w:t xml:space="preserve">Belu has generated </w:t>
      </w:r>
      <w:r w:rsidR="00DC0CFA" w:rsidRPr="004576EA">
        <w:rPr>
          <w:rFonts w:ascii="Arial" w:hAnsi="Arial" w:cs="Arial"/>
        </w:rPr>
        <w:t>most of</w:t>
      </w:r>
      <w:r w:rsidRPr="004576EA">
        <w:rPr>
          <w:rFonts w:ascii="Arial" w:hAnsi="Arial" w:cs="Arial"/>
        </w:rPr>
        <w:t xml:space="preserve"> its financial resources through the sale of its water products, however they also have access to the technical knowledge and expertise through partnerships with bottling and sustainability providers, which provides them with a form of social capital through their partnership with WaterAid. Research has shown that the link between resources and outputs and outcomes is important to effectively show the impact of social enterprises (Costa and Andreaus 2021).Impact will be tracked via a number of metrics including reductions in carbon footprints and </w:t>
      </w:r>
      <w:r w:rsidRPr="004576EA">
        <w:rPr>
          <w:rFonts w:ascii="Arial" w:hAnsi="Arial" w:cs="Arial"/>
        </w:rPr>
        <w:lastRenderedPageBreak/>
        <w:t>plastic use, percentages of financial contributions made to WaterAid, and the percentage of filtration systems that are provided to customers.</w:t>
      </w:r>
    </w:p>
    <w:p w14:paraId="67691F57" w14:textId="77777777" w:rsidR="00DC0CFA" w:rsidRDefault="004576EA" w:rsidP="004576EA">
      <w:pPr>
        <w:spacing w:line="480" w:lineRule="auto"/>
        <w:rPr>
          <w:rFonts w:ascii="Arial" w:hAnsi="Arial" w:cs="Arial"/>
          <w:b/>
          <w:bCs/>
        </w:rPr>
      </w:pPr>
      <w:r w:rsidRPr="004576EA">
        <w:rPr>
          <w:rFonts w:ascii="Arial" w:hAnsi="Arial" w:cs="Arial"/>
        </w:rPr>
        <w:t xml:space="preserve">A company’s values guide how it allocates its resources, and the literature on social enterprises indicates that the ethical values of the social enterprise will inform how it will approach the selection of its suppliers, how it will manufacture products, and how it will distribute products (Bhatt, 2022). The fact that Belu consistently uses sustainable materials in its products, as well as renewable energy sources when feasible, and implements efficient distribution methods, indicates that Belu cares about how they operate as a </w:t>
      </w:r>
      <w:r w:rsidR="00DC0CFA" w:rsidRPr="004576EA">
        <w:rPr>
          <w:rFonts w:ascii="Arial" w:hAnsi="Arial" w:cs="Arial"/>
        </w:rPr>
        <w:t>socially responsible</w:t>
      </w:r>
      <w:r w:rsidRPr="004576EA">
        <w:rPr>
          <w:rFonts w:ascii="Arial" w:hAnsi="Arial" w:cs="Arial"/>
        </w:rPr>
        <w:t xml:space="preserve"> company.</w:t>
      </w:r>
    </w:p>
    <w:p w14:paraId="6912F59A" w14:textId="3B9ABE74" w:rsidR="004576EA" w:rsidRPr="00DC0CFA" w:rsidRDefault="004576EA" w:rsidP="004576EA">
      <w:pPr>
        <w:spacing w:line="480" w:lineRule="auto"/>
        <w:rPr>
          <w:rFonts w:ascii="Arial" w:hAnsi="Arial" w:cs="Arial"/>
          <w:b/>
          <w:bCs/>
        </w:rPr>
      </w:pPr>
      <w:r w:rsidRPr="004576EA">
        <w:rPr>
          <w:rFonts w:ascii="Arial" w:hAnsi="Arial" w:cs="Arial"/>
        </w:rPr>
        <w:t xml:space="preserve">Collaboration is a key strategy for Belu when working with partners from the hospitality industry. This method of collaboration is aligned with the findings of the literature regarding business model innovation. The research shows that social enterprises </w:t>
      </w:r>
      <w:r w:rsidR="00DC0CFA" w:rsidRPr="004576EA">
        <w:rPr>
          <w:rFonts w:ascii="Arial" w:hAnsi="Arial" w:cs="Arial"/>
        </w:rPr>
        <w:t>tend to</w:t>
      </w:r>
      <w:r w:rsidRPr="004576EA">
        <w:rPr>
          <w:rFonts w:ascii="Arial" w:hAnsi="Arial" w:cs="Arial"/>
        </w:rPr>
        <w:t xml:space="preserve"> grow and develop through collaborative partnerships instead of traditional competitive strategies (Jha et al., 2021), which is supported by Belu's partnerships with restaurants, hotels and event spaces. Belu's partnerships with these businesses allow it to reach more customers and promote the adoption of sustainable practices within the hospitality industry.</w:t>
      </w:r>
    </w:p>
    <w:p w14:paraId="176512AE" w14:textId="04D0DA33" w:rsidR="004576EA" w:rsidRPr="00DC0CFA" w:rsidRDefault="00DC0CFA" w:rsidP="004576EA">
      <w:pPr>
        <w:spacing w:line="480" w:lineRule="auto"/>
        <w:rPr>
          <w:rFonts w:ascii="Arial" w:hAnsi="Arial" w:cs="Arial"/>
          <w:b/>
          <w:bCs/>
        </w:rPr>
      </w:pPr>
      <w:r w:rsidRPr="00DC0CFA">
        <w:rPr>
          <w:rFonts w:ascii="Arial" w:hAnsi="Arial" w:cs="Arial"/>
          <w:b/>
          <w:bCs/>
        </w:rPr>
        <w:t xml:space="preserve">Value creation </w:t>
      </w:r>
    </w:p>
    <w:p w14:paraId="5F9B0B17" w14:textId="77777777" w:rsidR="00DC0CFA" w:rsidRDefault="004576EA" w:rsidP="004576EA">
      <w:pPr>
        <w:spacing w:line="480" w:lineRule="auto"/>
        <w:rPr>
          <w:rFonts w:ascii="Arial" w:hAnsi="Arial" w:cs="Arial"/>
        </w:rPr>
      </w:pPr>
      <w:r w:rsidRPr="004576EA">
        <w:rPr>
          <w:rFonts w:ascii="Arial" w:hAnsi="Arial" w:cs="Arial"/>
        </w:rPr>
        <w:t xml:space="preserve">Belu creates social value for society by providing safe drinking water and improved sanitation to low-income people through its environmentally conscious business practices and charitable contributions to a known charitable organisation. The pathway through which Belu creates its social value is clear; all profits derived from Belu's business operations will be donated to WaterAid, which will then use those funds to increase access to clean, safe drinking water and sanitation for those in </w:t>
      </w:r>
      <w:r w:rsidRPr="004576EA">
        <w:rPr>
          <w:rFonts w:ascii="Arial" w:hAnsi="Arial" w:cs="Arial"/>
        </w:rPr>
        <w:lastRenderedPageBreak/>
        <w:t>need. Therefore, the logic behind Belu's business Model is based on its ability to connect the various activities in the creation of its business to the outcomes and long-term impacts of those activities, which is a strong example of the theory of change logic (Dart &amp; Gates, 2024; Raimi et al., 2022).</w:t>
      </w:r>
    </w:p>
    <w:p w14:paraId="00F3E9BE" w14:textId="77777777" w:rsidR="00DC0CFA" w:rsidRDefault="004576EA" w:rsidP="004576EA">
      <w:pPr>
        <w:spacing w:line="480" w:lineRule="auto"/>
        <w:rPr>
          <w:rFonts w:ascii="Arial" w:hAnsi="Arial" w:cs="Arial"/>
        </w:rPr>
      </w:pPr>
      <w:r w:rsidRPr="004576EA">
        <w:rPr>
          <w:rFonts w:ascii="Arial" w:hAnsi="Arial" w:cs="Arial"/>
        </w:rPr>
        <w:t xml:space="preserve">Belu also creates significant environmental value through reducing waste and carbon emissions through the adoption of alternative materials and by promoting refilling and filtering </w:t>
      </w:r>
      <w:r w:rsidR="00DC0CFA" w:rsidRPr="004576EA">
        <w:rPr>
          <w:rFonts w:ascii="Arial" w:hAnsi="Arial" w:cs="Arial"/>
        </w:rPr>
        <w:t>systems. Sustainability</w:t>
      </w:r>
      <w:r w:rsidRPr="004576EA">
        <w:rPr>
          <w:rFonts w:ascii="Arial" w:hAnsi="Arial" w:cs="Arial"/>
        </w:rPr>
        <w:t xml:space="preserve"> frameworks highlight the significance of decreasing ecological footprints regarding a company's socially responsible business strategy (Kamaludin et al., 2024). Belu's water filtration products decrease restaurants' and offices' dependency on bottled plastic and enable a holistic approach to environmental change.</w:t>
      </w:r>
    </w:p>
    <w:p w14:paraId="190AE61F" w14:textId="77777777" w:rsidR="00DC0CFA" w:rsidRDefault="004576EA" w:rsidP="004576EA">
      <w:pPr>
        <w:spacing w:line="480" w:lineRule="auto"/>
        <w:rPr>
          <w:rFonts w:ascii="Arial" w:hAnsi="Arial" w:cs="Arial"/>
        </w:rPr>
      </w:pPr>
      <w:r w:rsidRPr="004576EA">
        <w:rPr>
          <w:rFonts w:ascii="Arial" w:hAnsi="Arial" w:cs="Arial"/>
        </w:rPr>
        <w:t>The creation of social value through WaterAid is another aspect of how Belu creates value. The funds donated by Belu assist with the construction of wells, sanitation systems, hygiene education and community management of water. The relationship between Belu's commercial activity and global social impacts represents Belu's ethical approach to creating value for all parties, another theme identified in the literature on the ethics of social enterprises (Bull &amp; Ridley-Duff, 2019; Byerly, 2014).</w:t>
      </w:r>
    </w:p>
    <w:p w14:paraId="72BC590F" w14:textId="415FF370" w:rsidR="004576EA" w:rsidRPr="004576EA" w:rsidRDefault="004576EA" w:rsidP="004576EA">
      <w:pPr>
        <w:spacing w:line="480" w:lineRule="auto"/>
        <w:rPr>
          <w:rFonts w:ascii="Arial" w:hAnsi="Arial" w:cs="Arial"/>
        </w:rPr>
      </w:pPr>
      <w:r w:rsidRPr="004576EA">
        <w:rPr>
          <w:rFonts w:ascii="Arial" w:hAnsi="Arial" w:cs="Arial"/>
        </w:rPr>
        <w:t>Belu also influences customers' purchasing choices. The availability of sustainable options and the provision of clear and coherent environmental information encourage customers to adopt environmentally responsible behaviours. A growing body of research demonstrates how social-based enterprises provide educational value to consumers and call attention to unsustainable consumption and production practices (Grassl, 2012).</w:t>
      </w:r>
    </w:p>
    <w:p w14:paraId="3EB18212" w14:textId="77777777" w:rsidR="004576EA" w:rsidRPr="004576EA" w:rsidRDefault="004576EA" w:rsidP="004576EA">
      <w:pPr>
        <w:spacing w:line="480" w:lineRule="auto"/>
        <w:rPr>
          <w:rFonts w:ascii="Arial" w:hAnsi="Arial" w:cs="Arial"/>
        </w:rPr>
      </w:pPr>
    </w:p>
    <w:p w14:paraId="3AD7BC7D" w14:textId="77777777" w:rsidR="004576EA" w:rsidRPr="00DC0CFA" w:rsidRDefault="004576EA" w:rsidP="004576EA">
      <w:pPr>
        <w:spacing w:line="480" w:lineRule="auto"/>
        <w:rPr>
          <w:rFonts w:ascii="Arial" w:hAnsi="Arial" w:cs="Arial"/>
          <w:b/>
          <w:bCs/>
        </w:rPr>
      </w:pPr>
      <w:r w:rsidRPr="00DC0CFA">
        <w:rPr>
          <w:rFonts w:ascii="Arial" w:hAnsi="Arial" w:cs="Arial"/>
          <w:b/>
          <w:bCs/>
        </w:rPr>
        <w:lastRenderedPageBreak/>
        <w:t>Community Outcomes and Global Influence</w:t>
      </w:r>
    </w:p>
    <w:p w14:paraId="1AE6CD11" w14:textId="77777777" w:rsidR="00DC0CFA" w:rsidRDefault="004576EA" w:rsidP="004576EA">
      <w:pPr>
        <w:spacing w:line="480" w:lineRule="auto"/>
        <w:rPr>
          <w:rFonts w:ascii="Arial" w:hAnsi="Arial" w:cs="Arial"/>
        </w:rPr>
      </w:pPr>
      <w:r w:rsidRPr="004576EA">
        <w:rPr>
          <w:rFonts w:ascii="Arial" w:hAnsi="Arial" w:cs="Arial"/>
        </w:rPr>
        <w:t>Belu's financial contributions to WaterAid provide tangible benefits for communities in developing countries in terms of enhanced living conditions. Reliable access to safe water and adequate sanitation services leads to fewer instances of disease, more children attending school, and greater productivity at work. Research into the social business models of social enterprises indicates that social enterprises can achieve improved outcomes when they align their activities with established development organisations (Mahfuz Ashraf et al., 2019). Belu exemplifies this principle through its partnership with WaterAid.</w:t>
      </w:r>
    </w:p>
    <w:p w14:paraId="31D5DC11" w14:textId="77777777" w:rsidR="00DC0CFA" w:rsidRDefault="004576EA" w:rsidP="004576EA">
      <w:pPr>
        <w:spacing w:line="480" w:lineRule="auto"/>
        <w:rPr>
          <w:rFonts w:ascii="Arial" w:hAnsi="Arial" w:cs="Arial"/>
        </w:rPr>
      </w:pPr>
      <w:r w:rsidRPr="004576EA">
        <w:rPr>
          <w:rFonts w:ascii="Arial" w:hAnsi="Arial" w:cs="Arial"/>
        </w:rPr>
        <w:t>Beyond community outcomes, Belu has an impact on the overall water industry through its continued emphasis on sustainability. By advocating for the adoption of sustainable business practices, as well as encouraging other companies in the industry to do so, Belu plays a key role in the creation of new paradigms within the water industry. Business model innovation theory supports the idea that by providing innovative and commercially viable solutions to social issues, social enterprises can drive systemic change beyond their own operations (</w:t>
      </w:r>
      <w:proofErr w:type="spellStart"/>
      <w:r w:rsidRPr="004576EA">
        <w:rPr>
          <w:rFonts w:ascii="Arial" w:hAnsi="Arial" w:cs="Arial"/>
        </w:rPr>
        <w:t>Tykkyl</w:t>
      </w:r>
      <w:r w:rsidR="00DC0CFA">
        <w:rPr>
          <w:rFonts w:ascii="Arial" w:hAnsi="Arial" w:cs="Arial"/>
        </w:rPr>
        <w:t>a</w:t>
      </w:r>
      <w:r w:rsidRPr="004576EA">
        <w:rPr>
          <w:rFonts w:ascii="Arial" w:hAnsi="Arial" w:cs="Arial"/>
        </w:rPr>
        <w:t>inen</w:t>
      </w:r>
      <w:proofErr w:type="spellEnd"/>
      <w:r w:rsidRPr="004576EA">
        <w:rPr>
          <w:rFonts w:ascii="Arial" w:hAnsi="Arial" w:cs="Arial"/>
        </w:rPr>
        <w:t xml:space="preserve"> &amp; </w:t>
      </w:r>
      <w:proofErr w:type="spellStart"/>
      <w:r w:rsidRPr="004576EA">
        <w:rPr>
          <w:rFonts w:ascii="Arial" w:hAnsi="Arial" w:cs="Arial"/>
        </w:rPr>
        <w:t>Ritala</w:t>
      </w:r>
      <w:proofErr w:type="spellEnd"/>
      <w:r w:rsidRPr="004576EA">
        <w:rPr>
          <w:rFonts w:ascii="Arial" w:hAnsi="Arial" w:cs="Arial"/>
        </w:rPr>
        <w:t>, 2021). In this respect, Belu supports the development of a "sustainable water industry" through the demonstration of the commercial viability of producing and marketing environmentally responsible products.</w:t>
      </w:r>
    </w:p>
    <w:p w14:paraId="13AE2880" w14:textId="77777777" w:rsidR="00DC0CFA" w:rsidRDefault="004576EA" w:rsidP="004576EA">
      <w:pPr>
        <w:spacing w:line="480" w:lineRule="auto"/>
        <w:rPr>
          <w:rFonts w:ascii="Arial" w:hAnsi="Arial" w:cs="Arial"/>
        </w:rPr>
      </w:pPr>
      <w:r w:rsidRPr="004576EA">
        <w:rPr>
          <w:rFonts w:ascii="Arial" w:hAnsi="Arial" w:cs="Arial"/>
        </w:rPr>
        <w:t xml:space="preserve">Belu also encourages engagement with all stakeholders to achieve a broader impact. By working to minimise waste and promote sustainable procurement practices among its hospitality partners, Belu exemplifies the core premise of stakeholder theory that organisations must help to shape the behaviour of all </w:t>
      </w:r>
      <w:r w:rsidRPr="004576EA">
        <w:rPr>
          <w:rFonts w:ascii="Arial" w:hAnsi="Arial" w:cs="Arial"/>
        </w:rPr>
        <w:lastRenderedPageBreak/>
        <w:t>stakeholders in their ecosystem (Awa et al., 2024). In doing so, Belu provides significant support to the entire sector in achieving sustainability.</w:t>
      </w:r>
    </w:p>
    <w:p w14:paraId="1C195951" w14:textId="5D620030" w:rsidR="004576EA" w:rsidRPr="004576EA" w:rsidRDefault="004576EA" w:rsidP="004576EA">
      <w:pPr>
        <w:spacing w:line="480" w:lineRule="auto"/>
        <w:rPr>
          <w:rFonts w:ascii="Arial" w:hAnsi="Arial" w:cs="Arial"/>
        </w:rPr>
      </w:pPr>
      <w:r w:rsidRPr="004576EA">
        <w:rPr>
          <w:rFonts w:ascii="Arial" w:hAnsi="Arial" w:cs="Arial"/>
        </w:rPr>
        <w:t>The environmental benefits generated by Belu's work include reductions in greenhouse gas emissions, reductions in plastic waste and support for sustainable water use practices. Research demonstrates that enterprises seeking to achieve a long-term impact on the environment must combine efficient use of resources with clear strategic commitments (Kamaludin et al., 2024). Belu illustrates this through its environmental reporting and continuous improvement initiatives.</w:t>
      </w:r>
    </w:p>
    <w:p w14:paraId="508F4ED9" w14:textId="77777777" w:rsidR="004576EA" w:rsidRPr="00DC0CFA" w:rsidRDefault="004576EA" w:rsidP="004576EA">
      <w:pPr>
        <w:spacing w:line="480" w:lineRule="auto"/>
        <w:rPr>
          <w:rFonts w:ascii="Arial" w:hAnsi="Arial" w:cs="Arial"/>
          <w:b/>
          <w:bCs/>
        </w:rPr>
      </w:pPr>
      <w:r w:rsidRPr="00DC0CFA">
        <w:rPr>
          <w:rFonts w:ascii="Arial" w:hAnsi="Arial" w:cs="Arial"/>
          <w:b/>
          <w:bCs/>
        </w:rPr>
        <w:t>Conclusion</w:t>
      </w:r>
    </w:p>
    <w:p w14:paraId="41B0E020" w14:textId="140D23FB" w:rsidR="004576EA" w:rsidRDefault="004576EA" w:rsidP="004576EA">
      <w:pPr>
        <w:spacing w:line="480" w:lineRule="auto"/>
        <w:rPr>
          <w:rFonts w:ascii="Arial" w:hAnsi="Arial" w:cs="Arial"/>
        </w:rPr>
      </w:pPr>
      <w:r w:rsidRPr="004576EA">
        <w:rPr>
          <w:rFonts w:ascii="Arial" w:hAnsi="Arial" w:cs="Arial"/>
        </w:rPr>
        <w:t xml:space="preserve">Through its mission-focused model, Belu Water illustrates how a hybrid enterprise can integrate sustainability, ethical manufacturing and social purpose into a commercially viable business model. By donating profits to WaterAid and minimising adverse environmental impacts, Belu has a holistic impact on society and the environment. Belu's hybrid enterprise model embodies </w:t>
      </w:r>
      <w:r w:rsidR="00DC0CFA" w:rsidRPr="004576EA">
        <w:rPr>
          <w:rFonts w:ascii="Arial" w:hAnsi="Arial" w:cs="Arial"/>
        </w:rPr>
        <w:t>all</w:t>
      </w:r>
      <w:r w:rsidRPr="004576EA">
        <w:rPr>
          <w:rFonts w:ascii="Arial" w:hAnsi="Arial" w:cs="Arial"/>
        </w:rPr>
        <w:t xml:space="preserve"> the beliefs that are articulated in the leading theories related to the ethical obligations of social enterprises, the role of sustainability in the lives of social enterprises, the methods and means of stakeholder engagement, and the potential for innovation in business models. In summary, Belu is a prime example of a hybrid enterprise that generates long-term systemic change.</w:t>
      </w:r>
    </w:p>
    <w:p w14:paraId="3DBDC2E0" w14:textId="77777777" w:rsidR="00AC3010" w:rsidRDefault="00AC3010" w:rsidP="004576EA">
      <w:pPr>
        <w:spacing w:line="480" w:lineRule="auto"/>
        <w:rPr>
          <w:rFonts w:ascii="Arial" w:hAnsi="Arial" w:cs="Arial"/>
        </w:rPr>
      </w:pPr>
    </w:p>
    <w:p w14:paraId="2E4209B5" w14:textId="77777777" w:rsidR="00AC3010" w:rsidRDefault="00AC3010" w:rsidP="004576EA">
      <w:pPr>
        <w:spacing w:line="480" w:lineRule="auto"/>
        <w:rPr>
          <w:rFonts w:ascii="Arial" w:hAnsi="Arial" w:cs="Arial"/>
        </w:rPr>
      </w:pPr>
    </w:p>
    <w:p w14:paraId="2E48BF7B" w14:textId="77777777" w:rsidR="00AC3010" w:rsidRDefault="00AC3010" w:rsidP="004576EA">
      <w:pPr>
        <w:spacing w:line="480" w:lineRule="auto"/>
        <w:rPr>
          <w:rFonts w:ascii="Arial" w:hAnsi="Arial" w:cs="Arial"/>
        </w:rPr>
      </w:pPr>
    </w:p>
    <w:p w14:paraId="055D2E93" w14:textId="77777777" w:rsidR="00DC0CFA" w:rsidRDefault="00DC0CFA" w:rsidP="004576EA">
      <w:pPr>
        <w:spacing w:line="480" w:lineRule="auto"/>
        <w:rPr>
          <w:rFonts w:ascii="Arial" w:hAnsi="Arial" w:cs="Arial"/>
        </w:rPr>
      </w:pPr>
    </w:p>
    <w:p w14:paraId="5F602E68" w14:textId="572A1B11" w:rsidR="00AC3010" w:rsidRPr="00DC0CFA" w:rsidRDefault="00AC3010" w:rsidP="004576EA">
      <w:pPr>
        <w:spacing w:line="480" w:lineRule="auto"/>
        <w:rPr>
          <w:rFonts w:ascii="Arial" w:hAnsi="Arial" w:cs="Arial"/>
          <w:b/>
          <w:bCs/>
        </w:rPr>
      </w:pPr>
      <w:r w:rsidRPr="00DC0CFA">
        <w:rPr>
          <w:rFonts w:ascii="Arial" w:hAnsi="Arial" w:cs="Arial"/>
          <w:b/>
          <w:bCs/>
        </w:rPr>
        <w:lastRenderedPageBreak/>
        <w:t xml:space="preserve">References </w:t>
      </w:r>
    </w:p>
    <w:p w14:paraId="34306401" w14:textId="77777777" w:rsidR="00AC3010" w:rsidRPr="00AC3010" w:rsidRDefault="00AC3010" w:rsidP="00AC3010">
      <w:pPr>
        <w:spacing w:line="480" w:lineRule="auto"/>
        <w:rPr>
          <w:rFonts w:ascii="Arial" w:hAnsi="Arial" w:cs="Arial"/>
        </w:rPr>
      </w:pPr>
      <w:r w:rsidRPr="00AC3010">
        <w:rPr>
          <w:rFonts w:ascii="Arial" w:hAnsi="Arial" w:cs="Arial"/>
        </w:rPr>
        <w:t xml:space="preserve">Awa, H. O., Etim, W., &amp; Ogbonda, E. (2024). Stakeholders, stakeholder theory and corporate social responsibility. </w:t>
      </w:r>
      <w:r w:rsidRPr="00DC0CFA">
        <w:rPr>
          <w:rFonts w:ascii="Arial" w:hAnsi="Arial" w:cs="Arial"/>
          <w:i/>
          <w:iCs/>
        </w:rPr>
        <w:t>International Journal of Corporate Social Responsibility, 9</w:t>
      </w:r>
      <w:r w:rsidRPr="00AC3010">
        <w:rPr>
          <w:rFonts w:ascii="Arial" w:hAnsi="Arial" w:cs="Arial"/>
        </w:rPr>
        <w:t>(1), 11.</w:t>
      </w:r>
    </w:p>
    <w:p w14:paraId="3F794E6F" w14:textId="77777777" w:rsidR="00AC3010" w:rsidRPr="00AC3010" w:rsidRDefault="00AC3010" w:rsidP="00AC3010">
      <w:pPr>
        <w:spacing w:line="480" w:lineRule="auto"/>
        <w:rPr>
          <w:rFonts w:ascii="Arial" w:hAnsi="Arial" w:cs="Arial"/>
        </w:rPr>
      </w:pPr>
      <w:r w:rsidRPr="00AC3010">
        <w:rPr>
          <w:rFonts w:ascii="Arial" w:hAnsi="Arial" w:cs="Arial"/>
        </w:rPr>
        <w:t xml:space="preserve">Bhatt, B. (2022). Ethical complexity of social change. </w:t>
      </w:r>
      <w:r w:rsidRPr="00DC0CFA">
        <w:rPr>
          <w:rFonts w:ascii="Arial" w:hAnsi="Arial" w:cs="Arial"/>
          <w:i/>
          <w:iCs/>
        </w:rPr>
        <w:t>Journal of Business Ethics, 177</w:t>
      </w:r>
      <w:r w:rsidRPr="00AC3010">
        <w:rPr>
          <w:rFonts w:ascii="Arial" w:hAnsi="Arial" w:cs="Arial"/>
        </w:rPr>
        <w:t>(4), 743–762.</w:t>
      </w:r>
    </w:p>
    <w:p w14:paraId="2BC2CA86" w14:textId="77777777" w:rsidR="00AC3010" w:rsidRPr="00AC3010" w:rsidRDefault="00AC3010" w:rsidP="00AC3010">
      <w:pPr>
        <w:spacing w:line="480" w:lineRule="auto"/>
        <w:rPr>
          <w:rFonts w:ascii="Arial" w:hAnsi="Arial" w:cs="Arial"/>
        </w:rPr>
      </w:pPr>
      <w:r w:rsidRPr="00AC3010">
        <w:rPr>
          <w:rFonts w:ascii="Arial" w:hAnsi="Arial" w:cs="Arial"/>
        </w:rPr>
        <w:t xml:space="preserve">Bull, M., &amp; Ridley-Duff, R. (2019). Ethics in social enterprise business models. </w:t>
      </w:r>
      <w:r w:rsidRPr="00DC0CFA">
        <w:rPr>
          <w:rFonts w:ascii="Arial" w:hAnsi="Arial" w:cs="Arial"/>
          <w:i/>
          <w:iCs/>
        </w:rPr>
        <w:t>Journal of Business Ethics, 159</w:t>
      </w:r>
      <w:r w:rsidRPr="00AC3010">
        <w:rPr>
          <w:rFonts w:ascii="Arial" w:hAnsi="Arial" w:cs="Arial"/>
        </w:rPr>
        <w:t>(3), 619–634.</w:t>
      </w:r>
    </w:p>
    <w:p w14:paraId="6AE0341E" w14:textId="77777777" w:rsidR="00AC3010" w:rsidRPr="00AC3010" w:rsidRDefault="00AC3010" w:rsidP="00AC3010">
      <w:pPr>
        <w:spacing w:line="480" w:lineRule="auto"/>
        <w:rPr>
          <w:rFonts w:ascii="Arial" w:hAnsi="Arial" w:cs="Arial"/>
        </w:rPr>
      </w:pPr>
      <w:r w:rsidRPr="00AC3010">
        <w:rPr>
          <w:rFonts w:ascii="Arial" w:hAnsi="Arial" w:cs="Arial"/>
        </w:rPr>
        <w:t xml:space="preserve">Byerly, R. T. (2014). Social enterprise and business model innovation. </w:t>
      </w:r>
      <w:r w:rsidRPr="00DC0CFA">
        <w:rPr>
          <w:rFonts w:ascii="Arial" w:hAnsi="Arial" w:cs="Arial"/>
          <w:i/>
          <w:iCs/>
        </w:rPr>
        <w:t>Social Business, 4</w:t>
      </w:r>
      <w:r w:rsidRPr="00AC3010">
        <w:rPr>
          <w:rFonts w:ascii="Arial" w:hAnsi="Arial" w:cs="Arial"/>
        </w:rPr>
        <w:t>(4), 325–343.</w:t>
      </w:r>
    </w:p>
    <w:p w14:paraId="363C6101" w14:textId="77777777" w:rsidR="00AC3010" w:rsidRPr="00AC3010" w:rsidRDefault="00AC3010" w:rsidP="00AC3010">
      <w:pPr>
        <w:spacing w:line="480" w:lineRule="auto"/>
        <w:rPr>
          <w:rFonts w:ascii="Arial" w:hAnsi="Arial" w:cs="Arial"/>
        </w:rPr>
      </w:pPr>
      <w:r w:rsidRPr="00AC3010">
        <w:rPr>
          <w:rFonts w:ascii="Arial" w:hAnsi="Arial" w:cs="Arial"/>
        </w:rPr>
        <w:t xml:space="preserve">Costa, E., &amp; Andreaus, M. (2021). Social impact and performance measurement. </w:t>
      </w:r>
      <w:r w:rsidRPr="00DC0CFA">
        <w:rPr>
          <w:rFonts w:ascii="Arial" w:hAnsi="Arial" w:cs="Arial"/>
          <w:i/>
          <w:iCs/>
        </w:rPr>
        <w:t>Journal of Public Budgeting, Accounting &amp; Financial Management, 33</w:t>
      </w:r>
      <w:r w:rsidRPr="00AC3010">
        <w:rPr>
          <w:rFonts w:ascii="Arial" w:hAnsi="Arial" w:cs="Arial"/>
        </w:rPr>
        <w:t>(3), 289–313.</w:t>
      </w:r>
    </w:p>
    <w:p w14:paraId="456231D0" w14:textId="77777777" w:rsidR="00AC3010" w:rsidRPr="00AC3010" w:rsidRDefault="00AC3010" w:rsidP="00AC3010">
      <w:pPr>
        <w:spacing w:line="480" w:lineRule="auto"/>
        <w:rPr>
          <w:rFonts w:ascii="Arial" w:hAnsi="Arial" w:cs="Arial"/>
        </w:rPr>
      </w:pPr>
      <w:r w:rsidRPr="00AC3010">
        <w:rPr>
          <w:rFonts w:ascii="Arial" w:hAnsi="Arial" w:cs="Arial"/>
        </w:rPr>
        <w:t xml:space="preserve">Dart, J., &amp; Gates, E. (2024). </w:t>
      </w:r>
      <w:r w:rsidRPr="00DC0CFA">
        <w:rPr>
          <w:rFonts w:ascii="Arial" w:hAnsi="Arial" w:cs="Arial"/>
          <w:i/>
          <w:iCs/>
        </w:rPr>
        <w:t>Theory of change and futures thinking</w:t>
      </w:r>
      <w:r w:rsidRPr="00AC3010">
        <w:rPr>
          <w:rFonts w:ascii="Arial" w:hAnsi="Arial" w:cs="Arial"/>
        </w:rPr>
        <w:t>. New Directions for Evaluation, 182, 45–62.</w:t>
      </w:r>
    </w:p>
    <w:p w14:paraId="631DD938" w14:textId="77777777" w:rsidR="00AC3010" w:rsidRPr="00AC3010" w:rsidRDefault="00AC3010" w:rsidP="00AC3010">
      <w:pPr>
        <w:spacing w:line="480" w:lineRule="auto"/>
        <w:rPr>
          <w:rFonts w:ascii="Arial" w:hAnsi="Arial" w:cs="Arial"/>
        </w:rPr>
      </w:pPr>
      <w:proofErr w:type="spellStart"/>
      <w:r w:rsidRPr="00AC3010">
        <w:rPr>
          <w:rFonts w:ascii="Arial" w:hAnsi="Arial" w:cs="Arial"/>
        </w:rPr>
        <w:t>Defourny</w:t>
      </w:r>
      <w:proofErr w:type="spellEnd"/>
      <w:r w:rsidRPr="00AC3010">
        <w:rPr>
          <w:rFonts w:ascii="Arial" w:hAnsi="Arial" w:cs="Arial"/>
        </w:rPr>
        <w:t xml:space="preserve">, J., &amp; Nyssens, M. (2021). </w:t>
      </w:r>
      <w:r w:rsidRPr="00DC0CFA">
        <w:rPr>
          <w:rFonts w:ascii="Arial" w:hAnsi="Arial" w:cs="Arial"/>
          <w:i/>
          <w:iCs/>
        </w:rPr>
        <w:t>Social enterprise in Western Europe</w:t>
      </w:r>
      <w:r w:rsidRPr="00AC3010">
        <w:rPr>
          <w:rFonts w:ascii="Arial" w:hAnsi="Arial" w:cs="Arial"/>
        </w:rPr>
        <w:t>. Taylor &amp; Francis.</w:t>
      </w:r>
    </w:p>
    <w:p w14:paraId="0B231F53" w14:textId="77777777" w:rsidR="00AC3010" w:rsidRPr="00AC3010" w:rsidRDefault="00AC3010" w:rsidP="00AC3010">
      <w:pPr>
        <w:spacing w:line="480" w:lineRule="auto"/>
        <w:rPr>
          <w:rFonts w:ascii="Arial" w:hAnsi="Arial" w:cs="Arial"/>
        </w:rPr>
      </w:pPr>
      <w:r w:rsidRPr="00AC3010">
        <w:rPr>
          <w:rFonts w:ascii="Arial" w:hAnsi="Arial" w:cs="Arial"/>
        </w:rPr>
        <w:t xml:space="preserve">Grassl, W. (2012). Business models of social enterprise. </w:t>
      </w:r>
      <w:r w:rsidRPr="00DC0CFA">
        <w:rPr>
          <w:rFonts w:ascii="Arial" w:hAnsi="Arial" w:cs="Arial"/>
          <w:i/>
          <w:iCs/>
        </w:rPr>
        <w:t>ACRN Journal of Entrepreneurship Perspectives, 1</w:t>
      </w:r>
      <w:r w:rsidRPr="00AC3010">
        <w:rPr>
          <w:rFonts w:ascii="Arial" w:hAnsi="Arial" w:cs="Arial"/>
        </w:rPr>
        <w:t>(1), 37–60.</w:t>
      </w:r>
    </w:p>
    <w:p w14:paraId="5D756ECB" w14:textId="77777777" w:rsidR="00AC3010" w:rsidRPr="00AC3010" w:rsidRDefault="00AC3010" w:rsidP="00AC3010">
      <w:pPr>
        <w:spacing w:line="480" w:lineRule="auto"/>
        <w:rPr>
          <w:rFonts w:ascii="Arial" w:hAnsi="Arial" w:cs="Arial"/>
        </w:rPr>
      </w:pPr>
      <w:r w:rsidRPr="00AC3010">
        <w:rPr>
          <w:rFonts w:ascii="Arial" w:hAnsi="Arial" w:cs="Arial"/>
        </w:rPr>
        <w:t xml:space="preserve">Jha, S. K., Bhawe, N., &amp; Satish, P. (2021). Scaling social enterprises. </w:t>
      </w:r>
      <w:r w:rsidRPr="00DC0CFA">
        <w:rPr>
          <w:rFonts w:ascii="Arial" w:hAnsi="Arial" w:cs="Arial"/>
          <w:i/>
          <w:iCs/>
        </w:rPr>
        <w:t>Sustainability, 13</w:t>
      </w:r>
      <w:r w:rsidRPr="00AC3010">
        <w:rPr>
          <w:rFonts w:ascii="Arial" w:hAnsi="Arial" w:cs="Arial"/>
        </w:rPr>
        <w:t>(21), 11660.</w:t>
      </w:r>
    </w:p>
    <w:p w14:paraId="7D28520F" w14:textId="77777777" w:rsidR="00AC3010" w:rsidRPr="00AC3010" w:rsidRDefault="00AC3010" w:rsidP="00AC3010">
      <w:pPr>
        <w:spacing w:line="480" w:lineRule="auto"/>
        <w:rPr>
          <w:rFonts w:ascii="Arial" w:hAnsi="Arial" w:cs="Arial"/>
        </w:rPr>
      </w:pPr>
      <w:r w:rsidRPr="00AC3010">
        <w:rPr>
          <w:rFonts w:ascii="Arial" w:hAnsi="Arial" w:cs="Arial"/>
        </w:rPr>
        <w:t xml:space="preserve">Kamaludin, M. F., Xavier, J. A., &amp; Amin, M. (2024). Social entrepreneurship and sustainability. </w:t>
      </w:r>
      <w:r w:rsidRPr="00DC0CFA">
        <w:rPr>
          <w:rFonts w:ascii="Arial" w:hAnsi="Arial" w:cs="Arial"/>
          <w:i/>
          <w:iCs/>
        </w:rPr>
        <w:t>Journal of Social Entrepreneurship, 15</w:t>
      </w:r>
      <w:r w:rsidRPr="00AC3010">
        <w:rPr>
          <w:rFonts w:ascii="Arial" w:hAnsi="Arial" w:cs="Arial"/>
        </w:rPr>
        <w:t>(1), 26–49.</w:t>
      </w:r>
    </w:p>
    <w:p w14:paraId="0EE1145F" w14:textId="77777777" w:rsidR="00AC3010" w:rsidRPr="00AC3010" w:rsidRDefault="00AC3010" w:rsidP="00AC3010">
      <w:pPr>
        <w:spacing w:line="480" w:lineRule="auto"/>
        <w:rPr>
          <w:rFonts w:ascii="Arial" w:hAnsi="Arial" w:cs="Arial"/>
        </w:rPr>
      </w:pPr>
      <w:proofErr w:type="spellStart"/>
      <w:r w:rsidRPr="00AC3010">
        <w:rPr>
          <w:rFonts w:ascii="Arial" w:hAnsi="Arial" w:cs="Arial"/>
        </w:rPr>
        <w:lastRenderedPageBreak/>
        <w:t>Qastharin</w:t>
      </w:r>
      <w:proofErr w:type="spellEnd"/>
      <w:r w:rsidRPr="00AC3010">
        <w:rPr>
          <w:rFonts w:ascii="Arial" w:hAnsi="Arial" w:cs="Arial"/>
        </w:rPr>
        <w:t xml:space="preserve">, A. R. (2016). Business model canvas for social enterprise. </w:t>
      </w:r>
      <w:r w:rsidRPr="00DC0CFA">
        <w:rPr>
          <w:rFonts w:ascii="Arial" w:hAnsi="Arial" w:cs="Arial"/>
          <w:i/>
          <w:iCs/>
        </w:rPr>
        <w:t>Journal of Business and Economics, 7</w:t>
      </w:r>
      <w:r w:rsidRPr="00AC3010">
        <w:rPr>
          <w:rFonts w:ascii="Arial" w:hAnsi="Arial" w:cs="Arial"/>
        </w:rPr>
        <w:t>(4), 627–637.</w:t>
      </w:r>
    </w:p>
    <w:p w14:paraId="54EF2234" w14:textId="6BD72AFE" w:rsidR="00AC3010" w:rsidRDefault="00AC3010" w:rsidP="00AC3010">
      <w:pPr>
        <w:spacing w:line="480" w:lineRule="auto"/>
        <w:rPr>
          <w:rFonts w:ascii="Arial" w:hAnsi="Arial" w:cs="Arial"/>
        </w:rPr>
      </w:pPr>
      <w:proofErr w:type="spellStart"/>
      <w:r w:rsidRPr="00AC3010">
        <w:rPr>
          <w:rFonts w:ascii="Arial" w:hAnsi="Arial" w:cs="Arial"/>
        </w:rPr>
        <w:t>Tykkyläinen</w:t>
      </w:r>
      <w:proofErr w:type="spellEnd"/>
      <w:r w:rsidRPr="00AC3010">
        <w:rPr>
          <w:rFonts w:ascii="Arial" w:hAnsi="Arial" w:cs="Arial"/>
        </w:rPr>
        <w:t xml:space="preserve">, S., &amp; </w:t>
      </w:r>
      <w:proofErr w:type="spellStart"/>
      <w:r w:rsidRPr="00AC3010">
        <w:rPr>
          <w:rFonts w:ascii="Arial" w:hAnsi="Arial" w:cs="Arial"/>
        </w:rPr>
        <w:t>Ritala</w:t>
      </w:r>
      <w:proofErr w:type="spellEnd"/>
      <w:r w:rsidRPr="00AC3010">
        <w:rPr>
          <w:rFonts w:ascii="Arial" w:hAnsi="Arial" w:cs="Arial"/>
        </w:rPr>
        <w:t xml:space="preserve">, P. (2021). Business model innovation in social enterprises. </w:t>
      </w:r>
      <w:r w:rsidRPr="00DC0CFA">
        <w:rPr>
          <w:rFonts w:ascii="Arial" w:hAnsi="Arial" w:cs="Arial"/>
          <w:i/>
          <w:iCs/>
        </w:rPr>
        <w:t>Journal of Business Research</w:t>
      </w:r>
      <w:r w:rsidRPr="00AC3010">
        <w:rPr>
          <w:rFonts w:ascii="Arial" w:hAnsi="Arial" w:cs="Arial"/>
        </w:rPr>
        <w:t>, 125, 684–697.</w:t>
      </w:r>
    </w:p>
    <w:p w14:paraId="62A76284" w14:textId="77777777" w:rsidR="00AC3010" w:rsidRPr="004576EA" w:rsidRDefault="00AC3010" w:rsidP="004576EA">
      <w:pPr>
        <w:spacing w:line="480" w:lineRule="auto"/>
        <w:rPr>
          <w:rFonts w:ascii="Arial" w:hAnsi="Arial" w:cs="Arial"/>
        </w:rPr>
      </w:pPr>
    </w:p>
    <w:sectPr w:rsidR="00AC3010" w:rsidRPr="004576EA" w:rsidSect="00DC0CFA">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6D016" w14:textId="77777777" w:rsidR="00756263" w:rsidRDefault="00756263" w:rsidP="00AC3010">
      <w:pPr>
        <w:spacing w:after="0" w:line="240" w:lineRule="auto"/>
      </w:pPr>
      <w:r>
        <w:separator/>
      </w:r>
    </w:p>
  </w:endnote>
  <w:endnote w:type="continuationSeparator" w:id="0">
    <w:p w14:paraId="5157EBD5" w14:textId="77777777" w:rsidR="00756263" w:rsidRDefault="00756263" w:rsidP="00AC3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E7EA6" w14:textId="77777777" w:rsidR="00756263" w:rsidRDefault="00756263" w:rsidP="00AC3010">
      <w:pPr>
        <w:spacing w:after="0" w:line="240" w:lineRule="auto"/>
      </w:pPr>
      <w:r>
        <w:separator/>
      </w:r>
    </w:p>
  </w:footnote>
  <w:footnote w:type="continuationSeparator" w:id="0">
    <w:p w14:paraId="4CB0959D" w14:textId="77777777" w:rsidR="00756263" w:rsidRDefault="00756263" w:rsidP="00AC3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925147426"/>
      <w:docPartObj>
        <w:docPartGallery w:val="Page Numbers (Top of Page)"/>
        <w:docPartUnique/>
      </w:docPartObj>
    </w:sdtPr>
    <w:sdtEndPr>
      <w:rPr>
        <w:b/>
        <w:bCs/>
        <w:noProof/>
        <w:color w:val="auto"/>
        <w:spacing w:val="0"/>
      </w:rPr>
    </w:sdtEndPr>
    <w:sdtContent>
      <w:p w14:paraId="1AEF43E3" w14:textId="31B2F4A4" w:rsidR="00AC3010" w:rsidRDefault="00AC301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87EC5AA" w14:textId="77777777" w:rsidR="00AC3010" w:rsidRDefault="00AC30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6EA"/>
    <w:rsid w:val="004576EA"/>
    <w:rsid w:val="00756263"/>
    <w:rsid w:val="00AC3010"/>
    <w:rsid w:val="00D96A97"/>
    <w:rsid w:val="00DC0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4FF7A"/>
  <w15:chartTrackingRefBased/>
  <w15:docId w15:val="{D0FACA8F-A723-4E26-956F-069A14F44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6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6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6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6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6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6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6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6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6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6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6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6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6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6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6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6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6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6EA"/>
    <w:rPr>
      <w:rFonts w:eastAsiaTheme="majorEastAsia" w:cstheme="majorBidi"/>
      <w:color w:val="272727" w:themeColor="text1" w:themeTint="D8"/>
    </w:rPr>
  </w:style>
  <w:style w:type="paragraph" w:styleId="Title">
    <w:name w:val="Title"/>
    <w:basedOn w:val="Normal"/>
    <w:next w:val="Normal"/>
    <w:link w:val="TitleChar"/>
    <w:uiPriority w:val="10"/>
    <w:qFormat/>
    <w:rsid w:val="004576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6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6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6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6EA"/>
    <w:pPr>
      <w:spacing w:before="160"/>
      <w:jc w:val="center"/>
    </w:pPr>
    <w:rPr>
      <w:i/>
      <w:iCs/>
      <w:color w:val="404040" w:themeColor="text1" w:themeTint="BF"/>
    </w:rPr>
  </w:style>
  <w:style w:type="character" w:customStyle="1" w:styleId="QuoteChar">
    <w:name w:val="Quote Char"/>
    <w:basedOn w:val="DefaultParagraphFont"/>
    <w:link w:val="Quote"/>
    <w:uiPriority w:val="29"/>
    <w:rsid w:val="004576EA"/>
    <w:rPr>
      <w:i/>
      <w:iCs/>
      <w:color w:val="404040" w:themeColor="text1" w:themeTint="BF"/>
    </w:rPr>
  </w:style>
  <w:style w:type="paragraph" w:styleId="ListParagraph">
    <w:name w:val="List Paragraph"/>
    <w:basedOn w:val="Normal"/>
    <w:uiPriority w:val="34"/>
    <w:qFormat/>
    <w:rsid w:val="004576EA"/>
    <w:pPr>
      <w:ind w:left="720"/>
      <w:contextualSpacing/>
    </w:pPr>
  </w:style>
  <w:style w:type="character" w:styleId="IntenseEmphasis">
    <w:name w:val="Intense Emphasis"/>
    <w:basedOn w:val="DefaultParagraphFont"/>
    <w:uiPriority w:val="21"/>
    <w:qFormat/>
    <w:rsid w:val="004576EA"/>
    <w:rPr>
      <w:i/>
      <w:iCs/>
      <w:color w:val="0F4761" w:themeColor="accent1" w:themeShade="BF"/>
    </w:rPr>
  </w:style>
  <w:style w:type="paragraph" w:styleId="IntenseQuote">
    <w:name w:val="Intense Quote"/>
    <w:basedOn w:val="Normal"/>
    <w:next w:val="Normal"/>
    <w:link w:val="IntenseQuoteChar"/>
    <w:uiPriority w:val="30"/>
    <w:qFormat/>
    <w:rsid w:val="004576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6EA"/>
    <w:rPr>
      <w:i/>
      <w:iCs/>
      <w:color w:val="0F4761" w:themeColor="accent1" w:themeShade="BF"/>
    </w:rPr>
  </w:style>
  <w:style w:type="character" w:styleId="IntenseReference">
    <w:name w:val="Intense Reference"/>
    <w:basedOn w:val="DefaultParagraphFont"/>
    <w:uiPriority w:val="32"/>
    <w:qFormat/>
    <w:rsid w:val="004576EA"/>
    <w:rPr>
      <w:b/>
      <w:bCs/>
      <w:smallCaps/>
      <w:color w:val="0F4761" w:themeColor="accent1" w:themeShade="BF"/>
      <w:spacing w:val="5"/>
    </w:rPr>
  </w:style>
  <w:style w:type="paragraph" w:styleId="Header">
    <w:name w:val="header"/>
    <w:basedOn w:val="Normal"/>
    <w:link w:val="HeaderChar"/>
    <w:uiPriority w:val="99"/>
    <w:unhideWhenUsed/>
    <w:rsid w:val="00AC3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010"/>
  </w:style>
  <w:style w:type="paragraph" w:styleId="Footer">
    <w:name w:val="footer"/>
    <w:basedOn w:val="Normal"/>
    <w:link w:val="FooterChar"/>
    <w:uiPriority w:val="99"/>
    <w:unhideWhenUsed/>
    <w:rsid w:val="00AC3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010"/>
  </w:style>
  <w:style w:type="paragraph" w:styleId="NoSpacing">
    <w:name w:val="No Spacing"/>
    <w:link w:val="NoSpacingChar"/>
    <w:uiPriority w:val="1"/>
    <w:qFormat/>
    <w:rsid w:val="00DC0CF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C0CF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Module code: BMSE4009D</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1893</Words>
  <Characters>10791</Characters>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Impact Measurement</dc:title>
  <cp:keywords/>
  <dc:description/>
  <dcterms:created xsi:type="dcterms:W3CDTF">2025-12-11T12:48:00Z</dcterms:created>
  <dcterms:modified xsi:type="dcterms:W3CDTF">2025-12-11T12:48:00Z</dcterms:modified>
</cp:coreProperties>
</file>