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6497B" w:rsidRDefault="0026497B">
      <w:pPr>
        <w:pStyle w:val="Title"/>
      </w:pPr>
    </w:p>
    <w:p w:rsidR="0026497B" w:rsidRDefault="0026497B">
      <w:pPr>
        <w:pStyle w:val="Title"/>
      </w:pPr>
    </w:p>
    <w:p w:rsidR="0026497B" w:rsidRDefault="0026497B">
      <w:pPr>
        <w:pStyle w:val="Title"/>
      </w:pPr>
    </w:p>
    <w:p w:rsidR="0026497B" w:rsidRDefault="0026497B">
      <w:pPr>
        <w:pStyle w:val="Title"/>
      </w:pPr>
    </w:p>
    <w:p w:rsidR="0026497B" w:rsidRDefault="0026497B">
      <w:pPr>
        <w:pStyle w:val="Title"/>
      </w:pPr>
    </w:p>
    <w:p w:rsidR="0026497B" w:rsidRDefault="0026497B">
      <w:pPr>
        <w:pStyle w:val="Title"/>
      </w:pPr>
    </w:p>
    <w:p w:rsidR="0026497B" w:rsidRDefault="0026497B">
      <w:pPr>
        <w:pStyle w:val="Title"/>
      </w:pPr>
    </w:p>
    <w:p w:rsidR="0026497B" w:rsidRDefault="0026497B">
      <w:pPr>
        <w:pStyle w:val="Title"/>
      </w:pPr>
    </w:p>
    <w:p w:rsidR="0026497B" w:rsidRPr="00A87214" w:rsidRDefault="00000000">
      <w:pPr>
        <w:pStyle w:val="Title"/>
      </w:pPr>
      <w:r w:rsidRPr="00A87214">
        <w:t xml:space="preserve">Tesla’s </w:t>
      </w:r>
    </w:p>
    <w:p w:rsidR="0026497B" w:rsidRPr="00A87214" w:rsidRDefault="00000000">
      <w:pPr>
        <w:pStyle w:val="Title"/>
      </w:pPr>
      <w:r w:rsidRPr="00A87214">
        <w:t>Marketing Management</w:t>
      </w:r>
    </w:p>
    <w:p w:rsidR="0026497B" w:rsidRPr="00A87214" w:rsidRDefault="00000000">
      <w:pPr>
        <w:pStyle w:val="Title"/>
        <w:rPr>
          <w:u w:val="single"/>
        </w:rPr>
      </w:pPr>
      <w:r w:rsidRPr="00A87214">
        <w:rPr>
          <w:u w:val="single"/>
        </w:rPr>
        <w:t>LCMB7001</w:t>
      </w:r>
    </w:p>
    <w:p w:rsidR="0026497B" w:rsidRPr="00A87214" w:rsidRDefault="00000000">
      <w:pPr>
        <w:widowControl w:val="0"/>
        <w:pBdr>
          <w:top w:val="nil"/>
          <w:left w:val="nil"/>
          <w:bottom w:val="nil"/>
          <w:right w:val="nil"/>
          <w:between w:val="nil"/>
        </w:pBdr>
        <w:spacing w:after="0" w:line="276" w:lineRule="auto"/>
        <w:jc w:val="left"/>
        <w:rPr>
          <w:b/>
        </w:rPr>
      </w:pPr>
      <w:r w:rsidRPr="00A87214">
        <w:br w:type="page"/>
      </w:r>
      <w:r w:rsidRPr="00A87214">
        <w:rPr>
          <w:b/>
        </w:rPr>
        <w:lastRenderedPageBreak/>
        <w:t xml:space="preserve">Table of Contents </w:t>
      </w:r>
    </w:p>
    <w:sdt>
      <w:sdtPr>
        <w:id w:val="460774422"/>
        <w:docPartObj>
          <w:docPartGallery w:val="Table of Contents"/>
          <w:docPartUnique/>
        </w:docPartObj>
      </w:sdtPr>
      <w:sdtContent>
        <w:p w:rsidR="0026497B" w:rsidRPr="00A87214" w:rsidRDefault="00000000">
          <w:pPr>
            <w:pBdr>
              <w:top w:val="nil"/>
              <w:left w:val="nil"/>
              <w:bottom w:val="nil"/>
              <w:right w:val="nil"/>
              <w:between w:val="nil"/>
            </w:pBdr>
            <w:tabs>
              <w:tab w:val="right" w:leader="dot" w:pos="9016"/>
            </w:tabs>
            <w:spacing w:after="100"/>
            <w:rPr>
              <w:rFonts w:ascii="Cambria" w:eastAsia="Cambria" w:hAnsi="Cambria" w:cs="Cambria"/>
              <w:color w:val="000000"/>
              <w:sz w:val="22"/>
              <w:szCs w:val="22"/>
            </w:rPr>
          </w:pPr>
          <w:r w:rsidRPr="00A87214">
            <w:fldChar w:fldCharType="begin"/>
          </w:r>
          <w:r w:rsidRPr="00A87214">
            <w:instrText xml:space="preserve"> TOC \h \u \z \t "Heading 1,1,Heading 2,2,Heading 3,3,"</w:instrText>
          </w:r>
          <w:r w:rsidRPr="00A87214">
            <w:fldChar w:fldCharType="separate"/>
          </w:r>
          <w:hyperlink w:anchor="_gjdgxs">
            <w:r w:rsidRPr="00A87214">
              <w:rPr>
                <w:color w:val="000000"/>
              </w:rPr>
              <w:t>Introduction</w:t>
            </w:r>
            <w:r w:rsidRPr="00A87214">
              <w:rPr>
                <w:color w:val="000000"/>
              </w:rPr>
              <w:tab/>
              <w:t>3</w:t>
            </w:r>
          </w:hyperlink>
        </w:p>
        <w:p w:rsidR="0026497B" w:rsidRPr="00A87214" w:rsidRDefault="00000000">
          <w:pPr>
            <w:pBdr>
              <w:top w:val="nil"/>
              <w:left w:val="nil"/>
              <w:bottom w:val="nil"/>
              <w:right w:val="nil"/>
              <w:between w:val="nil"/>
            </w:pBdr>
            <w:tabs>
              <w:tab w:val="right" w:leader="dot" w:pos="9016"/>
            </w:tabs>
            <w:spacing w:after="100"/>
            <w:rPr>
              <w:rFonts w:ascii="Cambria" w:eastAsia="Cambria" w:hAnsi="Cambria" w:cs="Cambria"/>
              <w:color w:val="000000"/>
              <w:sz w:val="22"/>
              <w:szCs w:val="22"/>
            </w:rPr>
          </w:pPr>
          <w:hyperlink w:anchor="_30j0zll">
            <w:r w:rsidRPr="00A87214">
              <w:rPr>
                <w:color w:val="000000"/>
              </w:rPr>
              <w:t>Environmental Marketing Analysis</w:t>
            </w:r>
            <w:r w:rsidRPr="00A87214">
              <w:rPr>
                <w:color w:val="000000"/>
              </w:rPr>
              <w:tab/>
              <w:t>4</w:t>
            </w:r>
          </w:hyperlink>
        </w:p>
        <w:p w:rsidR="0026497B" w:rsidRPr="00A87214" w:rsidRDefault="00000000">
          <w:pPr>
            <w:pBdr>
              <w:top w:val="nil"/>
              <w:left w:val="nil"/>
              <w:bottom w:val="nil"/>
              <w:right w:val="nil"/>
              <w:between w:val="nil"/>
            </w:pBdr>
            <w:tabs>
              <w:tab w:val="right" w:leader="dot" w:pos="9016"/>
            </w:tabs>
            <w:spacing w:after="100"/>
            <w:ind w:left="240"/>
            <w:rPr>
              <w:rFonts w:ascii="Cambria" w:eastAsia="Cambria" w:hAnsi="Cambria" w:cs="Cambria"/>
              <w:color w:val="000000"/>
              <w:sz w:val="22"/>
              <w:szCs w:val="22"/>
            </w:rPr>
          </w:pPr>
          <w:hyperlink w:anchor="_1fob9te">
            <w:r w:rsidRPr="00A87214">
              <w:rPr>
                <w:i/>
                <w:color w:val="000000"/>
              </w:rPr>
              <w:t>External Analysis</w:t>
            </w:r>
          </w:hyperlink>
          <w:hyperlink w:anchor="_1fob9te">
            <w:r w:rsidRPr="00A87214">
              <w:rPr>
                <w:color w:val="000000"/>
              </w:rPr>
              <w:tab/>
              <w:t>4</w:t>
            </w:r>
          </w:hyperlink>
        </w:p>
        <w:p w:rsidR="0026497B" w:rsidRPr="00A87214" w:rsidRDefault="00000000">
          <w:pPr>
            <w:pBdr>
              <w:top w:val="nil"/>
              <w:left w:val="nil"/>
              <w:bottom w:val="nil"/>
              <w:right w:val="nil"/>
              <w:between w:val="nil"/>
            </w:pBdr>
            <w:tabs>
              <w:tab w:val="right" w:leader="dot" w:pos="9016"/>
            </w:tabs>
            <w:spacing w:after="100"/>
            <w:ind w:left="480"/>
            <w:rPr>
              <w:rFonts w:ascii="Cambria" w:eastAsia="Cambria" w:hAnsi="Cambria" w:cs="Cambria"/>
              <w:color w:val="000000"/>
              <w:sz w:val="22"/>
              <w:szCs w:val="22"/>
            </w:rPr>
          </w:pPr>
          <w:hyperlink w:anchor="_3znysh7">
            <w:r w:rsidRPr="00A87214">
              <w:rPr>
                <w:color w:val="000000"/>
              </w:rPr>
              <w:t>a) Macro Environment Analysis:</w:t>
            </w:r>
            <w:r w:rsidRPr="00A87214">
              <w:rPr>
                <w:color w:val="000000"/>
              </w:rPr>
              <w:tab/>
              <w:t>4</w:t>
            </w:r>
          </w:hyperlink>
        </w:p>
        <w:p w:rsidR="0026497B" w:rsidRPr="00A87214" w:rsidRDefault="00000000">
          <w:pPr>
            <w:pBdr>
              <w:top w:val="nil"/>
              <w:left w:val="nil"/>
              <w:bottom w:val="nil"/>
              <w:right w:val="nil"/>
              <w:between w:val="nil"/>
            </w:pBdr>
            <w:tabs>
              <w:tab w:val="right" w:leader="dot" w:pos="9016"/>
            </w:tabs>
            <w:spacing w:after="100"/>
            <w:ind w:left="480"/>
            <w:rPr>
              <w:rFonts w:ascii="Cambria" w:eastAsia="Cambria" w:hAnsi="Cambria" w:cs="Cambria"/>
              <w:color w:val="000000"/>
              <w:sz w:val="22"/>
              <w:szCs w:val="22"/>
            </w:rPr>
          </w:pPr>
          <w:hyperlink w:anchor="_2et92p0">
            <w:r w:rsidRPr="00A87214">
              <w:rPr>
                <w:color w:val="000000"/>
              </w:rPr>
              <w:t>b) Industry Analysis:</w:t>
            </w:r>
            <w:r w:rsidRPr="00A87214">
              <w:rPr>
                <w:color w:val="000000"/>
              </w:rPr>
              <w:tab/>
              <w:t>6</w:t>
            </w:r>
          </w:hyperlink>
        </w:p>
        <w:p w:rsidR="0026497B" w:rsidRPr="00A87214" w:rsidRDefault="00000000">
          <w:pPr>
            <w:pBdr>
              <w:top w:val="nil"/>
              <w:left w:val="nil"/>
              <w:bottom w:val="nil"/>
              <w:right w:val="nil"/>
              <w:between w:val="nil"/>
            </w:pBdr>
            <w:tabs>
              <w:tab w:val="right" w:leader="dot" w:pos="9016"/>
            </w:tabs>
            <w:spacing w:after="100"/>
            <w:ind w:left="240"/>
            <w:rPr>
              <w:rFonts w:ascii="Cambria" w:eastAsia="Cambria" w:hAnsi="Cambria" w:cs="Cambria"/>
              <w:color w:val="000000"/>
              <w:sz w:val="22"/>
              <w:szCs w:val="22"/>
            </w:rPr>
          </w:pPr>
          <w:hyperlink w:anchor="_tyjcwt">
            <w:r w:rsidRPr="00A87214">
              <w:rPr>
                <w:i/>
                <w:color w:val="000000"/>
              </w:rPr>
              <w:t>Internal analysis</w:t>
            </w:r>
          </w:hyperlink>
          <w:hyperlink w:anchor="_tyjcwt">
            <w:r w:rsidRPr="00A87214">
              <w:rPr>
                <w:color w:val="000000"/>
              </w:rPr>
              <w:tab/>
              <w:t>7</w:t>
            </w:r>
          </w:hyperlink>
        </w:p>
        <w:p w:rsidR="0026497B" w:rsidRPr="00A87214" w:rsidRDefault="00000000">
          <w:pPr>
            <w:pBdr>
              <w:top w:val="nil"/>
              <w:left w:val="nil"/>
              <w:bottom w:val="nil"/>
              <w:right w:val="nil"/>
              <w:between w:val="nil"/>
            </w:pBdr>
            <w:tabs>
              <w:tab w:val="right" w:leader="dot" w:pos="9016"/>
            </w:tabs>
            <w:spacing w:after="100"/>
            <w:ind w:left="480"/>
            <w:rPr>
              <w:rFonts w:ascii="Cambria" w:eastAsia="Cambria" w:hAnsi="Cambria" w:cs="Cambria"/>
              <w:color w:val="000000"/>
              <w:sz w:val="22"/>
              <w:szCs w:val="22"/>
            </w:rPr>
          </w:pPr>
          <w:hyperlink w:anchor="_3dy6vkm">
            <w:r w:rsidRPr="00A87214">
              <w:rPr>
                <w:color w:val="000000"/>
              </w:rPr>
              <w:t>a) Company Analysis:</w:t>
            </w:r>
            <w:r w:rsidRPr="00A87214">
              <w:rPr>
                <w:color w:val="000000"/>
              </w:rPr>
              <w:tab/>
              <w:t>7</w:t>
            </w:r>
          </w:hyperlink>
        </w:p>
        <w:p w:rsidR="0026497B" w:rsidRPr="00A87214" w:rsidRDefault="00000000">
          <w:pPr>
            <w:pBdr>
              <w:top w:val="nil"/>
              <w:left w:val="nil"/>
              <w:bottom w:val="nil"/>
              <w:right w:val="nil"/>
              <w:between w:val="nil"/>
            </w:pBdr>
            <w:tabs>
              <w:tab w:val="right" w:leader="dot" w:pos="9016"/>
            </w:tabs>
            <w:spacing w:after="100"/>
            <w:ind w:left="240"/>
            <w:rPr>
              <w:rFonts w:ascii="Cambria" w:eastAsia="Cambria" w:hAnsi="Cambria" w:cs="Cambria"/>
              <w:color w:val="000000"/>
              <w:sz w:val="22"/>
              <w:szCs w:val="22"/>
            </w:rPr>
          </w:pPr>
          <w:hyperlink w:anchor="_1t3h5sf">
            <w:r w:rsidRPr="00A87214">
              <w:rPr>
                <w:color w:val="000000"/>
              </w:rPr>
              <w:t>b) Analysis of Marketing Department and Processes:</w:t>
            </w:r>
            <w:r w:rsidRPr="00A87214">
              <w:rPr>
                <w:color w:val="000000"/>
              </w:rPr>
              <w:tab/>
              <w:t>8</w:t>
            </w:r>
          </w:hyperlink>
        </w:p>
        <w:p w:rsidR="0026497B" w:rsidRPr="00A87214" w:rsidRDefault="00000000">
          <w:pPr>
            <w:pBdr>
              <w:top w:val="nil"/>
              <w:left w:val="nil"/>
              <w:bottom w:val="nil"/>
              <w:right w:val="nil"/>
              <w:between w:val="nil"/>
            </w:pBdr>
            <w:tabs>
              <w:tab w:val="right" w:leader="dot" w:pos="9016"/>
            </w:tabs>
            <w:spacing w:after="100"/>
            <w:rPr>
              <w:rFonts w:ascii="Cambria" w:eastAsia="Cambria" w:hAnsi="Cambria" w:cs="Cambria"/>
              <w:color w:val="000000"/>
              <w:sz w:val="22"/>
              <w:szCs w:val="22"/>
            </w:rPr>
          </w:pPr>
          <w:hyperlink w:anchor="_4d34og8">
            <w:r w:rsidRPr="00A87214">
              <w:rPr>
                <w:color w:val="000000"/>
              </w:rPr>
              <w:t>Marketing Recommendations</w:t>
            </w:r>
            <w:r w:rsidRPr="00A87214">
              <w:rPr>
                <w:color w:val="000000"/>
              </w:rPr>
              <w:tab/>
              <w:t>10</w:t>
            </w:r>
          </w:hyperlink>
        </w:p>
        <w:p w:rsidR="0026497B" w:rsidRPr="00A87214" w:rsidRDefault="00000000">
          <w:pPr>
            <w:pBdr>
              <w:top w:val="nil"/>
              <w:left w:val="nil"/>
              <w:bottom w:val="nil"/>
              <w:right w:val="nil"/>
              <w:between w:val="nil"/>
            </w:pBdr>
            <w:tabs>
              <w:tab w:val="right" w:leader="dot" w:pos="9016"/>
            </w:tabs>
            <w:spacing w:after="100"/>
            <w:rPr>
              <w:rFonts w:ascii="Cambria" w:eastAsia="Cambria" w:hAnsi="Cambria" w:cs="Cambria"/>
              <w:color w:val="000000"/>
              <w:sz w:val="22"/>
              <w:szCs w:val="22"/>
            </w:rPr>
          </w:pPr>
          <w:hyperlink w:anchor="_2s8eyo1">
            <w:r w:rsidRPr="00A87214">
              <w:rPr>
                <w:color w:val="000000"/>
              </w:rPr>
              <w:t>Conclusion</w:t>
            </w:r>
            <w:r w:rsidRPr="00A87214">
              <w:rPr>
                <w:color w:val="000000"/>
              </w:rPr>
              <w:tab/>
              <w:t>12</w:t>
            </w:r>
          </w:hyperlink>
        </w:p>
        <w:p w:rsidR="0026497B" w:rsidRPr="00A87214" w:rsidRDefault="00000000">
          <w:pPr>
            <w:pBdr>
              <w:top w:val="nil"/>
              <w:left w:val="nil"/>
              <w:bottom w:val="nil"/>
              <w:right w:val="nil"/>
              <w:between w:val="nil"/>
            </w:pBdr>
            <w:tabs>
              <w:tab w:val="right" w:leader="dot" w:pos="9016"/>
            </w:tabs>
            <w:spacing w:after="100"/>
            <w:rPr>
              <w:rFonts w:ascii="Cambria" w:eastAsia="Cambria" w:hAnsi="Cambria" w:cs="Cambria"/>
              <w:color w:val="000000"/>
              <w:sz w:val="22"/>
              <w:szCs w:val="22"/>
            </w:rPr>
          </w:pPr>
          <w:hyperlink w:anchor="_17dp8vu">
            <w:r w:rsidRPr="00A87214">
              <w:rPr>
                <w:color w:val="000000"/>
              </w:rPr>
              <w:t>References</w:t>
            </w:r>
            <w:r w:rsidRPr="00A87214">
              <w:rPr>
                <w:color w:val="000000"/>
              </w:rPr>
              <w:tab/>
              <w:t>13</w:t>
            </w:r>
          </w:hyperlink>
        </w:p>
        <w:p w:rsidR="0026497B" w:rsidRPr="00A87214" w:rsidRDefault="00000000">
          <w:pPr>
            <w:spacing w:line="259" w:lineRule="auto"/>
            <w:jc w:val="left"/>
            <w:rPr>
              <w:b/>
              <w:color w:val="000000"/>
              <w:u w:val="single"/>
            </w:rPr>
          </w:pPr>
          <w:r w:rsidRPr="00A87214">
            <w:fldChar w:fldCharType="end"/>
          </w:r>
        </w:p>
      </w:sdtContent>
    </w:sdt>
    <w:p w:rsidR="0026497B" w:rsidRPr="00A87214" w:rsidRDefault="00000000">
      <w:pPr>
        <w:spacing w:line="259" w:lineRule="auto"/>
        <w:jc w:val="left"/>
        <w:rPr>
          <w:b/>
          <w:color w:val="000000"/>
          <w:u w:val="single"/>
        </w:rPr>
      </w:pPr>
      <w:r w:rsidRPr="00A87214">
        <w:br w:type="page"/>
      </w:r>
    </w:p>
    <w:p w:rsidR="0026497B" w:rsidRPr="00A87214" w:rsidRDefault="00000000">
      <w:pPr>
        <w:pStyle w:val="Heading1"/>
        <w:rPr>
          <w:u w:val="single"/>
        </w:rPr>
      </w:pPr>
      <w:bookmarkStart w:id="0" w:name="_gjdgxs" w:colFirst="0" w:colLast="0"/>
      <w:bookmarkEnd w:id="0"/>
      <w:r w:rsidRPr="00A87214">
        <w:rPr>
          <w:u w:val="single"/>
        </w:rPr>
        <w:lastRenderedPageBreak/>
        <w:t>Introduction</w:t>
      </w:r>
    </w:p>
    <w:p w:rsidR="0026497B" w:rsidRPr="00A87214" w:rsidRDefault="00000000">
      <w:pPr>
        <w:rPr>
          <w:b/>
          <w:color w:val="000000"/>
        </w:rPr>
      </w:pPr>
      <w:r w:rsidRPr="00A87214">
        <w:t>This report aims to carry out an environmental marketing analysis of Tesla by examining the external factors that influence the company, along with an evaluation of its internal environment and the role of marketing within the organization. The report seeks to critically evaluate Tesla's marketing activities and the marketing department's contribution to the company, assess marketing management to enhance value, and offer recommendations for future development. The report intends to provide insights into Tesla's marketing strategies and identify areas for growth.</w:t>
      </w:r>
      <w:r w:rsidRPr="00A87214">
        <w:br w:type="page"/>
      </w:r>
    </w:p>
    <w:p w:rsidR="0026497B" w:rsidRPr="00A87214" w:rsidRDefault="00000000">
      <w:pPr>
        <w:pStyle w:val="Heading1"/>
        <w:rPr>
          <w:u w:val="single"/>
        </w:rPr>
      </w:pPr>
      <w:bookmarkStart w:id="1" w:name="_30j0zll" w:colFirst="0" w:colLast="0"/>
      <w:bookmarkEnd w:id="1"/>
      <w:r w:rsidRPr="00A87214">
        <w:rPr>
          <w:u w:val="single"/>
        </w:rPr>
        <w:lastRenderedPageBreak/>
        <w:t>Environmental Marketing Analysis</w:t>
      </w:r>
    </w:p>
    <w:p w:rsidR="0026497B" w:rsidRPr="00A87214" w:rsidRDefault="00000000">
      <w:pPr>
        <w:pStyle w:val="Heading2"/>
        <w:rPr>
          <w:i/>
        </w:rPr>
      </w:pPr>
      <w:bookmarkStart w:id="2" w:name="_1fob9te" w:colFirst="0" w:colLast="0"/>
      <w:bookmarkEnd w:id="2"/>
      <w:r w:rsidRPr="00A87214">
        <w:rPr>
          <w:i/>
        </w:rPr>
        <w:t>External Analysis</w:t>
      </w:r>
    </w:p>
    <w:p w:rsidR="0026497B" w:rsidRPr="00A87214" w:rsidRDefault="00000000">
      <w:r w:rsidRPr="00A87214">
        <w:t>To understand the current and future situation of the electric vehicle market and the automobile industry, an external analysis of Tesla is necessary. This section will provide a macro environment analysis and industry analysis to analyse the external factors that affect Tesla.</w:t>
      </w:r>
    </w:p>
    <w:p w:rsidR="0026497B" w:rsidRPr="00A87214" w:rsidRDefault="00000000">
      <w:pPr>
        <w:pStyle w:val="Heading3"/>
      </w:pPr>
      <w:bookmarkStart w:id="3" w:name="_3znysh7" w:colFirst="0" w:colLast="0"/>
      <w:bookmarkEnd w:id="3"/>
      <w:r w:rsidRPr="00A87214">
        <w:t>a) Macro Environment Analysis:</w:t>
      </w:r>
    </w:p>
    <w:p w:rsidR="0026497B" w:rsidRPr="00A87214" w:rsidRDefault="00000000">
      <w:r w:rsidRPr="00A87214">
        <w:rPr>
          <w:b/>
        </w:rPr>
        <w:t>PESTEL analysis</w:t>
      </w:r>
      <w:r w:rsidRPr="00A87214">
        <w:t xml:space="preserve"> is a useful tool for understanding the macro-environmental factors that can impact Tesla's performance (</w:t>
      </w:r>
      <w:proofErr w:type="spellStart"/>
      <w:r w:rsidRPr="00A87214">
        <w:t>Çitilci</w:t>
      </w:r>
      <w:proofErr w:type="spellEnd"/>
      <w:r w:rsidRPr="00A87214">
        <w:t xml:space="preserve"> and </w:t>
      </w:r>
      <w:proofErr w:type="spellStart"/>
      <w:r w:rsidRPr="00A87214">
        <w:t>Akbalık</w:t>
      </w:r>
      <w:proofErr w:type="spellEnd"/>
      <w:r w:rsidRPr="00A87214">
        <w:t xml:space="preserve">, 2020). These factors include political, economic, sociocultural, technological, environmental, and legal factors. In the following section, each of these factors will be </w:t>
      </w:r>
      <w:proofErr w:type="spellStart"/>
      <w:r w:rsidRPr="00A87214">
        <w:t>analyzed</w:t>
      </w:r>
      <w:proofErr w:type="spellEnd"/>
      <w:r w:rsidRPr="00A87214">
        <w:t xml:space="preserve"> and their impact on Tesla's performance will be discussed.  </w:t>
      </w:r>
    </w:p>
    <w:p w:rsidR="0026497B" w:rsidRPr="00A87214" w:rsidRDefault="00000000">
      <w:pPr>
        <w:keepNext/>
      </w:pPr>
      <w:r w:rsidRPr="00A87214">
        <w:rPr>
          <w:noProof/>
        </w:rPr>
        <w:drawing>
          <wp:inline distT="0" distB="0" distL="0" distR="0">
            <wp:extent cx="5731510" cy="3223260"/>
            <wp:effectExtent l="0" t="0" r="0" b="0"/>
            <wp:docPr id="1" name="image1.png" descr="Scanning the Environment: PESTEL Analysis"/>
            <wp:cNvGraphicFramePr/>
            <a:graphic xmlns:a="http://schemas.openxmlformats.org/drawingml/2006/main">
              <a:graphicData uri="http://schemas.openxmlformats.org/drawingml/2006/picture">
                <pic:pic xmlns:pic="http://schemas.openxmlformats.org/drawingml/2006/picture">
                  <pic:nvPicPr>
                    <pic:cNvPr id="0" name="image1.png" descr="Scanning the Environment: PESTEL Analysis"/>
                    <pic:cNvPicPr preferRelativeResize="0"/>
                  </pic:nvPicPr>
                  <pic:blipFill>
                    <a:blip r:embed="rId8"/>
                    <a:srcRect/>
                    <a:stretch>
                      <a:fillRect/>
                    </a:stretch>
                  </pic:blipFill>
                  <pic:spPr>
                    <a:xfrm>
                      <a:off x="0" y="0"/>
                      <a:ext cx="5731510" cy="3223260"/>
                    </a:xfrm>
                    <a:prstGeom prst="rect">
                      <a:avLst/>
                    </a:prstGeom>
                    <a:ln/>
                  </pic:spPr>
                </pic:pic>
              </a:graphicData>
            </a:graphic>
          </wp:inline>
        </w:drawing>
      </w:r>
    </w:p>
    <w:p w:rsidR="0026497B" w:rsidRPr="00A87214" w:rsidRDefault="00000000">
      <w:pPr>
        <w:pBdr>
          <w:top w:val="nil"/>
          <w:left w:val="nil"/>
          <w:bottom w:val="nil"/>
          <w:right w:val="nil"/>
          <w:between w:val="nil"/>
        </w:pBdr>
        <w:spacing w:after="200" w:line="240" w:lineRule="auto"/>
        <w:jc w:val="center"/>
        <w:rPr>
          <w:b/>
          <w:i/>
          <w:color w:val="000000"/>
        </w:rPr>
      </w:pPr>
      <w:r w:rsidRPr="00A87214">
        <w:rPr>
          <w:b/>
          <w:i/>
          <w:color w:val="000000"/>
        </w:rPr>
        <w:t>Figure 1: PESTEL Analysis</w:t>
      </w:r>
    </w:p>
    <w:p w:rsidR="0026497B" w:rsidRPr="00A87214" w:rsidRDefault="00000000">
      <w:pPr>
        <w:jc w:val="center"/>
        <w:rPr>
          <w:b/>
          <w:i/>
        </w:rPr>
      </w:pPr>
      <w:r w:rsidRPr="00A87214">
        <w:rPr>
          <w:b/>
          <w:i/>
        </w:rPr>
        <w:t xml:space="preserve">(Source: </w:t>
      </w:r>
      <w:proofErr w:type="spellStart"/>
      <w:r w:rsidRPr="00A87214">
        <w:rPr>
          <w:b/>
          <w:i/>
        </w:rPr>
        <w:t>Çitilci</w:t>
      </w:r>
      <w:proofErr w:type="spellEnd"/>
      <w:r w:rsidRPr="00A87214">
        <w:rPr>
          <w:b/>
          <w:i/>
        </w:rPr>
        <w:t xml:space="preserve"> and </w:t>
      </w:r>
      <w:proofErr w:type="spellStart"/>
      <w:r w:rsidRPr="00A87214">
        <w:rPr>
          <w:b/>
          <w:i/>
        </w:rPr>
        <w:t>Akbalık</w:t>
      </w:r>
      <w:proofErr w:type="spellEnd"/>
      <w:r w:rsidRPr="00A87214">
        <w:rPr>
          <w:b/>
          <w:i/>
        </w:rPr>
        <w:t>, 2020)</w:t>
      </w:r>
    </w:p>
    <w:p w:rsidR="0026497B" w:rsidRPr="00A87214" w:rsidRDefault="00000000">
      <w:pPr>
        <w:numPr>
          <w:ilvl w:val="0"/>
          <w:numId w:val="1"/>
        </w:numPr>
        <w:pBdr>
          <w:top w:val="nil"/>
          <w:left w:val="nil"/>
          <w:bottom w:val="nil"/>
          <w:right w:val="nil"/>
          <w:between w:val="nil"/>
        </w:pBdr>
        <w:spacing w:after="0"/>
      </w:pPr>
      <w:r w:rsidRPr="00A87214">
        <w:rPr>
          <w:b/>
          <w:color w:val="000000"/>
        </w:rPr>
        <w:t>Political factors:</w:t>
      </w:r>
      <w:r w:rsidRPr="00A87214">
        <w:rPr>
          <w:color w:val="000000"/>
        </w:rPr>
        <w:t xml:space="preserve"> The political environment can have both favourable and unfavourable impacts on Tesla's performance. Favourable policies related to carbon emissions and environmental regulations can provide opportunities for Tesla to expand its market share and increase demand for its products (Tesla, 2021). On the other hand, unfavourable policies related to trade and tariffs, particularly in China, can hinder the company's growth and profitability. </w:t>
      </w:r>
    </w:p>
    <w:p w:rsidR="0026497B" w:rsidRPr="00A87214" w:rsidRDefault="00000000">
      <w:pPr>
        <w:numPr>
          <w:ilvl w:val="0"/>
          <w:numId w:val="1"/>
        </w:numPr>
        <w:pBdr>
          <w:top w:val="nil"/>
          <w:left w:val="nil"/>
          <w:bottom w:val="nil"/>
          <w:right w:val="nil"/>
          <w:between w:val="nil"/>
        </w:pBdr>
        <w:spacing w:after="0"/>
      </w:pPr>
      <w:r w:rsidRPr="00A87214">
        <w:rPr>
          <w:b/>
          <w:color w:val="000000"/>
        </w:rPr>
        <w:lastRenderedPageBreak/>
        <w:t>Economic factors:</w:t>
      </w:r>
      <w:r w:rsidRPr="00A87214">
        <w:rPr>
          <w:color w:val="000000"/>
        </w:rPr>
        <w:t xml:space="preserve"> Economic factors such as exchange rates, inflation rates, and interest rates can have both favourable impact on Tesla's business. For example, favourable economic conditions can increase demand for Tesla's products and boost its sales and profits (</w:t>
      </w:r>
      <w:proofErr w:type="spellStart"/>
      <w:r w:rsidRPr="00A87214">
        <w:rPr>
          <w:color w:val="000000"/>
        </w:rPr>
        <w:t>Stocklight</w:t>
      </w:r>
      <w:proofErr w:type="spellEnd"/>
      <w:r w:rsidRPr="00A87214">
        <w:rPr>
          <w:color w:val="000000"/>
        </w:rPr>
        <w:t>, 2022). Additionally, the availability of capital for research and development, as well as manufacturing facilities, is vital for the company's long-term success.</w:t>
      </w:r>
    </w:p>
    <w:p w:rsidR="0026497B" w:rsidRPr="00A87214" w:rsidRDefault="00000000">
      <w:pPr>
        <w:numPr>
          <w:ilvl w:val="0"/>
          <w:numId w:val="1"/>
        </w:numPr>
        <w:pBdr>
          <w:top w:val="nil"/>
          <w:left w:val="nil"/>
          <w:bottom w:val="nil"/>
          <w:right w:val="nil"/>
          <w:between w:val="nil"/>
        </w:pBdr>
        <w:spacing w:after="0"/>
      </w:pPr>
      <w:r w:rsidRPr="00A87214">
        <w:rPr>
          <w:b/>
          <w:color w:val="000000"/>
        </w:rPr>
        <w:t>Socio-cultural factors:</w:t>
      </w:r>
      <w:r w:rsidRPr="00A87214">
        <w:rPr>
          <w:color w:val="000000"/>
        </w:rPr>
        <w:t xml:space="preserve"> Sociocultural factors such as consumer preferences and attitudes towards electric vehicles can also have both favourable and unfavourable impacts on Tesla's success. Favourable consumer attitudes towards environmental sustainability and technological innovation can provide opportunities for Tesla to grow its market share (</w:t>
      </w:r>
      <w:proofErr w:type="spellStart"/>
      <w:r w:rsidRPr="00A87214">
        <w:rPr>
          <w:color w:val="000000"/>
        </w:rPr>
        <w:t>Ajitha</w:t>
      </w:r>
      <w:proofErr w:type="spellEnd"/>
      <w:r w:rsidRPr="00A87214">
        <w:rPr>
          <w:color w:val="000000"/>
        </w:rPr>
        <w:t xml:space="preserve"> and Nagra, 2021). On the other hand, unfavourable consumer attitudes towards electric vehicles can limit demand for Tesla's products. </w:t>
      </w:r>
    </w:p>
    <w:p w:rsidR="0026497B" w:rsidRPr="00A87214" w:rsidRDefault="00000000">
      <w:pPr>
        <w:numPr>
          <w:ilvl w:val="0"/>
          <w:numId w:val="1"/>
        </w:numPr>
        <w:pBdr>
          <w:top w:val="nil"/>
          <w:left w:val="nil"/>
          <w:bottom w:val="nil"/>
          <w:right w:val="nil"/>
          <w:between w:val="nil"/>
        </w:pBdr>
        <w:spacing w:after="0"/>
      </w:pPr>
      <w:r w:rsidRPr="00A87214">
        <w:rPr>
          <w:b/>
          <w:color w:val="000000"/>
        </w:rPr>
        <w:t>Technological factors:</w:t>
      </w:r>
      <w:r w:rsidRPr="00A87214">
        <w:rPr>
          <w:color w:val="000000"/>
        </w:rPr>
        <w:t xml:space="preserve"> Technological innovation is important for Tesla's success, and technological factors can have a favourable impact on the company's performance. Favourable technological developments such as improvements in battery technology and self-driving capabilities can provide opportunities for Tesla to improve its products and increase its market share (Thomas and Maine, 2019). </w:t>
      </w:r>
    </w:p>
    <w:p w:rsidR="0026497B" w:rsidRPr="00A87214" w:rsidRDefault="00000000">
      <w:pPr>
        <w:numPr>
          <w:ilvl w:val="0"/>
          <w:numId w:val="1"/>
        </w:numPr>
        <w:pBdr>
          <w:top w:val="nil"/>
          <w:left w:val="nil"/>
          <w:bottom w:val="nil"/>
          <w:right w:val="nil"/>
          <w:between w:val="nil"/>
        </w:pBdr>
        <w:spacing w:after="0"/>
      </w:pPr>
      <w:r w:rsidRPr="00A87214">
        <w:rPr>
          <w:b/>
          <w:color w:val="000000"/>
        </w:rPr>
        <w:t>Environmental factors:</w:t>
      </w:r>
      <w:r w:rsidRPr="00A87214">
        <w:rPr>
          <w:color w:val="000000"/>
        </w:rPr>
        <w:t xml:space="preserve"> Environmental sustainability is a key factor driving the growth of the electric vehicle market, and environmental factors can have both favourable and unfavourable impacts on Tesla's performance (Kim, 2020). Favourable environmental policies and consumer attitudes towards sustainability can provide opportunities for Tesla to grow its market share and increase demand for its products (</w:t>
      </w:r>
      <w:proofErr w:type="spellStart"/>
      <w:r w:rsidRPr="00A87214">
        <w:rPr>
          <w:color w:val="000000"/>
        </w:rPr>
        <w:t>Stocklight</w:t>
      </w:r>
      <w:proofErr w:type="spellEnd"/>
      <w:r w:rsidRPr="00A87214">
        <w:rPr>
          <w:color w:val="000000"/>
        </w:rPr>
        <w:t>, 2022). Alternatively, unfavourable environmental conditions such as natural disasters and climate change can impact the company's production and supply chain</w:t>
      </w:r>
    </w:p>
    <w:p w:rsidR="0026497B" w:rsidRPr="00A87214" w:rsidRDefault="00000000">
      <w:pPr>
        <w:numPr>
          <w:ilvl w:val="0"/>
          <w:numId w:val="1"/>
        </w:numPr>
        <w:pBdr>
          <w:top w:val="nil"/>
          <w:left w:val="nil"/>
          <w:bottom w:val="nil"/>
          <w:right w:val="nil"/>
          <w:between w:val="nil"/>
        </w:pBdr>
        <w:spacing w:after="0"/>
      </w:pPr>
      <w:r w:rsidRPr="00A87214">
        <w:rPr>
          <w:b/>
          <w:color w:val="000000"/>
        </w:rPr>
        <w:t>Legal factors:</w:t>
      </w:r>
      <w:r w:rsidRPr="00A87214">
        <w:rPr>
          <w:color w:val="000000"/>
        </w:rPr>
        <w:t xml:space="preserve"> Legal factors such as safety, emissions, and intellectual property laws and regulations can have both favourable and unfavourable impacts on Tesla's performance. Favourable legal rulings can provide opportunities for Tesla to expand its sales and distribution channels (</w:t>
      </w:r>
      <w:proofErr w:type="spellStart"/>
      <w:r w:rsidRPr="00A87214">
        <w:rPr>
          <w:color w:val="000000"/>
        </w:rPr>
        <w:t>Alsharari</w:t>
      </w:r>
      <w:proofErr w:type="spellEnd"/>
      <w:r w:rsidRPr="00A87214">
        <w:rPr>
          <w:color w:val="000000"/>
        </w:rPr>
        <w:t>, 2022). Unfavourable legal rulings can limit the company's ability to sell its products or use certain technologies. Additionally, legal challenges related to the Autopilot system can impact the company's brand image and customer confidence.</w:t>
      </w:r>
    </w:p>
    <w:p w:rsidR="0026497B" w:rsidRPr="00A87214" w:rsidRDefault="00000000">
      <w:pPr>
        <w:pStyle w:val="Heading3"/>
      </w:pPr>
      <w:bookmarkStart w:id="4" w:name="_2et92p0" w:colFirst="0" w:colLast="0"/>
      <w:bookmarkEnd w:id="4"/>
      <w:r w:rsidRPr="00A87214">
        <w:lastRenderedPageBreak/>
        <w:t xml:space="preserve">b) Industry Analysis: </w:t>
      </w:r>
    </w:p>
    <w:p w:rsidR="0026497B" w:rsidRPr="00A87214" w:rsidRDefault="00000000">
      <w:r w:rsidRPr="00A87214">
        <w:t xml:space="preserve">According to Narayanan and Fahey (2005), the utilization of </w:t>
      </w:r>
      <w:r w:rsidRPr="00A87214">
        <w:rPr>
          <w:b/>
        </w:rPr>
        <w:t>Porter's Five Forces</w:t>
      </w:r>
      <w:r w:rsidRPr="00A87214">
        <w:t xml:space="preserve"> analysis can be beneficial in comprehending the competitive factors that impact Tesla and the market for electric vehicles. These five forces encompass the likelihood of new entrants, the power of suppliers and buyers in bargaining, the possibility of substitute products, and the level of competitive rivalry.</w:t>
      </w:r>
    </w:p>
    <w:p w:rsidR="0026497B" w:rsidRPr="00A87214" w:rsidRDefault="00000000">
      <w:pPr>
        <w:keepNext/>
        <w:jc w:val="center"/>
      </w:pPr>
      <w:r w:rsidRPr="00A87214">
        <w:rPr>
          <w:noProof/>
        </w:rPr>
        <w:drawing>
          <wp:inline distT="0" distB="0" distL="0" distR="0">
            <wp:extent cx="5298712" cy="3974327"/>
            <wp:effectExtent l="0" t="0" r="0" b="0"/>
            <wp:docPr id="2" name="image2.png" descr="Porter's Five Forces - Management Guru | Management Guru"/>
            <wp:cNvGraphicFramePr/>
            <a:graphic xmlns:a="http://schemas.openxmlformats.org/drawingml/2006/main">
              <a:graphicData uri="http://schemas.openxmlformats.org/drawingml/2006/picture">
                <pic:pic xmlns:pic="http://schemas.openxmlformats.org/drawingml/2006/picture">
                  <pic:nvPicPr>
                    <pic:cNvPr id="0" name="image2.png" descr="Porter's Five Forces - Management Guru | Management Guru"/>
                    <pic:cNvPicPr preferRelativeResize="0"/>
                  </pic:nvPicPr>
                  <pic:blipFill>
                    <a:blip r:embed="rId9"/>
                    <a:srcRect/>
                    <a:stretch>
                      <a:fillRect/>
                    </a:stretch>
                  </pic:blipFill>
                  <pic:spPr>
                    <a:xfrm>
                      <a:off x="0" y="0"/>
                      <a:ext cx="5298712" cy="3974327"/>
                    </a:xfrm>
                    <a:prstGeom prst="rect">
                      <a:avLst/>
                    </a:prstGeom>
                    <a:ln/>
                  </pic:spPr>
                </pic:pic>
              </a:graphicData>
            </a:graphic>
          </wp:inline>
        </w:drawing>
      </w:r>
    </w:p>
    <w:p w:rsidR="0026497B" w:rsidRPr="00A87214" w:rsidRDefault="00000000">
      <w:pPr>
        <w:pBdr>
          <w:top w:val="nil"/>
          <w:left w:val="nil"/>
          <w:bottom w:val="nil"/>
          <w:right w:val="nil"/>
          <w:between w:val="nil"/>
        </w:pBdr>
        <w:spacing w:after="200" w:line="240" w:lineRule="auto"/>
        <w:jc w:val="center"/>
        <w:rPr>
          <w:b/>
          <w:i/>
          <w:color w:val="000000"/>
        </w:rPr>
      </w:pPr>
      <w:r w:rsidRPr="00A87214">
        <w:rPr>
          <w:b/>
          <w:i/>
          <w:color w:val="000000"/>
        </w:rPr>
        <w:t>Figure 2: Porter's Five Forces</w:t>
      </w:r>
    </w:p>
    <w:p w:rsidR="0026497B" w:rsidRPr="00A87214" w:rsidRDefault="00000000">
      <w:pPr>
        <w:jc w:val="center"/>
        <w:rPr>
          <w:b/>
          <w:i/>
        </w:rPr>
      </w:pPr>
      <w:r w:rsidRPr="00A87214">
        <w:rPr>
          <w:b/>
          <w:i/>
        </w:rPr>
        <w:t>(Source: Narayanan and Fahey, 2005)</w:t>
      </w:r>
    </w:p>
    <w:p w:rsidR="0026497B" w:rsidRPr="00A87214" w:rsidRDefault="00000000">
      <w:pPr>
        <w:numPr>
          <w:ilvl w:val="0"/>
          <w:numId w:val="2"/>
        </w:numPr>
        <w:pBdr>
          <w:top w:val="nil"/>
          <w:left w:val="nil"/>
          <w:bottom w:val="nil"/>
          <w:right w:val="nil"/>
          <w:between w:val="nil"/>
        </w:pBdr>
        <w:spacing w:after="0"/>
      </w:pPr>
      <w:r w:rsidRPr="00A87214">
        <w:rPr>
          <w:b/>
          <w:color w:val="000000"/>
        </w:rPr>
        <w:t>Threat of new entrants:</w:t>
      </w:r>
      <w:r w:rsidRPr="00A87214">
        <w:rPr>
          <w:color w:val="000000"/>
        </w:rPr>
        <w:t xml:space="preserve"> The electric vehicle market is highly competitive, and new entrants are continuously entering the market (</w:t>
      </w:r>
      <w:proofErr w:type="spellStart"/>
      <w:r w:rsidRPr="00A87214">
        <w:rPr>
          <w:color w:val="000000"/>
        </w:rPr>
        <w:t>Stocklight</w:t>
      </w:r>
      <w:proofErr w:type="spellEnd"/>
      <w:r w:rsidRPr="00A87214">
        <w:rPr>
          <w:color w:val="000000"/>
        </w:rPr>
        <w:t>, 2022). However, the barriers to entry are high, including the significant capital investment required, government regulations, and high research and development costs. Tesla's strong brand image, technological capabilities, and charging infrastructure give it a competitive advantage over new entrants. Therefore, the threat of new entrants is low.</w:t>
      </w:r>
    </w:p>
    <w:p w:rsidR="0026497B" w:rsidRPr="00A87214" w:rsidRDefault="00000000">
      <w:pPr>
        <w:numPr>
          <w:ilvl w:val="0"/>
          <w:numId w:val="2"/>
        </w:numPr>
        <w:pBdr>
          <w:top w:val="nil"/>
          <w:left w:val="nil"/>
          <w:bottom w:val="nil"/>
          <w:right w:val="nil"/>
          <w:between w:val="nil"/>
        </w:pBdr>
        <w:spacing w:after="0"/>
      </w:pPr>
      <w:r w:rsidRPr="00A87214">
        <w:rPr>
          <w:b/>
          <w:color w:val="000000"/>
        </w:rPr>
        <w:t>Bargaining power of suppliers:</w:t>
      </w:r>
      <w:r w:rsidRPr="00A87214">
        <w:rPr>
          <w:color w:val="000000"/>
        </w:rPr>
        <w:t xml:space="preserve"> The supply chain for electric vehicles is complex, and suppliers have significant bargaining power (</w:t>
      </w:r>
      <w:proofErr w:type="spellStart"/>
      <w:r w:rsidRPr="00A87214">
        <w:rPr>
          <w:color w:val="000000"/>
        </w:rPr>
        <w:t>Flaig</w:t>
      </w:r>
      <w:proofErr w:type="spellEnd"/>
      <w:r w:rsidRPr="00A87214">
        <w:rPr>
          <w:color w:val="000000"/>
        </w:rPr>
        <w:t xml:space="preserve"> et al., 2021). Tesla relies profoundly on suppliers for critical components, such as battery cells, and faces potential supply </w:t>
      </w:r>
      <w:r w:rsidRPr="00A87214">
        <w:rPr>
          <w:color w:val="000000"/>
        </w:rPr>
        <w:lastRenderedPageBreak/>
        <w:t>chain disruptions due to the limited number of suppliers. However, Tesla's strong brand image and its efforts to reduce its reliance on key suppliers, such as battery manufacturers, have reduced its vulnerability to supplier bargaining power. Therefore, the bargaining power of suppliers is medium.</w:t>
      </w:r>
    </w:p>
    <w:p w:rsidR="0026497B" w:rsidRPr="00A87214" w:rsidRDefault="00000000">
      <w:pPr>
        <w:numPr>
          <w:ilvl w:val="0"/>
          <w:numId w:val="2"/>
        </w:numPr>
        <w:pBdr>
          <w:top w:val="nil"/>
          <w:left w:val="nil"/>
          <w:bottom w:val="nil"/>
          <w:right w:val="nil"/>
          <w:between w:val="nil"/>
        </w:pBdr>
        <w:spacing w:after="0"/>
      </w:pPr>
      <w:r w:rsidRPr="00A87214">
        <w:rPr>
          <w:b/>
          <w:color w:val="000000"/>
        </w:rPr>
        <w:t>Bargaining power of buyers:</w:t>
      </w:r>
      <w:r w:rsidRPr="00A87214">
        <w:rPr>
          <w:color w:val="000000"/>
        </w:rPr>
        <w:t xml:space="preserve"> Consumers have significant bargaining power in the electric vehicle market due to the high number of electric vehicle options available. However, Tesla's strong brand image, unique products, and charging infrastructure give it a competitive advantage over other electric vehicle manufacturers, reducing the bargaining power of buyers (Tesla, 2021). Therefore, the bargaining power of buyers is low.</w:t>
      </w:r>
    </w:p>
    <w:p w:rsidR="0026497B" w:rsidRPr="00A87214" w:rsidRDefault="00000000">
      <w:pPr>
        <w:numPr>
          <w:ilvl w:val="0"/>
          <w:numId w:val="2"/>
        </w:numPr>
        <w:pBdr>
          <w:top w:val="nil"/>
          <w:left w:val="nil"/>
          <w:bottom w:val="nil"/>
          <w:right w:val="nil"/>
          <w:between w:val="nil"/>
        </w:pBdr>
        <w:spacing w:after="0"/>
      </w:pPr>
      <w:r w:rsidRPr="00A87214">
        <w:rPr>
          <w:b/>
          <w:color w:val="000000"/>
        </w:rPr>
        <w:t>Threat of substitutes:</w:t>
      </w:r>
      <w:r w:rsidRPr="00A87214">
        <w:rPr>
          <w:color w:val="000000"/>
        </w:rPr>
        <w:t xml:space="preserve"> The electric vehicle market is subject to the threat of substitutes, such as hybrid vehicles and gasoline-powered vehicles (Qian and Zhang, 2023). However, Tesla's unique products, such as its electric sports cars and luxury electric vehicles, and strong brand image give it a competitive advantage over other substitutes. Therefore, the threat of substitutes is low.</w:t>
      </w:r>
    </w:p>
    <w:p w:rsidR="0026497B" w:rsidRPr="00A87214" w:rsidRDefault="00000000">
      <w:pPr>
        <w:numPr>
          <w:ilvl w:val="0"/>
          <w:numId w:val="2"/>
        </w:numPr>
        <w:pBdr>
          <w:top w:val="nil"/>
          <w:left w:val="nil"/>
          <w:bottom w:val="nil"/>
          <w:right w:val="nil"/>
          <w:between w:val="nil"/>
        </w:pBdr>
        <w:rPr>
          <w:color w:val="000000"/>
        </w:rPr>
      </w:pPr>
      <w:r w:rsidRPr="00A87214">
        <w:rPr>
          <w:b/>
          <w:color w:val="000000"/>
        </w:rPr>
        <w:t>Intensity of competitive rivalry:</w:t>
      </w:r>
      <w:r w:rsidRPr="00A87214">
        <w:rPr>
          <w:color w:val="000000"/>
        </w:rPr>
        <w:t xml:space="preserve"> The electric vehicle market is highly competitive, with several major players, such as General Motors and Ford, entering the market (Dai, 2020). However, Tesla's strong brand image, unique products, and technological capabilities give it a competitive advantage over other electric vehicle manufacturers, reducing the intensity of competitive rivalry. Therefore, the intensity of competitive rivalry is medium.</w:t>
      </w:r>
    </w:p>
    <w:p w:rsidR="0026497B" w:rsidRPr="00A87214" w:rsidRDefault="00000000">
      <w:pPr>
        <w:pStyle w:val="Heading2"/>
        <w:rPr>
          <w:i/>
        </w:rPr>
      </w:pPr>
      <w:bookmarkStart w:id="5" w:name="_tyjcwt" w:colFirst="0" w:colLast="0"/>
      <w:bookmarkEnd w:id="5"/>
      <w:r w:rsidRPr="00A87214">
        <w:rPr>
          <w:i/>
        </w:rPr>
        <w:t>Internal analysis</w:t>
      </w:r>
    </w:p>
    <w:p w:rsidR="0026497B" w:rsidRPr="00A87214" w:rsidRDefault="00000000">
      <w:r w:rsidRPr="00A87214">
        <w:t>Tesla's internal environment is significant to understanding the company's marketing strategy and its effectiveness in achieving its objectives. The company analysis using SWOT analysis and analysis of the marketing department and processes are two vital components of the internal analysis.</w:t>
      </w:r>
    </w:p>
    <w:p w:rsidR="0026497B" w:rsidRPr="00A87214" w:rsidRDefault="00000000">
      <w:pPr>
        <w:pStyle w:val="Heading3"/>
      </w:pPr>
      <w:bookmarkStart w:id="6" w:name="_3dy6vkm" w:colFirst="0" w:colLast="0"/>
      <w:bookmarkEnd w:id="6"/>
      <w:r w:rsidRPr="00A87214">
        <w:t>a) Company Analysis:</w:t>
      </w:r>
    </w:p>
    <w:p w:rsidR="0026497B" w:rsidRPr="00A87214" w:rsidRDefault="00000000">
      <w:r w:rsidRPr="00A87214">
        <w:t>The SWOT analysis is a strategic method that is commonly used to evaluate a company's internal strengths and weaknesses, along with external opportunities and threats (</w:t>
      </w:r>
      <w:proofErr w:type="spellStart"/>
      <w:r w:rsidRPr="00A87214">
        <w:t>Benzaghta</w:t>
      </w:r>
      <w:proofErr w:type="spellEnd"/>
      <w:r w:rsidRPr="00A87214">
        <w:t xml:space="preserve"> et al., 2021). The primary goal of the SWOT analysis is to identify key areas where a company needs to focus its resources to improve its competitive position. By analysing the company's internal strengths and weaknesses, the SWOT analysis can highlight areas where the organization can capitalize on its strengths and address any weaknesses that may be holding it </w:t>
      </w:r>
      <w:r w:rsidRPr="00A87214">
        <w:lastRenderedPageBreak/>
        <w:t>back. Similarly, by evaluating external opportunities and threats, the SWOT analysis can help identify potential growth areas for the company and potential challenges it may face in the future.</w:t>
      </w:r>
    </w:p>
    <w:p w:rsidR="0026497B" w:rsidRPr="00A87214" w:rsidRDefault="00000000">
      <w:r w:rsidRPr="00A87214">
        <w:t xml:space="preserve">However, while the SWOT analysis is a widely used and popular method, it does have some limitations. The major disadvantage of the SWOT analysis is that it can oversimplify complex situations, leading to potentially flawed conclusions. Additionally, the subjective nature of the assessment can lead to bias, as the outcome may be influenced by the evaluator's perspective. </w:t>
      </w: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26497B" w:rsidRPr="00A87214">
        <w:tc>
          <w:tcPr>
            <w:tcW w:w="4508" w:type="dxa"/>
          </w:tcPr>
          <w:p w:rsidR="0026497B" w:rsidRPr="00A87214" w:rsidRDefault="00000000">
            <w:pPr>
              <w:spacing w:after="160" w:line="360" w:lineRule="auto"/>
              <w:rPr>
                <w:b/>
              </w:rPr>
            </w:pPr>
            <w:r w:rsidRPr="00A87214">
              <w:rPr>
                <w:b/>
                <w:u w:val="single"/>
              </w:rPr>
              <w:t>Strengths</w:t>
            </w:r>
            <w:r w:rsidRPr="00A87214">
              <w:rPr>
                <w:u w:val="single"/>
              </w:rPr>
              <w:t>:</w:t>
            </w:r>
            <w:r w:rsidRPr="00A87214">
              <w:t xml:space="preserve"> Chuang and Yang (2022) assert that Tesla's brand is a crucial factor that contributes to its success, thanks to its strong reputation for innovation and sustainability. In addition to its brand, Tesla also has a first-mover advantage in the electric vehicle market, as demonstrated by its Tesla Model S winning the Motor Trend Car of the Year award in 2013 (Tesla, 2021). An additional significant strength of Tesla is its highly efficient and advanced supply chain, which helps to minimize costs and increase profitability (Chuang and Yang, 2022).</w:t>
            </w:r>
          </w:p>
        </w:tc>
        <w:tc>
          <w:tcPr>
            <w:tcW w:w="4508" w:type="dxa"/>
          </w:tcPr>
          <w:p w:rsidR="0026497B" w:rsidRPr="00A87214" w:rsidRDefault="00000000">
            <w:pPr>
              <w:spacing w:line="360" w:lineRule="auto"/>
            </w:pPr>
            <w:r w:rsidRPr="00A87214">
              <w:rPr>
                <w:b/>
                <w:u w:val="single"/>
              </w:rPr>
              <w:t>Weaknesses</w:t>
            </w:r>
            <w:r w:rsidRPr="00A87214">
              <w:rPr>
                <w:b/>
              </w:rPr>
              <w:t xml:space="preserve">: </w:t>
            </w:r>
            <w:r w:rsidRPr="00A87214">
              <w:t>The major weakness of Tesla is its production capacity (Han, 2021). The company has struggled to meet the high demand for its EVs, which has resulted in long waiting times for customers (</w:t>
            </w:r>
            <w:proofErr w:type="spellStart"/>
            <w:r w:rsidRPr="00A87214">
              <w:t>Stocklight</w:t>
            </w:r>
            <w:proofErr w:type="spellEnd"/>
            <w:r w:rsidRPr="00A87214">
              <w:t>, 2022). Tesla's pricing strategy is also a weakness, as its EVs are relatively expensive compared to other electric cars in the market (Wang and Peng, 2020).</w:t>
            </w:r>
          </w:p>
        </w:tc>
      </w:tr>
      <w:tr w:rsidR="0026497B" w:rsidRPr="00A87214">
        <w:tc>
          <w:tcPr>
            <w:tcW w:w="4508" w:type="dxa"/>
          </w:tcPr>
          <w:p w:rsidR="0026497B" w:rsidRPr="00A87214" w:rsidRDefault="00000000">
            <w:pPr>
              <w:spacing w:line="360" w:lineRule="auto"/>
            </w:pPr>
            <w:r w:rsidRPr="00A87214">
              <w:rPr>
                <w:b/>
                <w:u w:val="single"/>
              </w:rPr>
              <w:t>Opportunities</w:t>
            </w:r>
            <w:r w:rsidRPr="00A87214">
              <w:rPr>
                <w:b/>
              </w:rPr>
              <w:t xml:space="preserve">: </w:t>
            </w:r>
            <w:r w:rsidRPr="00A87214">
              <w:t>The significant opportunity for Tesla is the growing demand for EVs globally (Huang, et al., 2022). The global implementation of regulations and incentives by governments to encourage the uptake of electric vehicles represents a substantial opening for Tesla to enlarge its market share (</w:t>
            </w:r>
            <w:proofErr w:type="spellStart"/>
            <w:r w:rsidRPr="00A87214">
              <w:t>Stocklight</w:t>
            </w:r>
            <w:proofErr w:type="spellEnd"/>
            <w:r w:rsidRPr="00A87214">
              <w:t>, 2022).</w:t>
            </w:r>
          </w:p>
        </w:tc>
        <w:tc>
          <w:tcPr>
            <w:tcW w:w="4508" w:type="dxa"/>
          </w:tcPr>
          <w:p w:rsidR="0026497B" w:rsidRPr="00A87214" w:rsidRDefault="00000000">
            <w:pPr>
              <w:spacing w:line="360" w:lineRule="auto"/>
            </w:pPr>
            <w:r w:rsidRPr="00A87214">
              <w:rPr>
                <w:b/>
                <w:u w:val="single"/>
              </w:rPr>
              <w:t>Threats</w:t>
            </w:r>
            <w:r w:rsidRPr="00A87214">
              <w:rPr>
                <w:b/>
              </w:rPr>
              <w:t>:</w:t>
            </w:r>
            <w:r w:rsidRPr="00A87214">
              <w:t xml:space="preserve"> The major threat to Tesla includes intense competition from established automakers and new entrants (</w:t>
            </w:r>
            <w:proofErr w:type="spellStart"/>
            <w:r w:rsidRPr="00A87214">
              <w:t>Çitilci</w:t>
            </w:r>
            <w:proofErr w:type="spellEnd"/>
            <w:r w:rsidRPr="00A87214">
              <w:t xml:space="preserve"> and </w:t>
            </w:r>
            <w:proofErr w:type="spellStart"/>
            <w:r w:rsidRPr="00A87214">
              <w:t>Akbalık</w:t>
            </w:r>
            <w:proofErr w:type="spellEnd"/>
            <w:r w:rsidRPr="00A87214">
              <w:t>, 2020). Moreover, regulatory changes and uncertainty, including tariffs, trade disputes, and environmental policies, are also significant threats to Tesla (</w:t>
            </w:r>
            <w:proofErr w:type="spellStart"/>
            <w:r w:rsidRPr="00A87214">
              <w:t>Ajitha</w:t>
            </w:r>
            <w:proofErr w:type="spellEnd"/>
            <w:r w:rsidRPr="00A87214">
              <w:t xml:space="preserve"> and Nagra, 2021).</w:t>
            </w:r>
          </w:p>
        </w:tc>
      </w:tr>
    </w:tbl>
    <w:p w:rsidR="0026497B" w:rsidRPr="00A87214" w:rsidRDefault="0026497B"/>
    <w:p w:rsidR="0026497B" w:rsidRPr="00A87214" w:rsidRDefault="00000000">
      <w:pPr>
        <w:pStyle w:val="Heading2"/>
      </w:pPr>
      <w:bookmarkStart w:id="7" w:name="_1t3h5sf" w:colFirst="0" w:colLast="0"/>
      <w:bookmarkEnd w:id="7"/>
      <w:r w:rsidRPr="00A87214">
        <w:t>b) Analysis of Marketing Department and Processes:</w:t>
      </w:r>
    </w:p>
    <w:p w:rsidR="0026497B" w:rsidRPr="00A87214" w:rsidRDefault="00000000">
      <w:r w:rsidRPr="00A87214">
        <w:t xml:space="preserve">Tesla's success can be attributed to its customer-centric approach to marketing, which involves segmenting its target market, identifying customer needs, and positioning its products and </w:t>
      </w:r>
      <w:r w:rsidRPr="00A87214">
        <w:lastRenderedPageBreak/>
        <w:t>services in a unique way to meet those needs (Tesla, 2021). The company's marketing efforts focus on creating awareness and generating interest in Tesla's products and services, as well as promoting its brand image and differentiating its offerings from competitors. Tesla's primary target market is made up of environmentally conscious consumers who value sustainability and technological innovation. The company has positioned its electric vehicles as high-performance, luxury cars that are environmentally friendly and offer cutting-edge technology, including self-driving capabilities (</w:t>
      </w:r>
      <w:proofErr w:type="spellStart"/>
      <w:r w:rsidRPr="00A87214">
        <w:t>Stocklight</w:t>
      </w:r>
      <w:proofErr w:type="spellEnd"/>
      <w:r w:rsidRPr="00A87214">
        <w:t xml:space="preserve">, 2022). </w:t>
      </w:r>
    </w:p>
    <w:p w:rsidR="0026497B" w:rsidRPr="00A87214" w:rsidRDefault="00000000">
      <w:r w:rsidRPr="00A87214">
        <w:t>To reach and engage with its target customers, Tesla uses digital marketing and social media extensively. The company leverages various digital channels, such as its website, social media, and online communities, to create brand awareness and generate interest in its products (Thomas and Maine, 2019). Tesla also conducts regular market research and analysis to stay updated on the latest industry trends and customer preferences, which helps it refine its marketing strategy (</w:t>
      </w:r>
      <w:proofErr w:type="spellStart"/>
      <w:r w:rsidRPr="00A87214">
        <w:t>Alsharari</w:t>
      </w:r>
      <w:proofErr w:type="spellEnd"/>
      <w:r w:rsidRPr="00A87214">
        <w:t>, 2022). Tesla's marketing department measures its performance using various metrics, including website traffic, engagement rates on social media, and lead conversion rates (Kim, 2020). The department focuses on reducing costs and improving the customer experience to ensure that Tesla's marketing efforts are effective and efficient.</w:t>
      </w:r>
    </w:p>
    <w:p w:rsidR="0026497B" w:rsidRPr="00A87214" w:rsidRDefault="0026497B"/>
    <w:p w:rsidR="0026497B" w:rsidRPr="00A87214" w:rsidRDefault="0026497B"/>
    <w:p w:rsidR="0026497B" w:rsidRPr="00A87214" w:rsidRDefault="00000000">
      <w:pPr>
        <w:rPr>
          <w:b/>
          <w:color w:val="000000"/>
          <w:u w:val="single"/>
        </w:rPr>
      </w:pPr>
      <w:r w:rsidRPr="00A87214">
        <w:br w:type="page"/>
      </w:r>
    </w:p>
    <w:p w:rsidR="0026497B" w:rsidRPr="00A87214" w:rsidRDefault="00000000">
      <w:pPr>
        <w:pStyle w:val="Heading1"/>
        <w:rPr>
          <w:u w:val="single"/>
        </w:rPr>
      </w:pPr>
      <w:bookmarkStart w:id="8" w:name="_4d34og8" w:colFirst="0" w:colLast="0"/>
      <w:bookmarkEnd w:id="8"/>
      <w:r w:rsidRPr="00A87214">
        <w:rPr>
          <w:u w:val="single"/>
        </w:rPr>
        <w:lastRenderedPageBreak/>
        <w:t>Marketing Recommendations</w:t>
      </w:r>
    </w:p>
    <w:p w:rsidR="0026497B" w:rsidRPr="00A87214" w:rsidRDefault="00000000">
      <w:r w:rsidRPr="00A87214">
        <w:t>Based on the findings of the environmental marketing analysis, it is recommended that Tesla need focus on the following key areas to improve its marketing strategies and achieve sustainable competitive advantage.</w:t>
      </w:r>
    </w:p>
    <w:p w:rsidR="0026497B" w:rsidRPr="00A87214" w:rsidRDefault="00000000">
      <w:r w:rsidRPr="00A87214">
        <w:rPr>
          <w:b/>
        </w:rPr>
        <w:t>Product:</w:t>
      </w:r>
      <w:r w:rsidRPr="00A87214">
        <w:t xml:space="preserve"> According to </w:t>
      </w:r>
      <w:proofErr w:type="spellStart"/>
      <w:r w:rsidRPr="00A87214">
        <w:t>Flaig</w:t>
      </w:r>
      <w:proofErr w:type="spellEnd"/>
      <w:r w:rsidRPr="00A87214">
        <w:t xml:space="preserve"> et al. (2021), Tesla's product line has been effective in attracting consumers who appreciate sustainability, innovation, and luxury. Nevertheless, there is potential for the company to increase its investment in research and development to improve its current products and introduce new ones. One approach to this could be to expand its offerings by developing electric cars that are more affordable, like the Model 3, which has a more accessible starting price compared to other Tesla models. </w:t>
      </w:r>
    </w:p>
    <w:p w:rsidR="0026497B" w:rsidRPr="00A87214" w:rsidRDefault="00000000">
      <w:r w:rsidRPr="00A87214">
        <w:rPr>
          <w:b/>
        </w:rPr>
        <w:t>Price:</w:t>
      </w:r>
      <w:r w:rsidRPr="00A87214">
        <w:t xml:space="preserve"> Tesla's products are currently priced at a premium, which limits the size of its potential market. To address this, Tesla could introduce more affordable options and/or adjust its pricing strategy to better reflect the value offered by its products (Qian and Zhang, 2023). For example, the company could offer financing options or subscription-based services to make its products more accessible. Tesla could also consider lowering the price of its entry-level models or reducing the cost of its batteries to make its products more competitive in the market.</w:t>
      </w:r>
    </w:p>
    <w:p w:rsidR="0026497B" w:rsidRPr="00A87214" w:rsidRDefault="00000000">
      <w:r w:rsidRPr="00A87214">
        <w:rPr>
          <w:b/>
        </w:rPr>
        <w:t>Promotion:</w:t>
      </w:r>
      <w:r w:rsidRPr="00A87214">
        <w:t xml:space="preserve"> As per Dai's (2020) analysis, Tesla has predominantly relied on word-of-mouth and social media platforms to establish a powerful brand identity, leading to positive results in generating publicity and brand recognition. However, to expand its outreach, Tesla should think about including more traditional advertising channels such as television and print advertising in its marketing strategy. Furthermore, Tesla could explore increasing its focus on influencer marketing to access new target markets. </w:t>
      </w:r>
    </w:p>
    <w:p w:rsidR="0026497B" w:rsidRPr="00A87214" w:rsidRDefault="00000000">
      <w:r w:rsidRPr="00A87214">
        <w:rPr>
          <w:b/>
        </w:rPr>
        <w:t>Place:</w:t>
      </w:r>
      <w:r w:rsidRPr="00A87214">
        <w:t xml:space="preserve"> Tesla's direct-to-consumer sales model has been a key factor in its success, allowing the company to control the customer experience and provide a high level of service (Chuang and Yang, 2022). However, there may be opportunities to expand its distribution channels through partnerships with other retailers or by opening more physical stores in key markets. Tesla could also consider opening more service centres in areas with high customer demand, ensuring that customers can easily access support and maintenance services.</w:t>
      </w:r>
    </w:p>
    <w:p w:rsidR="0026497B" w:rsidRPr="00A87214" w:rsidRDefault="00000000">
      <w:r w:rsidRPr="00A87214">
        <w:rPr>
          <w:b/>
        </w:rPr>
        <w:t>People:</w:t>
      </w:r>
      <w:r w:rsidRPr="00A87214">
        <w:t xml:space="preserve"> The employees of Tesla are crucial in ensuring customer satisfaction and portraying the company's core brand principles (Han, 2021). To ensure that its workforce is aligned with its marketing goals, Tesla should invest in employee training and development programs that emphasize customer service, sustainability, and innovation. For example, Tesla could offer </w:t>
      </w:r>
      <w:r w:rsidRPr="00A87214">
        <w:lastRenderedPageBreak/>
        <w:t>training programs to its employees on how to handle customer complaints effectively and promote the company's sustainability initiatives.</w:t>
      </w:r>
    </w:p>
    <w:p w:rsidR="0026497B" w:rsidRPr="00A87214" w:rsidRDefault="00000000">
      <w:r w:rsidRPr="00A87214">
        <w:rPr>
          <w:b/>
        </w:rPr>
        <w:t>Process:</w:t>
      </w:r>
      <w:r w:rsidRPr="00A87214">
        <w:t xml:space="preserve"> Tesla's sales process is highly automated and streamlined, which has contributed to its reputation for innovation and efficiency (Wang and Peng, 2020). However, the company could further improve its processes by investing in technologies such as augmented reality to enhance the customer experience and streamline the sales process. For instance, Tesla could develop an augmented reality app that enables customers to visualize and customize their vehicles, making the buying process more engaging and interactive.</w:t>
      </w:r>
    </w:p>
    <w:p w:rsidR="0026497B" w:rsidRPr="00A87214" w:rsidRDefault="00000000">
      <w:pPr>
        <w:rPr>
          <w:b/>
        </w:rPr>
      </w:pPr>
      <w:r w:rsidRPr="00A87214">
        <w:rPr>
          <w:b/>
        </w:rPr>
        <w:t>Physical Evidence:</w:t>
      </w:r>
      <w:r w:rsidRPr="00A87214">
        <w:t xml:space="preserve"> Tesla's showrooms and service centres are designed to reflect the company's brand values of sustainability, innovation, and luxury (Huang, et al., 2022). To maintain this image, Tesla should continue to invest in the design and aesthetics of its physical locations, ensuring that they provide a unique and memorable experience for customers. Additionally, the company could consider expanding its physical presence by opening more showrooms and service centres in key markets to increase accessibility and convenience for customers.</w:t>
      </w:r>
      <w:r w:rsidRPr="00A87214">
        <w:br w:type="page"/>
      </w:r>
    </w:p>
    <w:p w:rsidR="0026497B" w:rsidRPr="00A87214" w:rsidRDefault="00000000">
      <w:pPr>
        <w:pStyle w:val="Heading1"/>
        <w:rPr>
          <w:u w:val="single"/>
        </w:rPr>
      </w:pPr>
      <w:bookmarkStart w:id="9" w:name="_2s8eyo1" w:colFirst="0" w:colLast="0"/>
      <w:bookmarkEnd w:id="9"/>
      <w:r w:rsidRPr="00A87214">
        <w:rPr>
          <w:u w:val="single"/>
        </w:rPr>
        <w:lastRenderedPageBreak/>
        <w:t>Conclusion</w:t>
      </w:r>
    </w:p>
    <w:p w:rsidR="0026497B" w:rsidRPr="00A87214" w:rsidRDefault="00000000">
      <w:r w:rsidRPr="00A87214">
        <w:t>The section of this report highlights the key findings and their implications for Tesla. The report has identified that Tesla is operating in a crowded and competitive marketplace where it faces a number of challenges such as globalisation, increasing brand awareness and competitiveness, managing reputation, and rising customer expectations. The environmental marketing analysis has revealed that Tesla has a number of strengths and opportunities that it can leverage to achieve a sustainable competitive advantage but also faces a number of threats and weaknesses that must be addressed. Based on the findings of the report, the recommendations for the future marketing strategies of Tesla include a focus on product development and innovation, improving distribution channels, and enhancing the customer experience through better customer service and engagement. Additionally, the report recommends that Tesla should consider expanding its market presence globally and leveraging digital marketing strategies to reach a wider audience. These recommendations are grounded in a comprehensive analysis of the external and internal environment and take into account the key drivers and trends shaping the industry.</w:t>
      </w:r>
    </w:p>
    <w:p w:rsidR="0026497B" w:rsidRPr="00A87214" w:rsidRDefault="0026497B"/>
    <w:p w:rsidR="0026497B" w:rsidRPr="00A87214" w:rsidRDefault="00000000">
      <w:r w:rsidRPr="00A87214">
        <w:br w:type="page"/>
      </w:r>
    </w:p>
    <w:p w:rsidR="0026497B" w:rsidRPr="00A87214" w:rsidRDefault="00000000">
      <w:pPr>
        <w:pStyle w:val="Heading1"/>
        <w:rPr>
          <w:u w:val="single"/>
        </w:rPr>
      </w:pPr>
      <w:bookmarkStart w:id="10" w:name="_17dp8vu" w:colFirst="0" w:colLast="0"/>
      <w:bookmarkEnd w:id="10"/>
      <w:r w:rsidRPr="00A87214">
        <w:rPr>
          <w:u w:val="single"/>
        </w:rPr>
        <w:lastRenderedPageBreak/>
        <w:t>References</w:t>
      </w:r>
    </w:p>
    <w:p w:rsidR="0026497B" w:rsidRPr="00A87214" w:rsidRDefault="00000000">
      <w:pPr>
        <w:ind w:left="720" w:hanging="720"/>
      </w:pPr>
      <w:proofErr w:type="spellStart"/>
      <w:r w:rsidRPr="00A87214">
        <w:t>Ajitha</w:t>
      </w:r>
      <w:proofErr w:type="spellEnd"/>
      <w:r w:rsidRPr="00A87214">
        <w:t>, P.V. and Nagra, A. 2021. An Overview of Artificial Intelligence in Automobile Industry–A Case Study on Tesla Cars. </w:t>
      </w:r>
      <w:r w:rsidRPr="00A87214">
        <w:rPr>
          <w:i/>
        </w:rPr>
        <w:t>Solid State Technology</w:t>
      </w:r>
      <w:r w:rsidRPr="00A87214">
        <w:t>, </w:t>
      </w:r>
      <w:r w:rsidRPr="00A87214">
        <w:rPr>
          <w:i/>
        </w:rPr>
        <w:t>64</w:t>
      </w:r>
      <w:r w:rsidRPr="00A87214">
        <w:t>(2), pp. 503-512.</w:t>
      </w:r>
    </w:p>
    <w:p w:rsidR="0026497B" w:rsidRPr="00A87214" w:rsidRDefault="00000000">
      <w:pPr>
        <w:ind w:left="720" w:hanging="720"/>
      </w:pPr>
      <w:proofErr w:type="spellStart"/>
      <w:r w:rsidRPr="00A87214">
        <w:t>Alsharari</w:t>
      </w:r>
      <w:proofErr w:type="spellEnd"/>
      <w:r w:rsidRPr="00A87214">
        <w:t>, N.M. 2022. Financial reporting and analysis of tesla green technology in the United States market. </w:t>
      </w:r>
      <w:r w:rsidRPr="00A87214">
        <w:rPr>
          <w:i/>
        </w:rPr>
        <w:t>Banking and Accounting Issues</w:t>
      </w:r>
      <w:r w:rsidRPr="00A87214">
        <w:t>, p. 3.</w:t>
      </w:r>
    </w:p>
    <w:p w:rsidR="0026497B" w:rsidRPr="00A87214" w:rsidRDefault="00000000">
      <w:pPr>
        <w:ind w:left="720" w:hanging="720"/>
      </w:pPr>
      <w:proofErr w:type="spellStart"/>
      <w:r w:rsidRPr="00A87214">
        <w:t>Benzaghta</w:t>
      </w:r>
      <w:proofErr w:type="spellEnd"/>
      <w:r w:rsidRPr="00A87214">
        <w:t xml:space="preserve">, M.A., </w:t>
      </w:r>
      <w:proofErr w:type="spellStart"/>
      <w:r w:rsidRPr="00A87214">
        <w:t>Elwalda</w:t>
      </w:r>
      <w:proofErr w:type="spellEnd"/>
      <w:r w:rsidRPr="00A87214">
        <w:t>, A., Mousa, M.M., Erkan, I. and Rahman, M. 2021. SWOT analysis applications: An integrative literature review. </w:t>
      </w:r>
      <w:r w:rsidRPr="00A87214">
        <w:rPr>
          <w:i/>
        </w:rPr>
        <w:t>Journal of Global Business Insights</w:t>
      </w:r>
      <w:r w:rsidRPr="00A87214">
        <w:t>, </w:t>
      </w:r>
      <w:r w:rsidRPr="00A87214">
        <w:rPr>
          <w:i/>
        </w:rPr>
        <w:t>6</w:t>
      </w:r>
      <w:r w:rsidRPr="00A87214">
        <w:t>(1), pp. 55-73.</w:t>
      </w:r>
    </w:p>
    <w:p w:rsidR="0026497B" w:rsidRPr="00A87214" w:rsidRDefault="00000000">
      <w:pPr>
        <w:ind w:left="720" w:hanging="720"/>
      </w:pPr>
      <w:r w:rsidRPr="00A87214">
        <w:t>Chuang, C. and Yang, Y. 2022, May. Buy tesla, sell ford: Assessing implicit stock market preference in pre-trained language models. In </w:t>
      </w:r>
      <w:r w:rsidRPr="00A87214">
        <w:rPr>
          <w:i/>
        </w:rPr>
        <w:t>Proceedings of the 60th Annual Meeting of the Association for Computational Linguistics (Volume 2: Short Papers)</w:t>
      </w:r>
      <w:r w:rsidRPr="00A87214">
        <w:t> (pp. 100-105).</w:t>
      </w:r>
    </w:p>
    <w:p w:rsidR="0026497B" w:rsidRPr="00A87214" w:rsidRDefault="00000000">
      <w:pPr>
        <w:ind w:left="720" w:hanging="720"/>
      </w:pPr>
      <w:proofErr w:type="spellStart"/>
      <w:r w:rsidRPr="00A87214">
        <w:t>Çitilci</w:t>
      </w:r>
      <w:proofErr w:type="spellEnd"/>
      <w:r w:rsidRPr="00A87214">
        <w:t xml:space="preserve">, T. and </w:t>
      </w:r>
      <w:proofErr w:type="spellStart"/>
      <w:r w:rsidRPr="00A87214">
        <w:t>Akbalık</w:t>
      </w:r>
      <w:proofErr w:type="spellEnd"/>
      <w:r w:rsidRPr="00A87214">
        <w:t>, M. 2020. The importance of PESTEL analysis for environmental scanning process. In </w:t>
      </w:r>
      <w:r w:rsidRPr="00A87214">
        <w:rPr>
          <w:i/>
        </w:rPr>
        <w:t>Handbook of Research on Decision-Making Techniques in Financial Marketing</w:t>
      </w:r>
      <w:r w:rsidRPr="00A87214">
        <w:t> (pp. 336-357). IGI Global.</w:t>
      </w:r>
    </w:p>
    <w:p w:rsidR="0026497B" w:rsidRPr="00A87214" w:rsidRDefault="00000000">
      <w:pPr>
        <w:ind w:left="720" w:hanging="720"/>
      </w:pPr>
      <w:r w:rsidRPr="00A87214">
        <w:t>Dai, R. 2020. The Analysis of Tesla's Competitive Strategy for the Chinese Market. </w:t>
      </w:r>
      <w:r w:rsidRPr="00A87214">
        <w:rPr>
          <w:i/>
        </w:rPr>
        <w:t>The University of Nottingham</w:t>
      </w:r>
      <w:r w:rsidRPr="00A87214">
        <w:t>, (199).</w:t>
      </w:r>
    </w:p>
    <w:p w:rsidR="0026497B" w:rsidRPr="00A87214" w:rsidRDefault="00000000">
      <w:pPr>
        <w:ind w:left="720" w:hanging="720"/>
      </w:pPr>
      <w:proofErr w:type="spellStart"/>
      <w:r w:rsidRPr="00A87214">
        <w:t>Flaig</w:t>
      </w:r>
      <w:proofErr w:type="spellEnd"/>
      <w:r w:rsidRPr="00A87214">
        <w:t xml:space="preserve">, A., </w:t>
      </w:r>
      <w:proofErr w:type="spellStart"/>
      <w:r w:rsidRPr="00A87214">
        <w:t>Kindström</w:t>
      </w:r>
      <w:proofErr w:type="spellEnd"/>
      <w:r w:rsidRPr="00A87214">
        <w:t xml:space="preserve">, D. and </w:t>
      </w:r>
      <w:proofErr w:type="spellStart"/>
      <w:r w:rsidRPr="00A87214">
        <w:t>Ottosson</w:t>
      </w:r>
      <w:proofErr w:type="spellEnd"/>
      <w:r w:rsidRPr="00A87214">
        <w:t>, M. 2021. Market-shaping strategies: A conceptual framework for generating market outcomes. </w:t>
      </w:r>
      <w:r w:rsidRPr="00A87214">
        <w:rPr>
          <w:i/>
        </w:rPr>
        <w:t>Industrial Marketing Management</w:t>
      </w:r>
      <w:r w:rsidRPr="00A87214">
        <w:t>, </w:t>
      </w:r>
      <w:r w:rsidRPr="00A87214">
        <w:rPr>
          <w:i/>
        </w:rPr>
        <w:t>96</w:t>
      </w:r>
      <w:r w:rsidRPr="00A87214">
        <w:t>, pp. 254-266.</w:t>
      </w:r>
    </w:p>
    <w:p w:rsidR="0026497B" w:rsidRPr="00A87214" w:rsidRDefault="00000000">
      <w:pPr>
        <w:ind w:left="720" w:hanging="720"/>
      </w:pPr>
      <w:r w:rsidRPr="00A87214">
        <w:t>Han, J. 2021. How Does Tesla Motors Achieve Competitive Advantage in the Global Automobile Industry. </w:t>
      </w:r>
      <w:r w:rsidRPr="00A87214">
        <w:rPr>
          <w:i/>
        </w:rPr>
        <w:t>Journal of Next-generation Convergence Information Services Technology Vol</w:t>
      </w:r>
      <w:r w:rsidRPr="00A87214">
        <w:t>, </w:t>
      </w:r>
      <w:r w:rsidRPr="00A87214">
        <w:rPr>
          <w:i/>
        </w:rPr>
        <w:t>10</w:t>
      </w:r>
      <w:r w:rsidRPr="00A87214">
        <w:t>(5), pp. 573-582.</w:t>
      </w:r>
    </w:p>
    <w:p w:rsidR="0026497B" w:rsidRPr="00A87214" w:rsidRDefault="00000000">
      <w:pPr>
        <w:ind w:left="720" w:hanging="720"/>
      </w:pPr>
      <w:r w:rsidRPr="00A87214">
        <w:t xml:space="preserve">Huang, Z., Qi, S. and Sun, Z. 2022, March. Analysis tesla in the future by binary option and four different </w:t>
      </w:r>
      <w:proofErr w:type="gramStart"/>
      <w:r w:rsidRPr="00A87214">
        <w:t>sensitivity</w:t>
      </w:r>
      <w:proofErr w:type="gramEnd"/>
      <w:r w:rsidRPr="00A87214">
        <w:t>. In </w:t>
      </w:r>
      <w:r w:rsidRPr="00A87214">
        <w:rPr>
          <w:i/>
        </w:rPr>
        <w:t>2022 7th International Conference on Financial Innovation and Economic Development (ICFIED 2022)</w:t>
      </w:r>
      <w:r w:rsidRPr="00A87214">
        <w:t xml:space="preserve"> (pp. 683-688). Atlantis Press. </w:t>
      </w:r>
    </w:p>
    <w:p w:rsidR="0026497B" w:rsidRPr="00A87214" w:rsidRDefault="00000000">
      <w:pPr>
        <w:ind w:left="720" w:hanging="720"/>
      </w:pPr>
      <w:r w:rsidRPr="00A87214">
        <w:t>Kim, H. 2020. Analysis of how Tesla creates core innovation capability. </w:t>
      </w:r>
      <w:r w:rsidRPr="00A87214">
        <w:rPr>
          <w:i/>
        </w:rPr>
        <w:t>International Journal of Business and Management</w:t>
      </w:r>
      <w:r w:rsidRPr="00A87214">
        <w:t>, </w:t>
      </w:r>
      <w:r w:rsidRPr="00A87214">
        <w:rPr>
          <w:i/>
        </w:rPr>
        <w:t>15</w:t>
      </w:r>
      <w:r w:rsidRPr="00A87214">
        <w:t>(6), pp. 42-61.</w:t>
      </w:r>
    </w:p>
    <w:p w:rsidR="0026497B" w:rsidRPr="00A87214" w:rsidRDefault="00000000">
      <w:pPr>
        <w:ind w:left="720" w:hanging="720"/>
      </w:pPr>
      <w:r w:rsidRPr="00A87214">
        <w:lastRenderedPageBreak/>
        <w:t>Narayanan, V.K. and Fahey, L. 2005. The relevance of the institutional underpinnings of Porter's five forces framework to emerging economies: An epistemological analysis. </w:t>
      </w:r>
      <w:r w:rsidRPr="00A87214">
        <w:rPr>
          <w:i/>
        </w:rPr>
        <w:t>Journal of Management Studies</w:t>
      </w:r>
      <w:r w:rsidRPr="00A87214">
        <w:t>, </w:t>
      </w:r>
      <w:r w:rsidRPr="00A87214">
        <w:rPr>
          <w:i/>
        </w:rPr>
        <w:t>42</w:t>
      </w:r>
      <w:r w:rsidRPr="00A87214">
        <w:t>(1), pp.207-223.</w:t>
      </w:r>
    </w:p>
    <w:p w:rsidR="0026497B" w:rsidRPr="00A87214" w:rsidRDefault="00000000">
      <w:pPr>
        <w:ind w:left="720" w:hanging="720"/>
      </w:pPr>
      <w:r w:rsidRPr="00A87214">
        <w:t>Qian, L. and Zhang, C. 2023. Complementary or congruent? The effect of hosting Tesla charging stations on hotels’ revenue. </w:t>
      </w:r>
      <w:r w:rsidRPr="00A87214">
        <w:rPr>
          <w:i/>
        </w:rPr>
        <w:t>Journal of Travel Research</w:t>
      </w:r>
      <w:r w:rsidRPr="00A87214">
        <w:t>, </w:t>
      </w:r>
      <w:r w:rsidRPr="00A87214">
        <w:rPr>
          <w:i/>
        </w:rPr>
        <w:t>62</w:t>
      </w:r>
      <w:r w:rsidRPr="00A87214">
        <w:t>(3), pp. 663-684.</w:t>
      </w:r>
    </w:p>
    <w:p w:rsidR="0026497B" w:rsidRPr="00A87214" w:rsidRDefault="00000000">
      <w:pPr>
        <w:ind w:left="720" w:hanging="720"/>
      </w:pPr>
      <w:proofErr w:type="spellStart"/>
      <w:r w:rsidRPr="00A87214">
        <w:t>Stocklight</w:t>
      </w:r>
      <w:proofErr w:type="spellEnd"/>
      <w:r w:rsidRPr="00A87214">
        <w:t xml:space="preserve">. 2022. Tesla Annual Report 2022. [Online]. Available at: </w:t>
      </w:r>
      <w:hyperlink r:id="rId10">
        <w:r w:rsidRPr="00A87214">
          <w:rPr>
            <w:color w:val="0563C1"/>
            <w:u w:val="single"/>
          </w:rPr>
          <w:t>https://annualreport.stocklight.com/nasdaq/tsla/22878151.pdf</w:t>
        </w:r>
      </w:hyperlink>
      <w:r w:rsidRPr="00A87214">
        <w:t xml:space="preserve"> [Accessed on: 22 April 2023]. </w:t>
      </w:r>
    </w:p>
    <w:p w:rsidR="0026497B" w:rsidRPr="00A87214" w:rsidRDefault="00000000">
      <w:pPr>
        <w:ind w:left="720" w:hanging="720"/>
      </w:pPr>
      <w:r w:rsidRPr="00A87214">
        <w:t xml:space="preserve">Tesla. 2021. Impact Report 2021. [Online]. Available at: </w:t>
      </w:r>
      <w:hyperlink r:id="rId11">
        <w:r w:rsidRPr="00A87214">
          <w:rPr>
            <w:color w:val="0563C1"/>
            <w:u w:val="single"/>
          </w:rPr>
          <w:t>https://www.tesla.com/ns_videos/2021-tesla-impact-report.pdf</w:t>
        </w:r>
      </w:hyperlink>
      <w:r w:rsidRPr="00A87214">
        <w:t xml:space="preserve"> [Accessed on: 22 April 2023].</w:t>
      </w:r>
    </w:p>
    <w:p w:rsidR="0026497B" w:rsidRPr="00A87214" w:rsidRDefault="00000000">
      <w:pPr>
        <w:ind w:left="720" w:hanging="720"/>
      </w:pPr>
      <w:r w:rsidRPr="00A87214">
        <w:t xml:space="preserve">Tesla. 2023. About Us. [Online]. Available at: </w:t>
      </w:r>
      <w:hyperlink r:id="rId12">
        <w:r w:rsidRPr="00A87214">
          <w:rPr>
            <w:color w:val="0563C1"/>
            <w:u w:val="single"/>
          </w:rPr>
          <w:t>https://www.tesla.com/about</w:t>
        </w:r>
      </w:hyperlink>
      <w:r w:rsidRPr="00A87214">
        <w:t xml:space="preserve"> [Accessed on: 22 April 2023]. </w:t>
      </w:r>
    </w:p>
    <w:p w:rsidR="0026497B" w:rsidRPr="00A87214" w:rsidRDefault="00000000">
      <w:pPr>
        <w:ind w:left="720" w:hanging="720"/>
      </w:pPr>
      <w:r w:rsidRPr="00A87214">
        <w:t>Thomas, V.J. and Maine, E. 2019. Market entry strategies for electric vehicle start-ups in the automotive industry–Lessons from Tesla Motors. </w:t>
      </w:r>
      <w:r w:rsidRPr="00A87214">
        <w:rPr>
          <w:i/>
        </w:rPr>
        <w:t>Journal of Cleaner Production</w:t>
      </w:r>
      <w:r w:rsidRPr="00A87214">
        <w:t>, </w:t>
      </w:r>
      <w:r w:rsidRPr="00A87214">
        <w:rPr>
          <w:i/>
        </w:rPr>
        <w:t>235</w:t>
      </w:r>
      <w:r w:rsidRPr="00A87214">
        <w:t>, pp. 653-663.</w:t>
      </w:r>
    </w:p>
    <w:p w:rsidR="0026497B" w:rsidRPr="00A87214" w:rsidRDefault="00000000">
      <w:pPr>
        <w:ind w:left="720" w:hanging="720"/>
      </w:pPr>
      <w:r w:rsidRPr="00A87214">
        <w:t xml:space="preserve">Wang, J. and Peng, X. 2020. a study of patent </w:t>
      </w:r>
      <w:proofErr w:type="gramStart"/>
      <w:r w:rsidRPr="00A87214">
        <w:t>open source</w:t>
      </w:r>
      <w:proofErr w:type="gramEnd"/>
      <w:r w:rsidRPr="00A87214">
        <w:t xml:space="preserve"> strategies based on open innovation: The case of tesla. </w:t>
      </w:r>
      <w:r w:rsidRPr="00A87214">
        <w:rPr>
          <w:i/>
        </w:rPr>
        <w:t>Open Journal of Social Sciences</w:t>
      </w:r>
      <w:r w:rsidRPr="00A87214">
        <w:t>, </w:t>
      </w:r>
      <w:r w:rsidRPr="00A87214">
        <w:rPr>
          <w:i/>
        </w:rPr>
        <w:t>8</w:t>
      </w:r>
      <w:r w:rsidRPr="00A87214">
        <w:t>(07), p. 386.</w:t>
      </w:r>
    </w:p>
    <w:p w:rsidR="0026497B" w:rsidRDefault="0026497B">
      <w:pPr>
        <w:ind w:left="720" w:hanging="720"/>
      </w:pPr>
    </w:p>
    <w:sectPr w:rsidR="0026497B">
      <w:footerReference w:type="default" r:id="rId13"/>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116D7" w:rsidRDefault="006116D7">
      <w:pPr>
        <w:spacing w:after="0" w:line="240" w:lineRule="auto"/>
      </w:pPr>
      <w:r>
        <w:separator/>
      </w:r>
    </w:p>
  </w:endnote>
  <w:endnote w:type="continuationSeparator" w:id="0">
    <w:p w:rsidR="006116D7" w:rsidRDefault="006116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6497B"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A87214">
      <w:rPr>
        <w:noProof/>
        <w:color w:val="000000"/>
      </w:rPr>
      <w:t>1</w:t>
    </w:r>
    <w:r>
      <w:rPr>
        <w:color w:val="000000"/>
      </w:rPr>
      <w:fldChar w:fldCharType="end"/>
    </w:r>
  </w:p>
  <w:p w:rsidR="0026497B" w:rsidRDefault="0026497B">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116D7" w:rsidRDefault="006116D7">
      <w:pPr>
        <w:spacing w:after="0" w:line="240" w:lineRule="auto"/>
      </w:pPr>
      <w:r>
        <w:separator/>
      </w:r>
    </w:p>
  </w:footnote>
  <w:footnote w:type="continuationSeparator" w:id="0">
    <w:p w:rsidR="006116D7" w:rsidRDefault="006116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97A3A"/>
    <w:multiLevelType w:val="multilevel"/>
    <w:tmpl w:val="A5A407D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678237E0"/>
    <w:multiLevelType w:val="multilevel"/>
    <w:tmpl w:val="A3A2FE4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486632578">
    <w:abstractNumId w:val="0"/>
  </w:num>
  <w:num w:numId="2" w16cid:durableId="18797742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497B"/>
    <w:rsid w:val="0026497B"/>
    <w:rsid w:val="006116D7"/>
    <w:rsid w:val="00A8721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1C295ED-C1B1-46EA-B42B-3367E0F02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000000"/>
    </w:rPr>
  </w:style>
  <w:style w:type="paragraph" w:styleId="Heading2">
    <w:name w:val="heading 2"/>
    <w:basedOn w:val="Normal"/>
    <w:next w:val="Normal"/>
    <w:uiPriority w:val="9"/>
    <w:unhideWhenUsed/>
    <w:qFormat/>
    <w:pPr>
      <w:keepNext/>
      <w:keepLines/>
      <w:spacing w:before="40" w:after="0"/>
      <w:outlineLvl w:val="1"/>
    </w:pPr>
    <w:rPr>
      <w:b/>
      <w:color w:val="000000"/>
    </w:rPr>
  </w:style>
  <w:style w:type="paragraph" w:styleId="Heading3">
    <w:name w:val="heading 3"/>
    <w:basedOn w:val="Normal"/>
    <w:next w:val="Normal"/>
    <w:uiPriority w:val="9"/>
    <w:unhideWhenUsed/>
    <w:qFormat/>
    <w:pPr>
      <w:keepNext/>
      <w:keepLines/>
      <w:spacing w:before="40" w:after="0"/>
      <w:outlineLvl w:val="2"/>
    </w:pPr>
    <w:rPr>
      <w:b/>
      <w:color w:val="000000"/>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jc w:val="center"/>
    </w:pPr>
    <w:rPr>
      <w:b/>
      <w:sz w:val="52"/>
      <w:szCs w:val="5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esla.com/abou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sla.com/ns_videos/2021-tesla-impact-report.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annualreport.stocklight.com/nasdaq/tsla/22878151.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D163201-8BEF-4381-8E30-56A48BA9A5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3133</Words>
  <Characters>17864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Nabhan Puzhakkattil</dc:creator>
  <cp:lastModifiedBy>Tinku Jose</cp:lastModifiedBy>
  <cp:revision>2</cp:revision>
  <dcterms:created xsi:type="dcterms:W3CDTF">2023-05-05T13:09:00Z</dcterms:created>
  <dcterms:modified xsi:type="dcterms:W3CDTF">2023-05-05T13:10:00Z</dcterms:modified>
</cp:coreProperties>
</file>