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B1A45D" w14:paraId="5E5787A5" wp14:textId="7E90BE12">
      <w:pPr>
        <w:spacing w:line="360" w:lineRule="auto"/>
        <w:jc w:val="both"/>
        <w:rPr>
          <w:sz w:val="24"/>
          <w:szCs w:val="24"/>
        </w:rPr>
      </w:pPr>
      <w:r w:rsidRPr="3BB1A45D" w:rsidR="3BB1A45D">
        <w:rPr>
          <w:sz w:val="24"/>
          <w:szCs w:val="24"/>
        </w:rPr>
        <w:t xml:space="preserve">Catalytic Leadership: rights, resilience and social change. </w:t>
      </w:r>
    </w:p>
    <w:p w:rsidR="3BB1A45D" w:rsidP="739584DC" w:rsidRDefault="3BB1A45D" w14:paraId="3FF5133B" w14:textId="45B8BE03">
      <w:pPr>
        <w:pStyle w:val="Normal"/>
        <w:spacing w:line="360" w:lineRule="auto"/>
        <w:jc w:val="both"/>
        <w:rPr>
          <w:sz w:val="24"/>
          <w:szCs w:val="24"/>
          <w:u w:val="single"/>
        </w:rPr>
      </w:pPr>
      <w:r w:rsidRPr="0DAC5CF4" w:rsidR="0DAC5CF4">
        <w:rPr>
          <w:sz w:val="24"/>
          <w:szCs w:val="24"/>
          <w:u w:val="single"/>
        </w:rPr>
        <w:t xml:space="preserve">Section one: Critical analysis of catalytic leadership and how the challenging nature of leading and managing early years provision ensures that the early years workforce is equipped to meet the complex demands pf sociological factors and issues that impact on young children’s lives. </w:t>
      </w:r>
    </w:p>
    <w:p w:rsidR="3BB1A45D" w:rsidP="3BB1A45D" w:rsidRDefault="3BB1A45D" w14:paraId="65D51698" w14:textId="0595ABD5">
      <w:pPr>
        <w:pStyle w:val="Normal"/>
        <w:spacing w:line="360" w:lineRule="auto"/>
        <w:jc w:val="both"/>
        <w:rPr>
          <w:rFonts w:ascii="Calibri" w:hAnsi="Calibri" w:eastAsia="Calibri" w:cs="Calibri"/>
          <w:noProof w:val="0"/>
          <w:sz w:val="24"/>
          <w:szCs w:val="24"/>
          <w:lang w:val="en-GB"/>
        </w:rPr>
      </w:pPr>
      <w:proofErr w:type="spellStart"/>
      <w:r w:rsidRPr="3BB1A45D" w:rsidR="3BB1A45D">
        <w:rPr>
          <w:sz w:val="24"/>
          <w:szCs w:val="24"/>
        </w:rPr>
        <w:t>Noramon</w:t>
      </w:r>
      <w:proofErr w:type="spellEnd"/>
      <w:r w:rsidRPr="3BB1A45D" w:rsidR="3BB1A45D">
        <w:rPr>
          <w:sz w:val="24"/>
          <w:szCs w:val="24"/>
        </w:rPr>
        <w:t xml:space="preserve"> (2022) states that leadership by definition is that in both society and business, leadership is crucial. Even your home needs someone to take on the role of managing resources and problem-solving. Nations need governments, businesses require boards of directors, schools need principals. There isn't a certain approach to leadership that works and there are a variety of approaches in that we use in every day even today. What functions in one place could not function in another. Therefore, as people seek the ideal balance, leadership styles are continuously changing, growing, and emerging. A catalytic leader lights the fuse for creativity and encouraging movement where there would otherwise be none. Their objective is to make it possible for their team to work more efficiently and faster. Employees frequently adopt a "it is what it is" mentality. It is challenging to stay up with the numerous innovations taking place in the current environment when using outdated company procedures. As with any effective leader, communication is a key strategy for making sure teams are informed, productive, and that they feel like they belong and are valued for their contributions. Clear communication increases efficiency, which provides numerous benefits for the company and its staff. This leadership approach may be quite effective for developing partnerships and motivating all units to collaborate and support one another. A catalytic leader manages tasks without imposing themselves, highlighting their power, or acting superior. Individuals feel more secure and at comfortable working with these leaders because this leadership style lessens their worry of or contempt for authority. Common leadership styles do not typically exhibit these qualities, which makes the catalytic leader much more approachable. Their management style encourages a forward-thinking and productive team. </w:t>
      </w:r>
      <w:proofErr w:type="spellStart"/>
      <w:r w:rsidRPr="3BB1A45D" w:rsidR="3BB1A45D">
        <w:rPr>
          <w:sz w:val="24"/>
          <w:szCs w:val="24"/>
        </w:rPr>
        <w:t>Rengaswamy</w:t>
      </w:r>
      <w:proofErr w:type="spellEnd"/>
      <w:r w:rsidRPr="3BB1A45D" w:rsidR="3BB1A45D">
        <w:rPr>
          <w:sz w:val="24"/>
          <w:szCs w:val="24"/>
        </w:rPr>
        <w:t xml:space="preserve"> (2020) agrees that </w:t>
      </w:r>
      <w:r w:rsidRPr="3BB1A45D" w:rsidR="3BB1A45D">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a catalytic leader is one who can bring positive change by getting into the problem and solving it. But their traits, characteristics remain the same throughout. Before attempting to find a solution, catalytic leaders analyse the circumstance to determine whether the problem actually exists. They don't try to address a problem they don't fully understand by jumping to conclusions or give wrong answers. True leaders adhere to their commitment no matter what challenges or setbacks they encounter. Their team's and the organization's constant work is what drives them to incredible success. </w:t>
      </w:r>
    </w:p>
    <w:p w:rsidR="3BB1A45D" w:rsidP="739584DC" w:rsidRDefault="3BB1A45D" w14:paraId="54222D60" w14:textId="15B1A50A">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Blatt (2021) understands that there are various social factors that affect children in their lives, children need consistent interactions and care to thrive from the people closest to them. The support and security that adults should and can provide for that child can have a huge benefit on their self-confidence and resiliency for that child to cope with stressful situations effectively. Children need to engage and interact with people they may not see within their small circle, in order to develop emotionally and socially. These contacts usually involve close family members, close friends, neighbours, and individuals from child care facilities, schools, places of worship, sports teams, and other organisations. Children eventually develop the abilities required to deal with more severe stress by learning to handle the little stresses and disputes that are present in these connections. Children pick up skills through observing how the adults in their life respond to their stress and challenges. </w:t>
      </w:r>
      <w:proofErr w:type="spellStart"/>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Mcleodd</w:t>
      </w:r>
      <w:proofErr w:type="spellEnd"/>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(2021) agrees that children learn well when interacting with others and supports this with Vygotsky’s theory, as Vygotsky believes and emphasised the value of interactions and connections between children and their more experienced peers and adults. He argued that when children were "scaffolded" by parents, teachers, or peers, their cognitive understandings were enhanced and broadened. He thought that a child's environment was very essential for their growth, especially their social qualities. He emphasized on the idea that conceptions are developed through internalisation in children, who also internalise feelings, emotions, language and ideas. </w:t>
      </w:r>
    </w:p>
    <w:p w:rsidR="739584DC" w:rsidP="739584DC" w:rsidRDefault="739584DC" w14:paraId="33B3BEA6" w14:textId="24BBC3A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To be a leader, you must demonstrate a high quality of practise, expertise, and care, as well as develop, support, inspire, and motivate staff members. Work in the early years is fulfilling and rewarding because we are passionate about bringing forth positive improvements for young children. There are several individuals in leadership positions in a regular childcare, ranging from room supervisors to childcare managers. Strong leadership ensures that people working and studying must have guidance and support to advance their careers from those in higher positions. (Victoria, 2022) </w:t>
      </w:r>
    </w:p>
    <w:p w:rsidR="739584DC" w:rsidP="739584DC" w:rsidRDefault="739584DC" w14:paraId="7D2233A3" w14:textId="1E5A8867">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739584DC" w:rsidR="739584DC">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The sociological approach focuses on how social interactions affect individuals, groups, and entire society. The three underlying concepts are the foundation of the sociological view. (LLC, 2020) </w:t>
      </w:r>
    </w:p>
    <w:p w:rsidR="739584DC" w:rsidP="0DAC5CF4" w:rsidRDefault="739584DC" w14:paraId="0AC3BA4B" w14:textId="6EB214A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pPr>
      <w:r w:rsidRPr="0DAC5CF4" w:rsidR="0DAC5CF4">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t xml:space="preserve">Section two: Whilst considering historical political contexts, provide a comparative and critical exploration of how children’s rights and the appointment of children’s </w:t>
      </w:r>
      <w:proofErr w:type="spellStart"/>
      <w:r w:rsidRPr="0DAC5CF4" w:rsidR="0DAC5CF4">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t>commisioners</w:t>
      </w:r>
      <w:proofErr w:type="spellEnd"/>
      <w:r w:rsidRPr="0DAC5CF4" w:rsidR="0DAC5CF4">
        <w:rPr>
          <w:rFonts w:ascii="Calibri" w:hAnsi="Calibri" w:eastAsia="Calibri" w:cs="Calibri" w:asciiTheme="minorAscii" w:hAnsiTheme="minorAscii" w:eastAsiaTheme="minorAscii" w:cstheme="minorAscii"/>
          <w:b w:val="0"/>
          <w:bCs w:val="0"/>
          <w:i w:val="0"/>
          <w:iCs w:val="0"/>
          <w:caps w:val="0"/>
          <w:smallCaps w:val="0"/>
          <w:noProof w:val="0"/>
          <w:sz w:val="24"/>
          <w:szCs w:val="24"/>
          <w:u w:val="single"/>
          <w:lang w:val="en-GB"/>
        </w:rPr>
        <w:t xml:space="preserve"> across the UK have impacted on early childhood. </w:t>
      </w:r>
    </w:p>
    <w:p w:rsidR="3BB1A45D" w:rsidP="0DAC5CF4" w:rsidRDefault="3BB1A45D" w14:paraId="5D408A27" w14:textId="0F9AC47B">
      <w:pPr>
        <w:pStyle w:val="Normal"/>
        <w:spacing w:line="360" w:lineRule="auto"/>
        <w:ind w:left="0"/>
        <w:jc w:val="both"/>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r w:rsidRPr="0DAC5CF4" w:rsidR="0DAC5CF4">
        <w:rPr>
          <w:sz w:val="24"/>
          <w:szCs w:val="24"/>
        </w:rPr>
        <w:t>Welsh Government (2022) An international agreement outlining children's rights is the United Nations Convention on the Rights of the Child (UNCRC). According to the UNCRC, children's rights require special consideration since young children and children-at-risk frequently requires specific care and protection. The UNCRC is a set of rights that apply to all various populations. Children and young people, who are under the age of 18, have the right to safe play, education, health, and happiness. The UNCRC became the official foundation for Welsh government policymaking on children and young people in 2004. In the UNCRC there are certain articles that protect and support children’s rights, the articles include;</w:t>
      </w:r>
      <w:r w:rsidRPr="0DAC5CF4" w:rsidR="0DAC5CF4">
        <w:rPr>
          <w:rFonts w:ascii="Calibri" w:hAnsi="Calibri" w:eastAsia="Calibri" w:cs="Calibri" w:asciiTheme="minorAscii" w:hAnsiTheme="minorAscii" w:eastAsiaTheme="minorAscii" w:cstheme="minorAscii"/>
          <w:sz w:val="24"/>
          <w:szCs w:val="24"/>
        </w:rPr>
        <w:t xml:space="preserve"> Ri</w:t>
      </w:r>
      <w:r w:rsidRPr="0DAC5CF4" w:rsidR="0DAC5CF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ght to non-discrimination (article 2) Commitment to the best interests of the child (article 3) Right to life, survival and development (article 6) Right to be heard (article 12). UNICEF (2022) The 54 articles of the Convention outline the civil, political, economic, social, and cultural rights that all children worldwide are entitled to and address every area of a child's existence. It also highlights how governments and adults must cooperate to ensure that all children may exercise their rights. Regardless of their race, gender, religion, language, skills, or any other status, every child has rights. The Convention must be viewed as a whole since all of the rights are interconnected and equal in value. </w:t>
      </w:r>
    </w:p>
    <w:p w:rsidR="3BB1A45D" w:rsidP="0DAC5CF4" w:rsidRDefault="3BB1A45D" w14:paraId="472530E8" w14:textId="1A7B26D9">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0DAC5CF4" w:rsidR="0DAC5CF4">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t xml:space="preserve">In the UK every child has possibilities and Save the Children help children see that. 30% of children live in poverty in the UK, 33% of children fall behind within their studies and education who live in poverty and 23% of children’s language development is not hit at the expected level by age 5. </w:t>
      </w:r>
      <w:r w:rsidRPr="0DAC5CF4" w:rsidR="0DAC5CF4">
        <w:rPr>
          <w:rFonts w:ascii="Calibri" w:hAnsi="Calibri" w:eastAsia="Calibri" w:cs="Calibri"/>
          <w:b w:val="0"/>
          <w:bCs w:val="0"/>
          <w:i w:val="0"/>
          <w:iCs w:val="0"/>
          <w:caps w:val="0"/>
          <w:smallCaps w:val="0"/>
          <w:noProof w:val="0"/>
          <w:color w:val="222221"/>
          <w:sz w:val="24"/>
          <w:szCs w:val="24"/>
          <w:lang w:val="en-GB"/>
        </w:rPr>
        <w:t xml:space="preserve">In </w:t>
      </w:r>
      <w:hyperlink r:id="R50596ecb5f674de8">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England</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w:t>
      </w:r>
      <w:hyperlink r:id="Reb7c193f2fd1462f">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Northern Ireland</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w:t>
      </w:r>
      <w:hyperlink r:id="Rece24321a990481e">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Scotland</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and </w:t>
      </w:r>
      <w:hyperlink r:id="R1e97e85b3ba94011">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Wales</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we work to narrow the gap between children in poverty &amp; better-off classmates. We're </w:t>
      </w:r>
      <w:hyperlink r:id="R6bcb9ff7beb24be8">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uniting families and schools,</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ensuring the </w:t>
      </w:r>
      <w:hyperlink r:id="R8c63bc99ab134f8d">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poorest children</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get help, building </w:t>
      </w:r>
      <w:hyperlink r:id="R3fe7adabcc8f4573">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positive home environments</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and </w:t>
      </w:r>
      <w:hyperlink r:id="R6c2c73c496fe465d">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campaigning for children's futures</w:t>
        </w:r>
      </w:hyperlink>
      <w:r w:rsidRPr="0DAC5CF4" w:rsidR="0DAC5CF4">
        <w:rPr>
          <w:rFonts w:ascii="Calibri" w:hAnsi="Calibri" w:eastAsia="Calibri" w:cs="Calibri"/>
          <w:b w:val="0"/>
          <w:bCs w:val="0"/>
          <w:i w:val="0"/>
          <w:iCs w:val="0"/>
          <w:caps w:val="0"/>
          <w:smallCaps w:val="0"/>
          <w:noProof w:val="0"/>
          <w:color w:val="auto"/>
          <w:sz w:val="24"/>
          <w:szCs w:val="24"/>
          <w:u w:val="none"/>
          <w:lang w:val="en-GB"/>
        </w:rPr>
        <w:t xml:space="preserve">. Our </w:t>
      </w:r>
      <w:hyperlink r:id="R0010517f0b174cb3">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emergency grants</w:t>
        </w:r>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lang w:val="en-GB"/>
          </w:rPr>
          <w:t xml:space="preserve"> </w:t>
        </w:r>
        <w:r w:rsidRPr="0DAC5CF4" w:rsidR="0DAC5CF4">
          <w:rPr>
            <w:rStyle w:val="Hyperlink"/>
            <w:rFonts w:ascii="Calibri" w:hAnsi="Calibri" w:eastAsia="Calibri" w:cs="Calibri"/>
            <w:b w:val="0"/>
            <w:bCs w:val="0"/>
            <w:i w:val="0"/>
            <w:iCs w:val="0"/>
            <w:caps w:val="0"/>
            <w:smallCaps w:val="0"/>
            <w:strike w:val="0"/>
            <w:dstrike w:val="0"/>
            <w:noProof w:val="0"/>
            <w:color w:val="auto"/>
            <w:sz w:val="24"/>
            <w:szCs w:val="24"/>
            <w:u w:val="none"/>
            <w:lang w:val="en-GB"/>
          </w:rPr>
          <w:t>programme</w:t>
        </w:r>
      </w:hyperlink>
      <w:r w:rsidRPr="0DAC5CF4" w:rsidR="0DAC5CF4">
        <w:rPr>
          <w:rFonts w:ascii="Calibri" w:hAnsi="Calibri" w:eastAsia="Calibri" w:cs="Calibri"/>
          <w:b w:val="0"/>
          <w:bCs w:val="0"/>
          <w:i w:val="0"/>
          <w:iCs w:val="0"/>
          <w:caps w:val="0"/>
          <w:smallCaps w:val="0"/>
          <w:noProof w:val="0"/>
          <w:color w:val="auto"/>
          <w:sz w:val="24"/>
          <w:szCs w:val="24"/>
          <w:lang w:val="en-GB"/>
        </w:rPr>
        <w:t xml:space="preserve"> </w:t>
      </w:r>
      <w:r w:rsidRPr="0DAC5CF4" w:rsidR="0DAC5CF4">
        <w:rPr>
          <w:rFonts w:ascii="Calibri" w:hAnsi="Calibri" w:eastAsia="Calibri" w:cs="Calibri"/>
          <w:b w:val="0"/>
          <w:bCs w:val="0"/>
          <w:i w:val="0"/>
          <w:iCs w:val="0"/>
          <w:caps w:val="0"/>
          <w:smallCaps w:val="0"/>
          <w:noProof w:val="0"/>
          <w:color w:val="222221"/>
          <w:sz w:val="24"/>
          <w:szCs w:val="24"/>
          <w:lang w:val="en-GB"/>
        </w:rPr>
        <w:t xml:space="preserve">has reached thousands of homes, delivering early learning packs, supermarket vouchers and household essentials to the most vulnerable families. We've campaigned for social security support, called for governmental help for families through a difficult winter and worked with Marcus Rashford's team to help hungry children in lockdown. (Save the Children, 2022) </w:t>
      </w:r>
    </w:p>
    <w:p w:rsidR="3BB1A45D" w:rsidP="0DAC5CF4" w:rsidRDefault="3BB1A45D" w14:paraId="3EDE28C4" w14:textId="1807C875">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0DAC5CF4" w:rsidR="0DAC5CF4">
        <w:rPr>
          <w:rFonts w:ascii="Calibri" w:hAnsi="Calibri" w:eastAsia="Calibri" w:cs="Calibri"/>
          <w:b w:val="0"/>
          <w:bCs w:val="0"/>
          <w:i w:val="0"/>
          <w:iCs w:val="0"/>
          <w:caps w:val="0"/>
          <w:smallCaps w:val="0"/>
          <w:noProof w:val="0"/>
          <w:color w:val="222221"/>
          <w:sz w:val="24"/>
          <w:szCs w:val="24"/>
          <w:lang w:val="en-GB"/>
        </w:rPr>
        <w:t xml:space="preserve">Morgan (2021) understands and talks about the children’s rights scheme (2021) and states that children's rights are fundamentally guaranteed in Wales and are not considered an additional. By preserving children's rights in law through The Rights of the Children and Young Persons (Wales) Measure 2011, we have taken the lead in this area. We were the first country in the UK to adopt such important legal measures to guarantee the importance of children's rights. The UNCRC is an international convention that outlines children's civil, political, economic, social, and cultural rights. On November 20, 1989, the United Nations' member states accepted the UNCRC's text. The UNCRC was approved by the Government of the United Kingdom of Great Britain and Northern Ireland on December 16, 1991, and it became effective for the United Kingdom on January 15, 1992. Additionally, the UK has adopted two UNCRC optional protocols. </w:t>
      </w:r>
    </w:p>
    <w:p w:rsidR="3BB1A45D" w:rsidP="0DAC5CF4" w:rsidRDefault="3BB1A45D" w14:paraId="589AB3D0" w14:textId="0754A7AB">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r w:rsidRPr="0DAC5CF4" w:rsidR="0DAC5CF4">
        <w:rPr>
          <w:rFonts w:ascii="Calibri" w:hAnsi="Calibri" w:eastAsia="Calibri" w:cs="Calibri"/>
          <w:b w:val="0"/>
          <w:bCs w:val="0"/>
          <w:i w:val="0"/>
          <w:iCs w:val="0"/>
          <w:caps w:val="0"/>
          <w:smallCaps w:val="0"/>
          <w:noProof w:val="0"/>
          <w:color w:val="222221"/>
          <w:sz w:val="24"/>
          <w:szCs w:val="24"/>
          <w:lang w:val="en-GB"/>
        </w:rPr>
        <w:t xml:space="preserve">All physical punishment of children in Wales will be illegal as of March 21, 2022. This is "an historic moment for children and their rights in Wales," according to the Welsh Government. According to Article 19 of the UNCRC, governments are required to take all reasonable measures to safeguard children from all sorts of violence, abuse, neglect, and harsh treatment by their parents or anyone else who is responsible for taking care of them. In light of this, the UN has repeatedly urged the UK to outlaw all physical punishment in the family as soon as possible. (Welsh Parliament, 2022) </w:t>
      </w:r>
    </w:p>
    <w:p w:rsidR="3BB1A45D" w:rsidP="0DAC5CF4" w:rsidRDefault="3BB1A45D" w14:paraId="53AAB6E7" w14:textId="20D94D9F">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proofErr w:type="spellStart"/>
      <w:r w:rsidRPr="0DAC5CF4" w:rsidR="0DAC5CF4">
        <w:rPr>
          <w:rFonts w:ascii="Calibri" w:hAnsi="Calibri" w:eastAsia="Calibri" w:cs="Calibri"/>
          <w:b w:val="0"/>
          <w:bCs w:val="0"/>
          <w:i w:val="0"/>
          <w:iCs w:val="0"/>
          <w:caps w:val="0"/>
          <w:smallCaps w:val="0"/>
          <w:noProof w:val="0"/>
          <w:color w:val="222221"/>
          <w:sz w:val="24"/>
          <w:szCs w:val="24"/>
          <w:lang w:val="en-GB"/>
        </w:rPr>
        <w:t>Humanium</w:t>
      </w:r>
      <w:proofErr w:type="spellEnd"/>
      <w:r w:rsidRPr="0DAC5CF4" w:rsidR="0DAC5CF4">
        <w:rPr>
          <w:rFonts w:ascii="Calibri" w:hAnsi="Calibri" w:eastAsia="Calibri" w:cs="Calibri"/>
          <w:b w:val="0"/>
          <w:bCs w:val="0"/>
          <w:i w:val="0"/>
          <w:iCs w:val="0"/>
          <w:caps w:val="0"/>
          <w:smallCaps w:val="0"/>
          <w:noProof w:val="0"/>
          <w:color w:val="222221"/>
          <w:sz w:val="24"/>
          <w:szCs w:val="24"/>
          <w:lang w:val="en-GB"/>
        </w:rPr>
        <w:t xml:space="preserve"> (No Date) suggests that a child may not have the same rights or opportunities as children in Western nations, depending on where they live. There are significant discrepancies in many Third World countries and nations, and each child may be impacted differently by the many factors, whether they be political, economic, social, cultural, ethnic, or religious. The condition that the children of our world are in is still desperate, despite the recent improvements. Most of the world's nations violate minors' most basic rights, and even in the most economically advanced nations, not all children have the same rights as the UK or western countries. Due to the severe barriers that poverty places in the way of meeting children's most basic needs, including access to food, water, healthcare, and education, it continues to be the dominant factor in child rights violations. Children often have the opportunity to exercise these rights in the nations that experience the least poverty, yet many of them continue to be the targets of violence, abuse, or prejudice. England, Scotland, Wales, and Northern Ireland, which make up the United Kingdom, appropriately protect children's rights. However, there are several areas where this country should improve, such as child abuse and child trafficking. Approximately one child in ten in the UK suffers abuse. Physical, psychological, and sexual abuse are all types of abuse. For example, compared to fewer than 5% of boys, 5 to 10% of girls are thought to be sexually abused. The most pervasive type of abuse is emotional violence, which is defined as carelessness or a failure to safeguard the child. To identify the causes of the issue and potential remedies, health professionals and social workers must step up their study efforts. Children's rights should provide children the capacity to express their rights, interact with the individuals and organizations that make decisions that impact their life, and hold them responsible. The Welsh Government understands the value of speaking with and listening to children and young people, as well as the importance of genuinely considering their opinions. In line with their age and maturity, children's opinions should be given fair consideration, as stated in Article 12 of the UNCRC, which also recognises their right to express themselves freely in regard to topics that concern them. (Welsh Government, 2022) </w:t>
      </w:r>
    </w:p>
    <w:p w:rsidR="3BB1A45D" w:rsidP="0DAC5CF4" w:rsidRDefault="3BB1A45D" w14:paraId="381B0384" w14:textId="5D768A0C">
      <w:pPr>
        <w:pStyle w:val="Normal"/>
        <w:spacing w:line="360" w:lineRule="auto"/>
        <w:jc w:val="both"/>
        <w:rPr>
          <w:rFonts w:ascii="Calibri" w:hAnsi="Calibri" w:eastAsia="Calibri" w:cs="Calibri"/>
          <w:b w:val="0"/>
          <w:bCs w:val="0"/>
          <w:i w:val="0"/>
          <w:iCs w:val="0"/>
          <w:caps w:val="0"/>
          <w:smallCaps w:val="0"/>
          <w:noProof w:val="0"/>
          <w:color w:val="222221"/>
          <w:sz w:val="24"/>
          <w:szCs w:val="24"/>
          <w:lang w:val="en-GB"/>
        </w:rPr>
      </w:pPr>
    </w:p>
    <w:p w:rsidR="3BB1A45D" w:rsidP="0DAC5CF4" w:rsidRDefault="3BB1A45D" w14:paraId="13568232" w14:textId="51FB2BA0">
      <w:pPr>
        <w:pStyle w:val="Normal"/>
        <w:spacing w:line="360" w:lineRule="auto"/>
        <w:ind w:left="0"/>
        <w:jc w:val="both"/>
        <w:rPr>
          <w:rFonts w:ascii="Calibri" w:hAnsi="Calibri" w:eastAsia="Calibri" w:cs="Calibri" w:asciiTheme="minorAscii" w:hAnsiTheme="minorAscii" w:eastAsiaTheme="minorAscii" w:cstheme="minorAscii"/>
          <w:b w:val="0"/>
          <w:bCs w:val="0"/>
          <w:i w:val="0"/>
          <w:iCs w:val="0"/>
          <w:caps w:val="0"/>
          <w:smallCaps w:val="0"/>
          <w:noProof w:val="0"/>
          <w:color w:val="1F1F1F"/>
          <w:sz w:val="24"/>
          <w:szCs w:val="24"/>
          <w:lang w:val="en-GB"/>
        </w:rPr>
      </w:pPr>
    </w:p>
    <w:p w:rsidR="3BB1A45D" w:rsidP="3BB1A45D" w:rsidRDefault="3BB1A45D" w14:paraId="29E3A107" w14:textId="353E3B0A">
      <w:pPr>
        <w:pStyle w:val="Normal"/>
        <w:spacing w:line="360" w:lineRule="auto"/>
        <w:jc w:val="both"/>
        <w:rPr>
          <w:sz w:val="24"/>
          <w:szCs w:val="24"/>
        </w:rPr>
      </w:pPr>
    </w:p>
    <w:p w:rsidR="3BB1A45D" w:rsidP="0DAC5CF4" w:rsidRDefault="3BB1A45D" w14:paraId="17783C94" w14:textId="7E1EF2D4">
      <w:pPr>
        <w:pStyle w:val="Normal"/>
        <w:spacing w:line="360" w:lineRule="auto"/>
        <w:jc w:val="both"/>
        <w:rPr>
          <w:sz w:val="24"/>
          <w:szCs w:val="24"/>
          <w:u w:val="single"/>
        </w:rPr>
      </w:pPr>
      <w:r w:rsidRPr="0DAC5CF4" w:rsidR="0DAC5CF4">
        <w:rPr>
          <w:sz w:val="24"/>
          <w:szCs w:val="24"/>
          <w:u w:val="single"/>
        </w:rPr>
        <w:t>Section three: Choose one sociological aspect that challenges children’s life experiences and provide a critical evaluation of the early interventions and services that are in place to support your chosen aspect.</w:t>
      </w:r>
      <w:r w:rsidRPr="0DAC5CF4" w:rsidR="0DAC5CF4">
        <w:rPr>
          <w:sz w:val="24"/>
          <w:szCs w:val="24"/>
        </w:rPr>
        <w:t xml:space="preserve"> </w:t>
      </w:r>
    </w:p>
    <w:p w:rsidR="3BB1A45D" w:rsidP="3BB1A45D" w:rsidRDefault="3BB1A45D" w14:paraId="25EE983D" w14:textId="205430C8">
      <w:pPr>
        <w:pStyle w:val="Normal"/>
        <w:spacing w:line="360" w:lineRule="auto"/>
        <w:jc w:val="both"/>
        <w:rPr>
          <w:sz w:val="24"/>
          <w:szCs w:val="24"/>
        </w:rPr>
      </w:pPr>
      <w:r w:rsidRPr="0DAC5CF4" w:rsidR="0DAC5CF4">
        <w:rPr>
          <w:sz w:val="24"/>
          <w:szCs w:val="24"/>
        </w:rPr>
        <w:t>One sociological aspect that affects children’s lives is children living in poverty. No child needs to grow up in poverty if governments take the appropriate steps to address the causes of this situation. Assuring fairly paying jobs, quality, easily available childcare, and a strong social security system to keep people's financial situations afloat and offer assistance when required is needed. It is important to understand that being poor families are unable to live up to a specific standard that is expected. Some people can provide clothes, three meals a day and allow their children to get an education but they can still be poor. However, due to families not having enough money to be able to live within a home with heating, access to internet or a computer, or children missing educational trips in school due to families not being able to afford it. Family income has a number of effects on children's life and development, according to research. Living on a low income makes parents more stressed, which has an impact on their interpersonal connections and family dynamics. Increases in family income can improve a child's academic performance as well as their emotional and physical health. Parents are concerned about how poverty may affect their children, especially the possibility of bullying. Since a common feeling of exclusion and embarrassment, poverty is frequently mentioned by children as it also causes them to worry about their parents. Poverty has a negative impact on a child's life in all aspects, including at home, school, with friends, and other areas as well. They lack what their buddies possess, which is the most obvious factor. Children's capacity to enjoy childhood and fulfil their dreams is impacted by child poverty.</w:t>
      </w:r>
    </w:p>
    <w:p w:rsidR="3BB1A45D" w:rsidP="3BB1A45D" w:rsidRDefault="3BB1A45D" w14:paraId="3D87614C" w14:textId="67502EEE">
      <w:pPr>
        <w:pStyle w:val="Normal"/>
        <w:spacing w:line="360" w:lineRule="auto"/>
        <w:jc w:val="both"/>
        <w:rPr>
          <w:sz w:val="24"/>
          <w:szCs w:val="24"/>
        </w:rPr>
      </w:pPr>
    </w:p>
    <w:p w:rsidR="3BB1A45D" w:rsidP="3BB1A45D" w:rsidRDefault="3BB1A45D" w14:paraId="68230A16" w14:textId="49D02455">
      <w:pPr>
        <w:pStyle w:val="Normal"/>
        <w:spacing w:line="360" w:lineRule="auto"/>
        <w:jc w:val="both"/>
        <w:rPr>
          <w:sz w:val="24"/>
          <w:szCs w:val="24"/>
        </w:rPr>
      </w:pPr>
    </w:p>
    <w:p w:rsidR="3BB1A45D" w:rsidP="0DAC5CF4" w:rsidRDefault="3BB1A45D" w14:paraId="3ECDDE3A" w14:textId="4C19A620">
      <w:pPr>
        <w:pStyle w:val="Normal"/>
        <w:spacing w:line="360" w:lineRule="auto"/>
        <w:jc w:val="both"/>
        <w:rPr>
          <w:sz w:val="24"/>
          <w:szCs w:val="24"/>
          <w:u w:val="single"/>
        </w:rPr>
      </w:pPr>
      <w:r w:rsidRPr="0DAC5CF4" w:rsidR="0DAC5CF4">
        <w:rPr>
          <w:sz w:val="24"/>
          <w:szCs w:val="24"/>
          <w:u w:val="single"/>
        </w:rPr>
        <w:t>Reference List</w:t>
      </w:r>
      <w:r w:rsidRPr="0DAC5CF4" w:rsidR="0DAC5CF4">
        <w:rPr>
          <w:sz w:val="24"/>
          <w:szCs w:val="24"/>
        </w:rPr>
        <w:t xml:space="preserve"> </w:t>
      </w:r>
    </w:p>
    <w:p w:rsidR="0DAC5CF4" w:rsidP="0DAC5CF4" w:rsidRDefault="0DAC5CF4" w14:paraId="56E95A99" w14:textId="65A71480">
      <w:pPr>
        <w:pStyle w:val="Normal"/>
        <w:spacing w:line="360" w:lineRule="auto"/>
        <w:jc w:val="both"/>
        <w:rPr>
          <w:rFonts w:ascii="Calibri" w:hAnsi="Calibri" w:eastAsia="Calibri" w:cs="Calibri"/>
          <w:noProof w:val="0"/>
          <w:sz w:val="24"/>
          <w:szCs w:val="24"/>
          <w:lang w:val="en-GB"/>
        </w:rPr>
      </w:pPr>
      <w:proofErr w:type="spellStart"/>
      <w:r w:rsidRPr="0DAC5CF4" w:rsidR="0DAC5CF4">
        <w:rPr>
          <w:sz w:val="24"/>
          <w:szCs w:val="24"/>
        </w:rPr>
        <w:t>Humanium</w:t>
      </w:r>
      <w:proofErr w:type="spellEnd"/>
      <w:r w:rsidRPr="0DAC5CF4" w:rsidR="0DAC5CF4">
        <w:rPr>
          <w:sz w:val="24"/>
          <w:szCs w:val="24"/>
        </w:rPr>
        <w:t xml:space="preserve">. (No Date) </w:t>
      </w:r>
      <w:r w:rsidRPr="0DAC5CF4" w:rsidR="0DAC5CF4">
        <w:rPr>
          <w:i w:val="1"/>
          <w:iCs w:val="1"/>
          <w:sz w:val="24"/>
          <w:szCs w:val="24"/>
        </w:rPr>
        <w:t xml:space="preserve">The global children’s right situation, by country. </w:t>
      </w:r>
      <w:r w:rsidRPr="0DAC5CF4" w:rsidR="0DAC5CF4">
        <w:rPr>
          <w:i w:val="0"/>
          <w:iCs w:val="0"/>
          <w:sz w:val="24"/>
          <w:szCs w:val="24"/>
        </w:rPr>
        <w:t xml:space="preserve">Available at: </w:t>
      </w:r>
      <w:hyperlink r:id="Rc1c19202a9cd4101">
        <w:r w:rsidRPr="0DAC5CF4" w:rsidR="0DAC5CF4">
          <w:rPr>
            <w:rStyle w:val="Hyperlink"/>
            <w:rFonts w:ascii="Calibri" w:hAnsi="Calibri" w:eastAsia="Calibri" w:cs="Calibri"/>
            <w:noProof w:val="0"/>
            <w:sz w:val="24"/>
            <w:szCs w:val="24"/>
            <w:lang w:val="en-GB"/>
          </w:rPr>
          <w:t>Children in the World - Humanium</w:t>
        </w:r>
      </w:hyperlink>
      <w:r w:rsidRPr="0DAC5CF4" w:rsidR="0DAC5CF4">
        <w:rPr>
          <w:rFonts w:ascii="Calibri" w:hAnsi="Calibri" w:eastAsia="Calibri" w:cs="Calibri"/>
          <w:noProof w:val="0"/>
          <w:sz w:val="24"/>
          <w:szCs w:val="24"/>
          <w:lang w:val="en-GB"/>
        </w:rPr>
        <w:t xml:space="preserve"> (Accessed: 6</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739584DC" w:rsidP="739584DC" w:rsidRDefault="739584DC" w14:paraId="5BE4E7F3" w14:textId="268DEB6C">
      <w:pPr>
        <w:pStyle w:val="Normal"/>
        <w:spacing w:line="360" w:lineRule="auto"/>
        <w:jc w:val="both"/>
        <w:rPr>
          <w:rFonts w:ascii="Calibri" w:hAnsi="Calibri" w:eastAsia="Calibri" w:cs="Calibri"/>
          <w:noProof w:val="0"/>
          <w:sz w:val="24"/>
          <w:szCs w:val="24"/>
          <w:lang w:val="en-GB"/>
        </w:rPr>
      </w:pPr>
      <w:r w:rsidRPr="0DAC5CF4" w:rsidR="0DAC5CF4">
        <w:rPr>
          <w:sz w:val="24"/>
          <w:szCs w:val="24"/>
        </w:rPr>
        <w:t xml:space="preserve">J, Victoria. (2022) </w:t>
      </w:r>
      <w:r w:rsidRPr="0DAC5CF4" w:rsidR="0DAC5CF4">
        <w:rPr>
          <w:i w:val="1"/>
          <w:iCs w:val="1"/>
          <w:sz w:val="24"/>
          <w:szCs w:val="24"/>
        </w:rPr>
        <w:t xml:space="preserve">Importance of Leadership in Early Years management. </w:t>
      </w:r>
      <w:r w:rsidRPr="0DAC5CF4" w:rsidR="0DAC5CF4">
        <w:rPr>
          <w:i w:val="0"/>
          <w:iCs w:val="0"/>
          <w:sz w:val="24"/>
          <w:szCs w:val="24"/>
        </w:rPr>
        <w:t xml:space="preserve">Available at: </w:t>
      </w:r>
      <w:hyperlink r:id="R45b27d6e62b4418c">
        <w:r w:rsidRPr="0DAC5CF4" w:rsidR="0DAC5CF4">
          <w:rPr>
            <w:rStyle w:val="Hyperlink"/>
            <w:rFonts w:ascii="Calibri" w:hAnsi="Calibri" w:eastAsia="Calibri" w:cs="Calibri"/>
            <w:noProof w:val="0"/>
            <w:sz w:val="24"/>
            <w:szCs w:val="24"/>
            <w:lang w:val="en-GB"/>
          </w:rPr>
          <w:t>Importance of Leadership in Early Years Management (blossomeducational.com)</w:t>
        </w:r>
      </w:hyperlink>
      <w:r w:rsidRPr="0DAC5CF4" w:rsidR="0DAC5CF4">
        <w:rPr>
          <w:rFonts w:ascii="Calibri" w:hAnsi="Calibri" w:eastAsia="Calibri" w:cs="Calibri"/>
          <w:noProof w:val="0"/>
          <w:sz w:val="24"/>
          <w:szCs w:val="24"/>
          <w:lang w:val="en-GB"/>
        </w:rPr>
        <w:t xml:space="preserve"> (Accessed: 5</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0DAC5CF4" w:rsidP="0DAC5CF4" w:rsidRDefault="0DAC5CF4" w14:paraId="6D1693E3" w14:textId="125550D2">
      <w:pPr>
        <w:pStyle w:val="Normal"/>
        <w:spacing w:line="360" w:lineRule="auto"/>
        <w:jc w:val="both"/>
        <w:rPr>
          <w:rFonts w:ascii="Calibri" w:hAnsi="Calibri" w:eastAsia="Calibri" w:cs="Calibri"/>
          <w:noProof w:val="0"/>
          <w:sz w:val="24"/>
          <w:szCs w:val="24"/>
          <w:lang w:val="en-GB"/>
        </w:rPr>
      </w:pPr>
      <w:r w:rsidRPr="0DAC5CF4" w:rsidR="0DAC5CF4">
        <w:rPr>
          <w:rFonts w:ascii="Calibri" w:hAnsi="Calibri" w:eastAsia="Calibri" w:cs="Calibri"/>
          <w:noProof w:val="0"/>
          <w:sz w:val="24"/>
          <w:szCs w:val="24"/>
          <w:lang w:val="en-GB"/>
        </w:rPr>
        <w:t xml:space="preserve">J, Morgan. (2021) </w:t>
      </w:r>
      <w:r w:rsidRPr="0DAC5CF4" w:rsidR="0DAC5CF4">
        <w:rPr>
          <w:rFonts w:ascii="Calibri" w:hAnsi="Calibri" w:eastAsia="Calibri" w:cs="Calibri"/>
          <w:i w:val="1"/>
          <w:iCs w:val="1"/>
          <w:noProof w:val="0"/>
          <w:sz w:val="24"/>
          <w:szCs w:val="24"/>
          <w:lang w:val="en-GB"/>
        </w:rPr>
        <w:t xml:space="preserve">Children’s Rights Scheme (2021). </w:t>
      </w:r>
      <w:r w:rsidRPr="0DAC5CF4" w:rsidR="0DAC5CF4">
        <w:rPr>
          <w:rFonts w:ascii="Calibri" w:hAnsi="Calibri" w:eastAsia="Calibri" w:cs="Calibri"/>
          <w:i w:val="0"/>
          <w:iCs w:val="0"/>
          <w:noProof w:val="0"/>
          <w:sz w:val="24"/>
          <w:szCs w:val="24"/>
          <w:lang w:val="en-GB"/>
        </w:rPr>
        <w:t xml:space="preserve">Available at: </w:t>
      </w:r>
      <w:hyperlink r:id="R3f062bf846934b46">
        <w:r w:rsidRPr="0DAC5CF4" w:rsidR="0DAC5CF4">
          <w:rPr>
            <w:rStyle w:val="Hyperlink"/>
            <w:rFonts w:ascii="Calibri" w:hAnsi="Calibri" w:eastAsia="Calibri" w:cs="Calibri"/>
            <w:noProof w:val="0"/>
            <w:sz w:val="24"/>
            <w:szCs w:val="24"/>
            <w:lang w:val="en-GB"/>
          </w:rPr>
          <w:t>WG44156 (gov.wales)</w:t>
        </w:r>
      </w:hyperlink>
      <w:r w:rsidRPr="0DAC5CF4" w:rsidR="0DAC5CF4">
        <w:rPr>
          <w:rFonts w:ascii="Calibri" w:hAnsi="Calibri" w:eastAsia="Calibri" w:cs="Calibri"/>
          <w:noProof w:val="0"/>
          <w:sz w:val="24"/>
          <w:szCs w:val="24"/>
          <w:lang w:val="en-GB"/>
        </w:rPr>
        <w:t xml:space="preserve"> (Accessed: 6</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0DAC5CF4" w:rsidP="0DAC5CF4" w:rsidRDefault="0DAC5CF4" w14:paraId="05E70FD7" w14:textId="4203D008">
      <w:pPr>
        <w:pStyle w:val="Normal"/>
        <w:spacing w:line="360" w:lineRule="auto"/>
        <w:jc w:val="both"/>
        <w:rPr>
          <w:rFonts w:ascii="Calibri" w:hAnsi="Calibri" w:eastAsia="Calibri" w:cs="Calibri"/>
          <w:noProof w:val="0"/>
          <w:sz w:val="24"/>
          <w:szCs w:val="24"/>
          <w:lang w:val="en-GB"/>
        </w:rPr>
      </w:pPr>
      <w:r w:rsidRPr="0DAC5CF4" w:rsidR="0DAC5CF4">
        <w:rPr>
          <w:rFonts w:ascii="Calibri" w:hAnsi="Calibri" w:eastAsia="Calibri" w:cs="Calibri"/>
          <w:noProof w:val="0"/>
          <w:sz w:val="24"/>
          <w:szCs w:val="24"/>
          <w:lang w:val="en-GB"/>
        </w:rPr>
        <w:t xml:space="preserve">LLC. (2020) </w:t>
      </w:r>
      <w:r w:rsidRPr="0DAC5CF4" w:rsidR="0DAC5CF4">
        <w:rPr>
          <w:rFonts w:ascii="Calibri" w:hAnsi="Calibri" w:eastAsia="Calibri" w:cs="Calibri"/>
          <w:i w:val="1"/>
          <w:iCs w:val="1"/>
          <w:noProof w:val="0"/>
          <w:sz w:val="24"/>
          <w:szCs w:val="24"/>
          <w:lang w:val="en-GB"/>
        </w:rPr>
        <w:t xml:space="preserve">What is the Sociological Perspective? </w:t>
      </w:r>
      <w:r w:rsidRPr="0DAC5CF4" w:rsidR="0DAC5CF4">
        <w:rPr>
          <w:rFonts w:ascii="Calibri" w:hAnsi="Calibri" w:eastAsia="Calibri" w:cs="Calibri"/>
          <w:i w:val="0"/>
          <w:iCs w:val="0"/>
          <w:noProof w:val="0"/>
          <w:sz w:val="24"/>
          <w:szCs w:val="24"/>
          <w:lang w:val="en-GB"/>
        </w:rPr>
        <w:t xml:space="preserve">Available at: </w:t>
      </w:r>
      <w:hyperlink r:id="R91681994cafa4803">
        <w:r w:rsidRPr="0DAC5CF4" w:rsidR="0DAC5CF4">
          <w:rPr>
            <w:rStyle w:val="Hyperlink"/>
            <w:rFonts w:ascii="Calibri" w:hAnsi="Calibri" w:eastAsia="Calibri" w:cs="Calibri"/>
            <w:noProof w:val="0"/>
            <w:sz w:val="24"/>
            <w:szCs w:val="24"/>
            <w:lang w:val="en-GB"/>
          </w:rPr>
          <w:t>What Is the Sociological Perspective? (reference.com)</w:t>
        </w:r>
      </w:hyperlink>
      <w:r w:rsidRPr="0DAC5CF4" w:rsidR="0DAC5CF4">
        <w:rPr>
          <w:rFonts w:ascii="Calibri" w:hAnsi="Calibri" w:eastAsia="Calibri" w:cs="Calibri"/>
          <w:noProof w:val="0"/>
          <w:sz w:val="24"/>
          <w:szCs w:val="24"/>
          <w:lang w:val="en-GB"/>
        </w:rPr>
        <w:t xml:space="preserve"> (Accessed: 5</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3BB1A45D" w:rsidP="3BB1A45D" w:rsidRDefault="3BB1A45D" w14:paraId="34E98EC2" w14:textId="290FEF02">
      <w:pPr>
        <w:pStyle w:val="Normal"/>
        <w:spacing w:line="360" w:lineRule="auto"/>
        <w:jc w:val="both"/>
        <w:rPr>
          <w:rFonts w:ascii="Calibri" w:hAnsi="Calibri" w:eastAsia="Calibri" w:cs="Calibri"/>
          <w:noProof w:val="0"/>
          <w:sz w:val="24"/>
          <w:szCs w:val="24"/>
          <w:lang w:val="en-GB"/>
        </w:rPr>
      </w:pPr>
      <w:r w:rsidRPr="739584DC" w:rsidR="739584DC">
        <w:rPr>
          <w:sz w:val="24"/>
          <w:szCs w:val="24"/>
        </w:rPr>
        <w:t xml:space="preserve">P. </w:t>
      </w:r>
      <w:proofErr w:type="spellStart"/>
      <w:r w:rsidRPr="739584DC" w:rsidR="739584DC">
        <w:rPr>
          <w:sz w:val="24"/>
          <w:szCs w:val="24"/>
        </w:rPr>
        <w:t>Rengaswamy</w:t>
      </w:r>
      <w:proofErr w:type="spellEnd"/>
      <w:r w:rsidRPr="739584DC" w:rsidR="739584DC">
        <w:rPr>
          <w:sz w:val="24"/>
          <w:szCs w:val="24"/>
        </w:rPr>
        <w:t xml:space="preserve">. (2020) </w:t>
      </w:r>
      <w:r w:rsidRPr="739584DC" w:rsidR="739584DC">
        <w:rPr>
          <w:i w:val="1"/>
          <w:iCs w:val="1"/>
          <w:sz w:val="24"/>
          <w:szCs w:val="24"/>
        </w:rPr>
        <w:t xml:space="preserve">Catalytic Leadership- What is it? </w:t>
      </w:r>
      <w:r w:rsidRPr="739584DC" w:rsidR="739584DC">
        <w:rPr>
          <w:i w:val="0"/>
          <w:iCs w:val="0"/>
          <w:sz w:val="24"/>
          <w:szCs w:val="24"/>
        </w:rPr>
        <w:t xml:space="preserve">Available at: </w:t>
      </w:r>
      <w:hyperlink r:id="R6a0904c021c149da">
        <w:r w:rsidRPr="739584DC" w:rsidR="739584DC">
          <w:rPr>
            <w:rStyle w:val="Hyperlink"/>
            <w:rFonts w:ascii="Calibri" w:hAnsi="Calibri" w:eastAsia="Calibri" w:cs="Calibri"/>
            <w:noProof w:val="0"/>
            <w:sz w:val="24"/>
            <w:szCs w:val="24"/>
            <w:lang w:val="en-GB"/>
          </w:rPr>
          <w:t>Catalytic Leadership - Commitment (linkedin.com)</w:t>
        </w:r>
      </w:hyperlink>
      <w:r w:rsidRPr="739584DC" w:rsidR="739584DC">
        <w:rPr>
          <w:rFonts w:ascii="Calibri" w:hAnsi="Calibri" w:eastAsia="Calibri" w:cs="Calibri"/>
          <w:noProof w:val="0"/>
          <w:sz w:val="24"/>
          <w:szCs w:val="24"/>
          <w:lang w:val="en-GB"/>
        </w:rPr>
        <w:t xml:space="preserve"> (Accessed: 4</w:t>
      </w:r>
      <w:r w:rsidRPr="739584DC" w:rsidR="739584DC">
        <w:rPr>
          <w:rFonts w:ascii="Calibri" w:hAnsi="Calibri" w:eastAsia="Calibri" w:cs="Calibri"/>
          <w:noProof w:val="0"/>
          <w:sz w:val="24"/>
          <w:szCs w:val="24"/>
          <w:vertAlign w:val="superscript"/>
          <w:lang w:val="en-GB"/>
        </w:rPr>
        <w:t>th</w:t>
      </w:r>
      <w:r w:rsidRPr="739584DC" w:rsidR="739584DC">
        <w:rPr>
          <w:rFonts w:ascii="Calibri" w:hAnsi="Calibri" w:eastAsia="Calibri" w:cs="Calibri"/>
          <w:noProof w:val="0"/>
          <w:sz w:val="24"/>
          <w:szCs w:val="24"/>
          <w:lang w:val="en-GB"/>
        </w:rPr>
        <w:t xml:space="preserve"> August 2022) </w:t>
      </w:r>
    </w:p>
    <w:p w:rsidR="739584DC" w:rsidP="739584DC" w:rsidRDefault="739584DC" w14:paraId="2AF6E8FF" w14:textId="4BE3CB3C">
      <w:pPr>
        <w:pStyle w:val="Normal"/>
        <w:spacing w:line="360" w:lineRule="auto"/>
        <w:jc w:val="both"/>
        <w:rPr>
          <w:rFonts w:ascii="Calibri" w:hAnsi="Calibri" w:eastAsia="Calibri" w:cs="Calibri"/>
          <w:noProof w:val="0"/>
          <w:sz w:val="24"/>
          <w:szCs w:val="24"/>
          <w:lang w:val="en-GB"/>
        </w:rPr>
      </w:pPr>
      <w:r w:rsidRPr="739584DC" w:rsidR="739584DC">
        <w:rPr>
          <w:rFonts w:ascii="Calibri" w:hAnsi="Calibri" w:eastAsia="Calibri" w:cs="Calibri"/>
          <w:noProof w:val="0"/>
          <w:sz w:val="24"/>
          <w:szCs w:val="24"/>
          <w:lang w:val="en-GB"/>
        </w:rPr>
        <w:t xml:space="preserve">S, D. Blatt. (2021) </w:t>
      </w:r>
      <w:r w:rsidRPr="739584DC" w:rsidR="739584DC">
        <w:rPr>
          <w:rFonts w:ascii="Calibri" w:hAnsi="Calibri" w:eastAsia="Calibri" w:cs="Calibri"/>
          <w:i w:val="1"/>
          <w:iCs w:val="1"/>
          <w:noProof w:val="0"/>
          <w:sz w:val="24"/>
          <w:szCs w:val="24"/>
          <w:lang w:val="en-GB"/>
        </w:rPr>
        <w:t xml:space="preserve">Overview of social Issues Affecting Children. </w:t>
      </w:r>
      <w:r w:rsidRPr="739584DC" w:rsidR="739584DC">
        <w:rPr>
          <w:rFonts w:ascii="Calibri" w:hAnsi="Calibri" w:eastAsia="Calibri" w:cs="Calibri"/>
          <w:i w:val="0"/>
          <w:iCs w:val="0"/>
          <w:noProof w:val="0"/>
          <w:sz w:val="24"/>
          <w:szCs w:val="24"/>
          <w:lang w:val="en-GB"/>
        </w:rPr>
        <w:t xml:space="preserve">Available at: </w:t>
      </w:r>
      <w:hyperlink r:id="R6793c36d880c4455">
        <w:r w:rsidRPr="739584DC" w:rsidR="739584DC">
          <w:rPr>
            <w:rStyle w:val="Hyperlink"/>
            <w:rFonts w:ascii="Calibri" w:hAnsi="Calibri" w:eastAsia="Calibri" w:cs="Calibri"/>
            <w:noProof w:val="0"/>
            <w:sz w:val="24"/>
            <w:szCs w:val="24"/>
            <w:lang w:val="en-GB"/>
          </w:rPr>
          <w:t>Overview of Social Issues Affecting Children - Children's Health Issues - MSD Manual Consumer Version (msdmanuals.com)</w:t>
        </w:r>
      </w:hyperlink>
      <w:r w:rsidRPr="739584DC" w:rsidR="739584DC">
        <w:rPr>
          <w:rFonts w:ascii="Calibri" w:hAnsi="Calibri" w:eastAsia="Calibri" w:cs="Calibri"/>
          <w:noProof w:val="0"/>
          <w:sz w:val="24"/>
          <w:szCs w:val="24"/>
          <w:lang w:val="en-GB"/>
        </w:rPr>
        <w:t xml:space="preserve"> (Accessed: 4</w:t>
      </w:r>
      <w:r w:rsidRPr="739584DC" w:rsidR="739584DC">
        <w:rPr>
          <w:rFonts w:ascii="Calibri" w:hAnsi="Calibri" w:eastAsia="Calibri" w:cs="Calibri"/>
          <w:noProof w:val="0"/>
          <w:sz w:val="24"/>
          <w:szCs w:val="24"/>
          <w:vertAlign w:val="superscript"/>
          <w:lang w:val="en-GB"/>
        </w:rPr>
        <w:t>th</w:t>
      </w:r>
      <w:r w:rsidRPr="739584DC" w:rsidR="739584DC">
        <w:rPr>
          <w:rFonts w:ascii="Calibri" w:hAnsi="Calibri" w:eastAsia="Calibri" w:cs="Calibri"/>
          <w:noProof w:val="0"/>
          <w:sz w:val="24"/>
          <w:szCs w:val="24"/>
          <w:lang w:val="en-GB"/>
        </w:rPr>
        <w:t xml:space="preserve"> August 2022) </w:t>
      </w:r>
    </w:p>
    <w:p w:rsidR="739584DC" w:rsidP="739584DC" w:rsidRDefault="739584DC" w14:paraId="24AAFCF7" w14:textId="2928E0ED">
      <w:pPr>
        <w:pStyle w:val="Normal"/>
        <w:spacing w:line="360" w:lineRule="auto"/>
        <w:jc w:val="both"/>
        <w:rPr>
          <w:rFonts w:ascii="Calibri" w:hAnsi="Calibri" w:eastAsia="Calibri" w:cs="Calibri"/>
          <w:noProof w:val="0"/>
          <w:sz w:val="24"/>
          <w:szCs w:val="24"/>
          <w:lang w:val="en-GB"/>
        </w:rPr>
      </w:pPr>
      <w:r w:rsidRPr="0DAC5CF4" w:rsidR="0DAC5CF4">
        <w:rPr>
          <w:rFonts w:ascii="Calibri" w:hAnsi="Calibri" w:eastAsia="Calibri" w:cs="Calibri"/>
          <w:noProof w:val="0"/>
          <w:sz w:val="24"/>
          <w:szCs w:val="24"/>
          <w:lang w:val="en-GB"/>
        </w:rPr>
        <w:t xml:space="preserve">S, </w:t>
      </w:r>
      <w:proofErr w:type="spellStart"/>
      <w:r w:rsidRPr="0DAC5CF4" w:rsidR="0DAC5CF4">
        <w:rPr>
          <w:rFonts w:ascii="Calibri" w:hAnsi="Calibri" w:eastAsia="Calibri" w:cs="Calibri"/>
          <w:noProof w:val="0"/>
          <w:sz w:val="24"/>
          <w:szCs w:val="24"/>
          <w:lang w:val="en-GB"/>
        </w:rPr>
        <w:t>Mcleodd</w:t>
      </w:r>
      <w:proofErr w:type="spellEnd"/>
      <w:r w:rsidRPr="0DAC5CF4" w:rsidR="0DAC5CF4">
        <w:rPr>
          <w:rFonts w:ascii="Calibri" w:hAnsi="Calibri" w:eastAsia="Calibri" w:cs="Calibri"/>
          <w:noProof w:val="0"/>
          <w:sz w:val="24"/>
          <w:szCs w:val="24"/>
          <w:lang w:val="en-GB"/>
        </w:rPr>
        <w:t xml:space="preserve">. (2021) </w:t>
      </w:r>
      <w:r w:rsidRPr="0DAC5CF4" w:rsidR="0DAC5CF4">
        <w:rPr>
          <w:rFonts w:ascii="Calibri" w:hAnsi="Calibri" w:eastAsia="Calibri" w:cs="Calibri"/>
          <w:i w:val="1"/>
          <w:iCs w:val="1"/>
          <w:noProof w:val="0"/>
          <w:sz w:val="24"/>
          <w:szCs w:val="24"/>
          <w:lang w:val="en-GB"/>
        </w:rPr>
        <w:t xml:space="preserve">Vygotsky’s Theory of Learning and Scaffolding. </w:t>
      </w:r>
      <w:r w:rsidRPr="0DAC5CF4" w:rsidR="0DAC5CF4">
        <w:rPr>
          <w:rFonts w:ascii="Calibri" w:hAnsi="Calibri" w:eastAsia="Calibri" w:cs="Calibri"/>
          <w:i w:val="0"/>
          <w:iCs w:val="0"/>
          <w:noProof w:val="0"/>
          <w:sz w:val="24"/>
          <w:szCs w:val="24"/>
          <w:lang w:val="en-GB"/>
        </w:rPr>
        <w:t xml:space="preserve">Available at: </w:t>
      </w:r>
      <w:hyperlink r:id="R787130bfb9a9411d">
        <w:r w:rsidRPr="0DAC5CF4" w:rsidR="0DAC5CF4">
          <w:rPr>
            <w:rStyle w:val="Hyperlink"/>
            <w:rFonts w:ascii="Calibri" w:hAnsi="Calibri" w:eastAsia="Calibri" w:cs="Calibri"/>
            <w:noProof w:val="0"/>
            <w:sz w:val="24"/>
            <w:szCs w:val="24"/>
            <w:lang w:val="en-GB"/>
          </w:rPr>
          <w:t>Vygotsky's Theory of Learning and Scaffolding (teachersupport.info)</w:t>
        </w:r>
      </w:hyperlink>
      <w:r w:rsidRPr="0DAC5CF4" w:rsidR="0DAC5CF4">
        <w:rPr>
          <w:rFonts w:ascii="Calibri" w:hAnsi="Calibri" w:eastAsia="Calibri" w:cs="Calibri"/>
          <w:noProof w:val="0"/>
          <w:sz w:val="24"/>
          <w:szCs w:val="24"/>
          <w:lang w:val="en-GB"/>
        </w:rPr>
        <w:t xml:space="preserve"> (Accessed: 4</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3BB1A45D" w:rsidP="0DAC5CF4" w:rsidRDefault="3BB1A45D" w14:paraId="0434C312" w14:textId="58C2F5C8">
      <w:pPr>
        <w:pStyle w:val="Normal"/>
        <w:spacing w:line="360" w:lineRule="auto"/>
        <w:jc w:val="both"/>
        <w:rPr>
          <w:rFonts w:ascii="Calibri" w:hAnsi="Calibri" w:eastAsia="Calibri" w:cs="Calibri"/>
          <w:noProof w:val="0"/>
          <w:sz w:val="24"/>
          <w:szCs w:val="24"/>
          <w:lang w:val="en-GB"/>
        </w:rPr>
      </w:pPr>
      <w:r w:rsidRPr="0DAC5CF4" w:rsidR="0DAC5CF4">
        <w:rPr>
          <w:rFonts w:ascii="Calibri" w:hAnsi="Calibri" w:eastAsia="Calibri" w:cs="Calibri"/>
          <w:noProof w:val="0"/>
          <w:sz w:val="24"/>
          <w:szCs w:val="24"/>
          <w:lang w:val="en-GB"/>
        </w:rPr>
        <w:t xml:space="preserve">Save the Children. (2022) </w:t>
      </w:r>
      <w:r w:rsidRPr="0DAC5CF4" w:rsidR="0DAC5CF4">
        <w:rPr>
          <w:rFonts w:ascii="Calibri" w:hAnsi="Calibri" w:eastAsia="Calibri" w:cs="Calibri"/>
          <w:i w:val="1"/>
          <w:iCs w:val="1"/>
          <w:noProof w:val="0"/>
          <w:sz w:val="24"/>
          <w:szCs w:val="24"/>
          <w:lang w:val="en-GB"/>
        </w:rPr>
        <w:t xml:space="preserve">Our UK Work with Children. </w:t>
      </w:r>
      <w:r w:rsidRPr="0DAC5CF4" w:rsidR="0DAC5CF4">
        <w:rPr>
          <w:rFonts w:ascii="Calibri" w:hAnsi="Calibri" w:eastAsia="Calibri" w:cs="Calibri"/>
          <w:i w:val="0"/>
          <w:iCs w:val="0"/>
          <w:noProof w:val="0"/>
          <w:sz w:val="24"/>
          <w:szCs w:val="24"/>
          <w:lang w:val="en-GB"/>
        </w:rPr>
        <w:t xml:space="preserve">Available at: </w:t>
      </w:r>
      <w:hyperlink r:id="R01af86c9be764af1">
        <w:r w:rsidRPr="0DAC5CF4" w:rsidR="0DAC5CF4">
          <w:rPr>
            <w:rStyle w:val="Hyperlink"/>
            <w:rFonts w:ascii="Calibri" w:hAnsi="Calibri" w:eastAsia="Calibri" w:cs="Calibri"/>
            <w:noProof w:val="0"/>
            <w:sz w:val="24"/>
            <w:szCs w:val="24"/>
            <w:lang w:val="en-GB"/>
          </w:rPr>
          <w:t>Our UK Work | Child Poverty | Save the Children UK</w:t>
        </w:r>
      </w:hyperlink>
      <w:r w:rsidRPr="0DAC5CF4" w:rsidR="0DAC5CF4">
        <w:rPr>
          <w:rFonts w:ascii="Calibri" w:hAnsi="Calibri" w:eastAsia="Calibri" w:cs="Calibri"/>
          <w:noProof w:val="0"/>
          <w:sz w:val="24"/>
          <w:szCs w:val="24"/>
          <w:lang w:val="en-GB"/>
        </w:rPr>
        <w:t xml:space="preserve"> (Accessed: 5</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3BB1A45D" w:rsidP="3BB1A45D" w:rsidRDefault="3BB1A45D" w14:paraId="26ACC39D" w14:textId="0763C1ED">
      <w:pPr>
        <w:pStyle w:val="Normal"/>
        <w:spacing w:line="360" w:lineRule="auto"/>
        <w:jc w:val="both"/>
        <w:rPr>
          <w:rFonts w:ascii="Calibri" w:hAnsi="Calibri" w:eastAsia="Calibri" w:cs="Calibri"/>
          <w:noProof w:val="0"/>
          <w:sz w:val="24"/>
          <w:szCs w:val="24"/>
          <w:lang w:val="en-GB"/>
        </w:rPr>
      </w:pPr>
      <w:r w:rsidRPr="0DAC5CF4" w:rsidR="0DAC5CF4">
        <w:rPr>
          <w:sz w:val="24"/>
          <w:szCs w:val="24"/>
        </w:rPr>
        <w:t xml:space="preserve">T, </w:t>
      </w:r>
      <w:proofErr w:type="spellStart"/>
      <w:r w:rsidRPr="0DAC5CF4" w:rsidR="0DAC5CF4">
        <w:rPr>
          <w:sz w:val="24"/>
          <w:szCs w:val="24"/>
        </w:rPr>
        <w:t>Noramon</w:t>
      </w:r>
      <w:proofErr w:type="spellEnd"/>
      <w:r w:rsidRPr="0DAC5CF4" w:rsidR="0DAC5CF4">
        <w:rPr>
          <w:sz w:val="24"/>
          <w:szCs w:val="24"/>
        </w:rPr>
        <w:t xml:space="preserve">. (2022) </w:t>
      </w:r>
      <w:r w:rsidRPr="0DAC5CF4" w:rsidR="0DAC5CF4">
        <w:rPr>
          <w:i w:val="1"/>
          <w:iCs w:val="1"/>
          <w:sz w:val="24"/>
          <w:szCs w:val="24"/>
        </w:rPr>
        <w:t xml:space="preserve">Catalytic Leadership: Definition and Guide. </w:t>
      </w:r>
      <w:r w:rsidRPr="0DAC5CF4" w:rsidR="0DAC5CF4">
        <w:rPr>
          <w:i w:val="0"/>
          <w:iCs w:val="0"/>
          <w:sz w:val="24"/>
          <w:szCs w:val="24"/>
        </w:rPr>
        <w:t xml:space="preserve">Available at: </w:t>
      </w:r>
      <w:hyperlink r:id="R39c1e32ccbc94776">
        <w:r w:rsidRPr="0DAC5CF4" w:rsidR="0DAC5CF4">
          <w:rPr>
            <w:rStyle w:val="Hyperlink"/>
            <w:rFonts w:ascii="Calibri" w:hAnsi="Calibri" w:eastAsia="Calibri" w:cs="Calibri"/>
            <w:noProof w:val="0"/>
            <w:sz w:val="24"/>
            <w:szCs w:val="24"/>
            <w:lang w:val="en-GB"/>
          </w:rPr>
          <w:t>Taskworld - Catalytic Leadership: Definition and Guide</w:t>
        </w:r>
      </w:hyperlink>
      <w:r w:rsidRPr="0DAC5CF4" w:rsidR="0DAC5CF4">
        <w:rPr>
          <w:rFonts w:ascii="Calibri" w:hAnsi="Calibri" w:eastAsia="Calibri" w:cs="Calibri"/>
          <w:noProof w:val="0"/>
          <w:sz w:val="24"/>
          <w:szCs w:val="24"/>
          <w:lang w:val="en-GB"/>
        </w:rPr>
        <w:t xml:space="preserve"> (Accessed: 4</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0DAC5CF4" w:rsidP="0DAC5CF4" w:rsidRDefault="0DAC5CF4" w14:paraId="1A676C73" w14:textId="1945C1BD">
      <w:pPr>
        <w:pStyle w:val="Normal"/>
        <w:spacing w:line="360" w:lineRule="auto"/>
        <w:jc w:val="both"/>
        <w:rPr>
          <w:rFonts w:ascii="Calibri" w:hAnsi="Calibri" w:eastAsia="Calibri" w:cs="Calibri"/>
          <w:noProof w:val="0"/>
          <w:sz w:val="24"/>
          <w:szCs w:val="24"/>
          <w:lang w:val="en-GB"/>
        </w:rPr>
      </w:pPr>
      <w:r w:rsidRPr="0DAC5CF4" w:rsidR="0DAC5CF4">
        <w:rPr>
          <w:rFonts w:ascii="Calibri" w:hAnsi="Calibri" w:eastAsia="Calibri" w:cs="Calibri"/>
          <w:noProof w:val="0"/>
          <w:sz w:val="24"/>
          <w:szCs w:val="24"/>
          <w:lang w:val="en-GB"/>
        </w:rPr>
        <w:t xml:space="preserve">UNICEF (2022) </w:t>
      </w:r>
      <w:r w:rsidRPr="0DAC5CF4" w:rsidR="0DAC5CF4">
        <w:rPr>
          <w:rFonts w:ascii="Calibri" w:hAnsi="Calibri" w:eastAsia="Calibri" w:cs="Calibri"/>
          <w:i w:val="1"/>
          <w:iCs w:val="1"/>
          <w:noProof w:val="0"/>
          <w:sz w:val="24"/>
          <w:szCs w:val="24"/>
          <w:lang w:val="en-GB"/>
        </w:rPr>
        <w:t xml:space="preserve">UN Convention on the Rights of the child. </w:t>
      </w:r>
      <w:r w:rsidRPr="0DAC5CF4" w:rsidR="0DAC5CF4">
        <w:rPr>
          <w:rFonts w:ascii="Calibri" w:hAnsi="Calibri" w:eastAsia="Calibri" w:cs="Calibri"/>
          <w:i w:val="0"/>
          <w:iCs w:val="0"/>
          <w:noProof w:val="0"/>
          <w:sz w:val="24"/>
          <w:szCs w:val="24"/>
          <w:lang w:val="en-GB"/>
        </w:rPr>
        <w:t xml:space="preserve">Available at: </w:t>
      </w:r>
      <w:hyperlink r:id="Re3b3a98633164974">
        <w:r w:rsidRPr="0DAC5CF4" w:rsidR="0DAC5CF4">
          <w:rPr>
            <w:rStyle w:val="Hyperlink"/>
            <w:rFonts w:ascii="Calibri" w:hAnsi="Calibri" w:eastAsia="Calibri" w:cs="Calibri"/>
            <w:noProof w:val="0"/>
            <w:sz w:val="24"/>
            <w:szCs w:val="24"/>
            <w:lang w:val="en-GB"/>
          </w:rPr>
          <w:t>UN Convention on the Rights of the Child - UNICEF UK</w:t>
        </w:r>
      </w:hyperlink>
      <w:r w:rsidRPr="0DAC5CF4" w:rsidR="0DAC5CF4">
        <w:rPr>
          <w:rFonts w:ascii="Calibri" w:hAnsi="Calibri" w:eastAsia="Calibri" w:cs="Calibri"/>
          <w:noProof w:val="0"/>
          <w:sz w:val="24"/>
          <w:szCs w:val="24"/>
          <w:lang w:val="en-GB"/>
        </w:rPr>
        <w:t xml:space="preserve"> (Accessed: 5</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0DAC5CF4" w:rsidP="0DAC5CF4" w:rsidRDefault="0DAC5CF4" w14:paraId="5DF094C8" w14:textId="5FFB21C6">
      <w:pPr>
        <w:pStyle w:val="Normal"/>
        <w:spacing w:line="360" w:lineRule="auto"/>
        <w:jc w:val="both"/>
        <w:rPr>
          <w:rFonts w:ascii="Calibri" w:hAnsi="Calibri" w:eastAsia="Calibri" w:cs="Calibri"/>
          <w:noProof w:val="0"/>
          <w:sz w:val="24"/>
          <w:szCs w:val="24"/>
          <w:lang w:val="en-GB"/>
        </w:rPr>
      </w:pPr>
      <w:r w:rsidRPr="0DAC5CF4" w:rsidR="0DAC5CF4">
        <w:rPr>
          <w:rFonts w:ascii="Calibri" w:hAnsi="Calibri" w:eastAsia="Calibri" w:cs="Calibri"/>
          <w:noProof w:val="0"/>
          <w:sz w:val="24"/>
          <w:szCs w:val="24"/>
          <w:lang w:val="en-GB"/>
        </w:rPr>
        <w:t xml:space="preserve">Welsh Government. (2022) </w:t>
      </w:r>
      <w:r w:rsidRPr="0DAC5CF4" w:rsidR="0DAC5CF4">
        <w:rPr>
          <w:rFonts w:ascii="Calibri" w:hAnsi="Calibri" w:eastAsia="Calibri" w:cs="Calibri"/>
          <w:i w:val="1"/>
          <w:iCs w:val="1"/>
          <w:noProof w:val="0"/>
          <w:sz w:val="24"/>
          <w:szCs w:val="24"/>
          <w:lang w:val="en-GB"/>
        </w:rPr>
        <w:t xml:space="preserve">Children’s Rights in Wales. </w:t>
      </w:r>
      <w:r w:rsidRPr="0DAC5CF4" w:rsidR="0DAC5CF4">
        <w:rPr>
          <w:rFonts w:ascii="Calibri" w:hAnsi="Calibri" w:eastAsia="Calibri" w:cs="Calibri"/>
          <w:i w:val="0"/>
          <w:iCs w:val="0"/>
          <w:noProof w:val="0"/>
          <w:sz w:val="24"/>
          <w:szCs w:val="24"/>
          <w:lang w:val="en-GB"/>
        </w:rPr>
        <w:t xml:space="preserve">Available at: </w:t>
      </w:r>
      <w:hyperlink r:id="Rd71e9354077044f0">
        <w:r w:rsidRPr="0DAC5CF4" w:rsidR="0DAC5CF4">
          <w:rPr>
            <w:rStyle w:val="Hyperlink"/>
            <w:rFonts w:ascii="Calibri" w:hAnsi="Calibri" w:eastAsia="Calibri" w:cs="Calibri"/>
            <w:noProof w:val="0"/>
            <w:sz w:val="24"/>
            <w:szCs w:val="24"/>
            <w:lang w:val="en-GB"/>
          </w:rPr>
          <w:t>Children's rights in Wales | GOV.WALES</w:t>
        </w:r>
      </w:hyperlink>
      <w:r w:rsidRPr="0DAC5CF4" w:rsidR="0DAC5CF4">
        <w:rPr>
          <w:rFonts w:ascii="Calibri" w:hAnsi="Calibri" w:eastAsia="Calibri" w:cs="Calibri"/>
          <w:noProof w:val="0"/>
          <w:sz w:val="24"/>
          <w:szCs w:val="24"/>
          <w:lang w:val="en-GB"/>
        </w:rPr>
        <w:t xml:space="preserve"> (Accessed: 5</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0DAC5CF4" w:rsidP="0DAC5CF4" w:rsidRDefault="0DAC5CF4" w14:paraId="733F1D2B" w14:textId="347E9599">
      <w:pPr>
        <w:pStyle w:val="Normal"/>
        <w:spacing w:line="360" w:lineRule="auto"/>
        <w:jc w:val="both"/>
        <w:rPr>
          <w:rFonts w:ascii="Calibri" w:hAnsi="Calibri" w:eastAsia="Calibri" w:cs="Calibri"/>
          <w:noProof w:val="0"/>
          <w:sz w:val="24"/>
          <w:szCs w:val="24"/>
          <w:lang w:val="en-GB"/>
        </w:rPr>
      </w:pPr>
      <w:r w:rsidRPr="0DAC5CF4" w:rsidR="0DAC5CF4">
        <w:rPr>
          <w:rFonts w:ascii="Calibri" w:hAnsi="Calibri" w:eastAsia="Calibri" w:cs="Calibri"/>
          <w:noProof w:val="0"/>
          <w:sz w:val="24"/>
          <w:szCs w:val="24"/>
          <w:lang w:val="en-GB"/>
        </w:rPr>
        <w:t xml:space="preserve">Welsh Parliament. (2022) </w:t>
      </w:r>
      <w:r w:rsidRPr="0DAC5CF4" w:rsidR="0DAC5CF4">
        <w:rPr>
          <w:rFonts w:ascii="Calibri" w:hAnsi="Calibri" w:eastAsia="Calibri" w:cs="Calibri"/>
          <w:i w:val="1"/>
          <w:iCs w:val="1"/>
          <w:noProof w:val="0"/>
          <w:sz w:val="24"/>
          <w:szCs w:val="24"/>
          <w:lang w:val="en-GB"/>
        </w:rPr>
        <w:t xml:space="preserve">Children’s Rights in Wales: Big changes ahead. </w:t>
      </w:r>
      <w:r w:rsidRPr="0DAC5CF4" w:rsidR="0DAC5CF4">
        <w:rPr>
          <w:rFonts w:ascii="Calibri" w:hAnsi="Calibri" w:eastAsia="Calibri" w:cs="Calibri"/>
          <w:i w:val="0"/>
          <w:iCs w:val="0"/>
          <w:noProof w:val="0"/>
          <w:sz w:val="24"/>
          <w:szCs w:val="24"/>
          <w:lang w:val="en-GB"/>
        </w:rPr>
        <w:t xml:space="preserve">Available at: </w:t>
      </w:r>
      <w:hyperlink r:id="R117a48030cad47f7">
        <w:r w:rsidRPr="0DAC5CF4" w:rsidR="0DAC5CF4">
          <w:rPr>
            <w:rStyle w:val="Hyperlink"/>
            <w:rFonts w:ascii="Calibri" w:hAnsi="Calibri" w:eastAsia="Calibri" w:cs="Calibri"/>
            <w:noProof w:val="0"/>
            <w:sz w:val="24"/>
            <w:szCs w:val="24"/>
            <w:lang w:val="en-GB"/>
          </w:rPr>
          <w:t>Children’s Rights in Wales: big changes ahead (senedd.wales)</w:t>
        </w:r>
      </w:hyperlink>
      <w:r w:rsidRPr="0DAC5CF4" w:rsidR="0DAC5CF4">
        <w:rPr>
          <w:rFonts w:ascii="Calibri" w:hAnsi="Calibri" w:eastAsia="Calibri" w:cs="Calibri"/>
          <w:noProof w:val="0"/>
          <w:sz w:val="24"/>
          <w:szCs w:val="24"/>
          <w:lang w:val="en-GB"/>
        </w:rPr>
        <w:t xml:space="preserve"> (Accessed: 6</w:t>
      </w:r>
      <w:r w:rsidRPr="0DAC5CF4" w:rsidR="0DAC5CF4">
        <w:rPr>
          <w:rFonts w:ascii="Calibri" w:hAnsi="Calibri" w:eastAsia="Calibri" w:cs="Calibri"/>
          <w:noProof w:val="0"/>
          <w:sz w:val="24"/>
          <w:szCs w:val="24"/>
          <w:vertAlign w:val="superscript"/>
          <w:lang w:val="en-GB"/>
        </w:rPr>
        <w:t>th</w:t>
      </w:r>
      <w:r w:rsidRPr="0DAC5CF4" w:rsidR="0DAC5CF4">
        <w:rPr>
          <w:rFonts w:ascii="Calibri" w:hAnsi="Calibri" w:eastAsia="Calibri" w:cs="Calibri"/>
          <w:noProof w:val="0"/>
          <w:sz w:val="24"/>
          <w:szCs w:val="24"/>
          <w:lang w:val="en-GB"/>
        </w:rPr>
        <w:t xml:space="preserve"> August 2022) </w:t>
      </w:r>
    </w:p>
    <w:p w:rsidR="3BB1A45D" w:rsidP="3BB1A45D" w:rsidRDefault="3BB1A45D" w14:paraId="6CF73EDF" w14:textId="54B85A0E">
      <w:pPr>
        <w:pStyle w:val="Normal"/>
        <w:spacing w:line="360" w:lineRule="auto"/>
        <w:jc w:val="both"/>
        <w:rPr>
          <w:sz w:val="24"/>
          <w:szCs w:val="24"/>
        </w:rPr>
      </w:pPr>
    </w:p>
    <w:sectPr>
      <w:pgSz w:w="11906" w:h="16838" w:orient="portrait"/>
      <w:pgMar w:top="1440" w:right="1440" w:bottom="1440" w:left="1440" w:header="720" w:footer="720" w:gutter="0"/>
      <w:cols w:space="720"/>
      <w:docGrid w:linePitch="360"/>
      <w:headerReference w:type="default" r:id="R163d92e71b7c4291"/>
      <w:footerReference w:type="default" r:id="R9831054764dc4b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B1A45D" w:rsidTr="3BB1A45D" w14:paraId="094C04CA">
      <w:tc>
        <w:tcPr>
          <w:tcW w:w="3005" w:type="dxa"/>
          <w:tcMar/>
        </w:tcPr>
        <w:p w:rsidR="3BB1A45D" w:rsidP="3BB1A45D" w:rsidRDefault="3BB1A45D" w14:paraId="1B22D087" w14:textId="55BF798F">
          <w:pPr>
            <w:pStyle w:val="Header"/>
            <w:bidi w:val="0"/>
            <w:ind w:left="-115"/>
            <w:jc w:val="left"/>
          </w:pPr>
        </w:p>
      </w:tc>
      <w:tc>
        <w:tcPr>
          <w:tcW w:w="3005" w:type="dxa"/>
          <w:tcMar/>
        </w:tcPr>
        <w:p w:rsidR="3BB1A45D" w:rsidP="3BB1A45D" w:rsidRDefault="3BB1A45D" w14:paraId="384C353D" w14:textId="70FF6576">
          <w:pPr>
            <w:pStyle w:val="Header"/>
            <w:bidi w:val="0"/>
            <w:jc w:val="center"/>
          </w:pPr>
        </w:p>
      </w:tc>
      <w:tc>
        <w:tcPr>
          <w:tcW w:w="3005" w:type="dxa"/>
          <w:tcMar/>
        </w:tcPr>
        <w:p w:rsidR="3BB1A45D" w:rsidP="3BB1A45D" w:rsidRDefault="3BB1A45D" w14:paraId="4E40269E" w14:textId="2A2E1D2C">
          <w:pPr>
            <w:pStyle w:val="Header"/>
            <w:bidi w:val="0"/>
            <w:ind w:right="-115"/>
            <w:jc w:val="right"/>
          </w:pPr>
        </w:p>
      </w:tc>
    </w:tr>
  </w:tbl>
  <w:p w:rsidR="3BB1A45D" w:rsidP="3BB1A45D" w:rsidRDefault="3BB1A45D" w14:paraId="318C6BD4" w14:textId="3AF202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B1A45D" w:rsidTr="3BB1A45D" w14:paraId="15B0D8CA">
      <w:tc>
        <w:tcPr>
          <w:tcW w:w="3005" w:type="dxa"/>
          <w:tcMar/>
        </w:tcPr>
        <w:p w:rsidR="3BB1A45D" w:rsidP="3BB1A45D" w:rsidRDefault="3BB1A45D" w14:paraId="7D00322A" w14:textId="767B4D57">
          <w:pPr>
            <w:pStyle w:val="Header"/>
            <w:bidi w:val="0"/>
            <w:ind w:left="-115"/>
            <w:jc w:val="left"/>
          </w:pPr>
          <w:r w:rsidR="3BB1A45D">
            <w:rPr/>
            <w:t>1904360</w:t>
          </w:r>
        </w:p>
      </w:tc>
      <w:tc>
        <w:tcPr>
          <w:tcW w:w="3005" w:type="dxa"/>
          <w:tcMar/>
        </w:tcPr>
        <w:p w:rsidR="3BB1A45D" w:rsidP="3BB1A45D" w:rsidRDefault="3BB1A45D" w14:paraId="661877B4" w14:textId="66A4B6E8">
          <w:pPr>
            <w:pStyle w:val="Header"/>
            <w:bidi w:val="0"/>
            <w:jc w:val="center"/>
          </w:pPr>
          <w:r w:rsidR="3BB1A45D">
            <w:rPr/>
            <w:t>ECEY6003</w:t>
          </w:r>
        </w:p>
      </w:tc>
      <w:tc>
        <w:tcPr>
          <w:tcW w:w="3005" w:type="dxa"/>
          <w:tcMar/>
        </w:tcPr>
        <w:p w:rsidR="3BB1A45D" w:rsidP="3BB1A45D" w:rsidRDefault="3BB1A45D" w14:paraId="7A520269" w14:textId="51FC753E">
          <w:pPr>
            <w:pStyle w:val="Header"/>
            <w:bidi w:val="0"/>
            <w:ind w:right="-115"/>
            <w:jc w:val="right"/>
          </w:pPr>
          <w:r w:rsidR="3BB1A45D">
            <w:rPr/>
            <w:t xml:space="preserve">4500 words </w:t>
          </w:r>
        </w:p>
      </w:tc>
    </w:tr>
  </w:tbl>
  <w:p w:rsidR="3BB1A45D" w:rsidP="3BB1A45D" w:rsidRDefault="3BB1A45D" w14:paraId="7648404D" w14:textId="3C054B2F">
    <w:pPr>
      <w:pStyle w:val="Header"/>
      <w:bidi w:val="0"/>
    </w:pPr>
  </w:p>
</w:hdr>
</file>

<file path=word/numbering.xml><?xml version="1.0" encoding="utf-8"?>
<w:numbering xmlns:w="http://schemas.openxmlformats.org/wordprocessingml/2006/main">
  <w:abstractNum xmlns:w="http://schemas.openxmlformats.org/wordprocessingml/2006/main" w:abstractNumId="1">
    <w:nsid w:val="de13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322816"/>
    <w:rsid w:val="0DAC5CF4"/>
    <w:rsid w:val="3BB1A45D"/>
    <w:rsid w:val="49322816"/>
    <w:rsid w:val="73958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22816"/>
  <w15:chartTrackingRefBased/>
  <w15:docId w15:val="{03B37E9A-519B-4ED8-8C4C-6ED39ED1CD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63d92e71b7c4291" /><Relationship Type="http://schemas.openxmlformats.org/officeDocument/2006/relationships/footer" Target="/word/footer.xml" Id="R9831054764dc4b8f" /><Relationship Type="http://schemas.openxmlformats.org/officeDocument/2006/relationships/hyperlink" Target="https://www.linkedin.com/pulse/catalytic-leadership-commitment-prabhu-rengaswamy?trk=pulse-article_more-articles_related-content-card" TargetMode="External" Id="R6a0904c021c149da" /><Relationship Type="http://schemas.openxmlformats.org/officeDocument/2006/relationships/hyperlink" Target="https://www.msdmanuals.com/en-gb/home/children-s-health-issues/social-issues-affecting-children-and-their-families/overview-of-social-issues-affecting-children" TargetMode="External" Id="R6793c36d880c4455" /><Relationship Type="http://schemas.openxmlformats.org/officeDocument/2006/relationships/hyperlink" Target="https://www.savethechildren.org.uk/what-we-do/child-poverty/uk-child-poverty/england" TargetMode="External" Id="R50596ecb5f674de8" /><Relationship Type="http://schemas.openxmlformats.org/officeDocument/2006/relationships/hyperlink" Target="https://www.savethechildren.org.uk/what-we-do/child-poverty/uk-child-poverty/northern-ireland" TargetMode="External" Id="Reb7c193f2fd1462f" /><Relationship Type="http://schemas.openxmlformats.org/officeDocument/2006/relationships/hyperlink" Target="https://www.savethechildren.org.uk/what-we-do/child-poverty/uk-child-poverty/scotland" TargetMode="External" Id="Rece24321a990481e" /><Relationship Type="http://schemas.openxmlformats.org/officeDocument/2006/relationships/hyperlink" Target="https://www.savethechildren.org.uk/what-we-do/child-poverty/uk-child-poverty/wales" TargetMode="External" Id="R1e97e85b3ba94011" /><Relationship Type="http://schemas.openxmlformats.org/officeDocument/2006/relationships/hyperlink" Target="https://www.savethechildren.org.uk/what-we-do/child-poverty/uk-child-poverty/in-schools" TargetMode="External" Id="R6bcb9ff7beb24be8" /><Relationship Type="http://schemas.openxmlformats.org/officeDocument/2006/relationships/hyperlink" Target="https://www.savethechildren.org.uk/what-we-do/child-poverty/uk-child-poverty/in-communities" TargetMode="External" Id="R8c63bc99ab134f8d" /><Relationship Type="http://schemas.openxmlformats.org/officeDocument/2006/relationships/hyperlink" Target="https://www.savethechildren.org.uk/what-we-do/child-poverty/uk-child-poverty/in-homes" TargetMode="External" Id="R3fe7adabcc8f4573" /><Relationship Type="http://schemas.openxmlformats.org/officeDocument/2006/relationships/hyperlink" Target="https://www.savethechildren.org.uk/what-we-do/child-poverty/uk-child-poverty/early-years" TargetMode="External" Id="R6c2c73c496fe465d" /><Relationship Type="http://schemas.openxmlformats.org/officeDocument/2006/relationships/hyperlink" Target="https://stories.savethechildren.org.uk/covid-19-uk-emergency-response/" TargetMode="External" Id="R0010517f0b174cb3" /><Relationship Type="http://schemas.openxmlformats.org/officeDocument/2006/relationships/hyperlink" Target="https://www.humanium.org/en/children-world/" TargetMode="External" Id="Rc1c19202a9cd4101" /><Relationship Type="http://schemas.openxmlformats.org/officeDocument/2006/relationships/hyperlink" Target="https://blossomeducational.com/blog/importance-leadership-early-years-management/" TargetMode="External" Id="R45b27d6e62b4418c" /><Relationship Type="http://schemas.openxmlformats.org/officeDocument/2006/relationships/hyperlink" Target="https://gov.wales/sites/default/files/publications/2021-12/children%27s-rights-scheme-2021.pdf" TargetMode="External" Id="R3f062bf846934b46" /><Relationship Type="http://schemas.openxmlformats.org/officeDocument/2006/relationships/hyperlink" Target="https://www.reference.com/world-view/sociological-perspective-3116d7857cea2512" TargetMode="External" Id="R91681994cafa4803" /><Relationship Type="http://schemas.openxmlformats.org/officeDocument/2006/relationships/hyperlink" Target="https://teachersupport.info/lev-vygotsky-theory-of-cognitive-development/" TargetMode="External" Id="R787130bfb9a9411d" /><Relationship Type="http://schemas.openxmlformats.org/officeDocument/2006/relationships/hyperlink" Target="https://www.savethechildren.org.uk/what-we-do/child-poverty/uk-child-poverty" TargetMode="External" Id="R01af86c9be764af1" /><Relationship Type="http://schemas.openxmlformats.org/officeDocument/2006/relationships/hyperlink" Target="https://taskworld.com/blog/catalytic-leadership/" TargetMode="External" Id="R39c1e32ccbc94776" /><Relationship Type="http://schemas.openxmlformats.org/officeDocument/2006/relationships/hyperlink" Target="https://www.unicef.org.uk/what-we-do/un-convention-child-rights/" TargetMode="External" Id="Re3b3a98633164974" /><Relationship Type="http://schemas.openxmlformats.org/officeDocument/2006/relationships/hyperlink" Target="https://gov.wales/childrens-rights-in-wales" TargetMode="External" Id="Rd71e9354077044f0" /><Relationship Type="http://schemas.openxmlformats.org/officeDocument/2006/relationships/hyperlink" Target="https://research.senedd.wales/research-articles/children-s-rights-in-wales-big-changes-ahead/" TargetMode="External" Id="R117a48030cad47f7" /><Relationship Type="http://schemas.openxmlformats.org/officeDocument/2006/relationships/numbering" Target="/word/numbering.xml" Id="Rb07f16f9dae647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Ellys Lyle</dc:creator>
  <keywords/>
  <dc:description/>
  <lastModifiedBy>Ellys Lyle</lastModifiedBy>
  <revision>4</revision>
  <dcterms:created xsi:type="dcterms:W3CDTF">2022-08-07T14:31:34.3539965Z</dcterms:created>
  <dcterms:modified xsi:type="dcterms:W3CDTF">2022-08-10T11:16:00.8174363Z</dcterms:modified>
</coreProperties>
</file>