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heme="minorAscii" w:hAnsiTheme="minorEastAsia"/>
          <w:sz w:val="21"/>
          <w:szCs w:val="21"/>
          <w:lang w:val="en-US" w:eastAsia="zh-CN"/>
        </w:rPr>
      </w:pPr>
      <w:bookmarkStart w:id="0" w:name="_GoBack"/>
      <w:bookmarkEnd w:id="0"/>
      <w:r>
        <w:rPr>
          <w:rFonts w:hint="eastAsia" w:asciiTheme="minorAscii" w:hAnsiTheme="minorEastAsia"/>
          <w:b/>
          <w:bCs/>
          <w:sz w:val="21"/>
          <w:szCs w:val="21"/>
          <w:lang w:val="en-US" w:eastAsia="zh-CN"/>
        </w:rPr>
        <w:t xml:space="preserve">Review on </w:t>
      </w:r>
      <w:r>
        <w:rPr>
          <w:rFonts w:hint="default" w:asciiTheme="minorAscii" w:hAnsiTheme="minorEastAsia"/>
          <w:b/>
          <w:bCs/>
          <w:sz w:val="21"/>
          <w:szCs w:val="21"/>
          <w:lang w:val="en-US" w:eastAsia="zh-CN"/>
        </w:rPr>
        <w:t>‘</w:t>
      </w:r>
      <w:r>
        <w:rPr>
          <w:rFonts w:hint="eastAsia" w:asciiTheme="minorAscii" w:hAnsiTheme="minorEastAsia"/>
          <w:b/>
          <w:bCs/>
          <w:sz w:val="21"/>
          <w:szCs w:val="21"/>
          <w:lang w:val="en-US" w:eastAsia="zh-CN"/>
        </w:rPr>
        <w:t>Factors Affecting Second Language Learning</w:t>
      </w:r>
      <w:r>
        <w:rPr>
          <w:rFonts w:hint="default" w:asciiTheme="minorAscii" w:hAnsiTheme="minorEastAsia"/>
          <w:b/>
          <w:bCs/>
          <w:sz w:val="21"/>
          <w:szCs w:val="21"/>
          <w:lang w:val="en-US" w:eastAsia="zh-CN"/>
        </w:rPr>
        <w:t>’</w:t>
      </w:r>
    </w:p>
    <w:p>
      <w:pPr>
        <w:jc w:val="both"/>
        <w:rPr>
          <w:rFonts w:hint="eastAsia" w:asciiTheme="minorAscii" w:hAnsiTheme="minorEastAsia"/>
          <w:sz w:val="21"/>
          <w:szCs w:val="21"/>
          <w:lang w:val="en-US" w:eastAsia="zh-CN"/>
        </w:rPr>
      </w:pPr>
      <w:r>
        <w:rPr>
          <w:rFonts w:hint="eastAsia" w:asciiTheme="minorAscii" w:hAnsiTheme="minorEastAsia"/>
          <w:i/>
          <w:iCs/>
          <w:sz w:val="21"/>
          <w:szCs w:val="21"/>
          <w:lang w:val="en-US" w:eastAsia="zh-CN"/>
        </w:rPr>
        <w:t>Factors Affecting Second Language Learning</w:t>
      </w:r>
      <w:r>
        <w:rPr>
          <w:rFonts w:hint="eastAsia" w:asciiTheme="minorAscii" w:hAnsiTheme="minorEastAsia"/>
          <w:sz w:val="21"/>
          <w:szCs w:val="21"/>
          <w:lang w:val="en-US" w:eastAsia="zh-CN"/>
        </w:rPr>
        <w:t> is written by P.M. Lightbown and Spada in 2000 and serves as a chapter in a book which discusses English language teaching. By categorising many characteristics of different learners, this article concludes five main factors of second language learners and provides an evaluation of how these factors engaging in second language learning. The five factors are motivation, aptitude, personality, intelligence, and learner preferences. Also, the age factor is examined by the authors. This review is divided into three parts. The first section is to summarize the evaluation of the six factors, and the second is to explore the motivation factor with more details, and last section is to reflect the contribution of this article to TESOL.</w:t>
      </w:r>
    </w:p>
    <w:p>
      <w:pPr>
        <w:numPr>
          <w:ilvl w:val="0"/>
          <w:numId w:val="1"/>
        </w:numPr>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Factors Presenting by Lightbown and Spada</w:t>
      </w:r>
    </w:p>
    <w:p>
      <w:pPr>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Assumptions have always been made about how some anecdotal factors affect second language learning. To figure out which factors indeed influence on SLL and to what extend they influence is critical for understanding the mechanism of SLL on the learner</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 xml:space="preserve">s side. To respond to these questions, an investigation on the main factors is necessary. Those factors can be further divided into two categories according to whether the factor itself can be accurately measured. Thus, motivation, aptitude, personality, intelligence, and learner preferences are those not available for an accurate measurement. Age is on the opposite. </w:t>
      </w:r>
    </w:p>
    <w:p>
      <w:pPr>
        <w:numPr>
          <w:ilvl w:val="1"/>
          <w:numId w:val="2"/>
        </w:numPr>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Factors without Accurate Measurement  </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It is believed that the more motivate a learner is, or the higher score the learner achieves in an IQ test, or the higher aptitude the learner enjoys, then the more better the learner would do in second language learning. It is also wildly accepted that among all kinds of personality, some are more helpful than other in the aspect of language learning. But in the article, Lightbown and Spada provide a critical way of thinking about these factors. While admitting the observations in accordance with general assumption mentioned above, they point out two problems worth pondering. </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b w:val="0"/>
          <w:bCs w:val="0"/>
          <w:sz w:val="21"/>
          <w:szCs w:val="21"/>
          <w:lang w:val="en-US" w:eastAsia="zh-CN"/>
        </w:rPr>
        <w:t xml:space="preserve">The first problem is the difficulty of researching these factors in the context of SLL. Factors without accurate measurement are listed as follow: motivation, aptitude, personality, intelligence, and learner preferences. Some of these characteristics are highly subjective. For instance, introverted personality would only gain its meaning when compared with an extroverted personality, and there is not a measurement table telling objectively to what degree a person is introverted. Same is motivation. It is hard to measure how motivated a learner is. Some of these characteristics are so complicated that even a measurement table exists, it helps little to explain to what extent this particular trait contributes to SLL. For example, the result of an IQ test is often taken as an indicator of future language learning. However, one IQ test can not test every ability, and academic success does not guarantee success on language learning. The same problem happens when people try to explain how aptitude influences SLL. Not all abilities are presented in tests like MLAT or PLAT(Lightbown and Spada, 2000). </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The second problem worth pondering is the difference between correlation and causality. The fact that compared to low-motivated learners, high-motivated learners learn better only shows a correlation between motivation and language learning. Cause and effect are like egg and chicken. No research prove whether motivation is the egg or not. </w:t>
      </w:r>
    </w:p>
    <w:p>
      <w:pPr>
        <w:numPr>
          <w:ilvl w:val="0"/>
          <w:numId w:val="0"/>
        </w:numPr>
        <w:ind w:leftChars="0"/>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 xml:space="preserve">Many of the factors are exerting influence on SLL at the same time. So it is hard to say one factor has the dominant influence on SLL over others since the influences of these factors intertwine. Some factors might change from time to time. For example, personality generally changes from childhood to adolescence. Thus, the whole picture of SLL should be inspected from a dynamic perspective. </w:t>
      </w:r>
    </w:p>
    <w:p>
      <w:pPr>
        <w:numPr>
          <w:ilvl w:val="1"/>
          <w:numId w:val="2"/>
        </w:numPr>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 xml:space="preserve">Factor with Accurate Measurement  </w:t>
      </w:r>
    </w:p>
    <w:p>
      <w:pPr>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One can find plenty examples showing the difference of performance of second language learning between immigrant child and their parents. From those observations, it seems that age is related with SLL and that the earlier a learner starts learning, the better the outcome is. The Critical Period Hypothesis is one prominent theory trying to explain the phenomenon mentioned above.</w:t>
      </w:r>
    </w:p>
    <w:p>
      <w:pPr>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What the main argument of CPH? According to CPH, there is a time limit for language learners to achieve native-like proficiency. Learning a language before puberty depends on an innate biological structure; while learning a language after puberty did not, because the brain structure has changed. Although there are some different opinions about when the critical period ends, this hypothesis has gain a lot of support. And the two experiments cited in the article lent strength to CPH from different aspects. The results of an experiment conducted by Mark Patkowski provide evidences that whether to start second language learning before the age of 15 indeed makes a difference on how well the language is acquired and that the differences of learning outcome between early-started learner and late-started learner appear in many facets of language, not only confined to accent. </w:t>
      </w:r>
    </w:p>
    <w:p>
      <w:pPr>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Besides experiments in align with CPH, Lightbown and Spada also cite Snow and Hoefnagel-Hohle</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s experiment from which an opposite conclusion is drawn. It seems Lightbown and Spade do not agree with the conclusion. They point out that some designs of the experiment may not be appropriate. But at least the Snow and Hoefnagel-Hohle</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 xml:space="preserve">s experiment successfully inspire people to evaluate the significance of critical period with a new context. </w:t>
      </w:r>
    </w:p>
    <w:p>
      <w:pPr>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It is very possible that critical period for language learning exists and learning second language after critical period could not achieve native-like standard. Then here rise a question: is it better to start SLL as early as possible? To figure out what is better, one needs to figure out the criteria for the better. So the question becomes how to judge the outcome of SLL since for most second language learners, achieving native-like proficiency is not their purpose. And also the answer to this question is related to how to teach second language.</w:t>
      </w:r>
    </w:p>
    <w:p>
      <w:pPr>
        <w:numPr>
          <w:ilvl w:val="0"/>
          <w:numId w:val="2"/>
        </w:numPr>
        <w:ind w:left="0" w:leftChars="0" w:firstLine="0" w:firstLineChars="0"/>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Reflection on Motivation in SLL</w:t>
      </w:r>
    </w:p>
    <w:p>
      <w:pPr>
        <w:numPr>
          <w:ilvl w:val="0"/>
          <w:numId w:val="0"/>
        </w:numPr>
        <w:ind w:leftChars="0"/>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Even when some researchers have reached a consensus with Deci and Ryan on intrinsic-extrinsic motivation continuum, it only means a progress in the sphere of academic study, not in the sphere of down-to-earth practice of teaching and learning. It is not difficult to understand motivation at the first glance, but when it comes into the psychological or pedagogical study, it is not easy to give a comprehensive definition of motivation. In any cases,  human beings are sophisticated, This makes the definition that satisfies all an mission impossible.</w:t>
      </w:r>
    </w:p>
    <w:p>
      <w:pPr>
        <w:numPr>
          <w:ilvl w:val="1"/>
          <w:numId w:val="2"/>
        </w:numPr>
        <w:ind w:left="0" w:leftChars="0" w:firstLine="0" w:firstLine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Categorizing Motivation</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If we recall the development of the linguistic study, there have been researches based on behavioural psychology, on cognitive psychology, and researches on constructivism. Each school has its interpretation of motivation. Behavioural psychology links motivation directly to the expectation of reward. In cognitive psychology, motivation is more about an individual’s decision. And in constructivism, which prevails from the 1980s, motivation is constructed in a social and cultural context (Brown, 2007).</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One mainstream perspective is to distinguish motivation depending on whether it is driven intrinsically or extrinsically.  If a learner considers learning itself as a reward, then, the learner has intrinsic motivation. If learning is for an extrinsic reward which might include any kind of positive feedback, then, extrinsic motivation is playing the part.  </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Another inspiring but negotiable way of categorizing motivation is coined by Gardner and Lambert in 1959. They used social psychological perspective and distinguished integrative motivation from instrumental motivation. Integrative motivation is described as the learner has a positive opinion toward the target language community, and is set out to enrichment. Instrumental motivation originates in far more practical interests. A learner who is instrumentally motivated is often driven by needs related to future career fulfilment or with survival value. Although Gardner gave more credit to integrative motivation at first, in the 1980s, he admitted that it was not necessary to link integrative motivation with the success of SLL because the positive attitude towards a language group did not necessarily produce learning language (Crookes and Schmidt, 1991).</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It is also worth noticing that people have made some efforts to distinguish the intrinsic-extrinsic continuum and the integral-instrumental continuum. Obviously, there are some overlapping of the these two constructs. For example, a learner who holds a positive attitude toward certain language group could, at the same time, consider language learning a reward itself. To clarify the confusion, it is helpful to introduce the end-means dichotomy. </w:t>
      </w:r>
    </w:p>
    <w:p>
      <w:pPr>
        <w:pStyle w:val="4"/>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Since an intrinsically-motivated learner views learning as a reward, learning is an end. Meanwhile, an extrinsically-motivated learner learns for benefits beyond learning, so learning is a means. The fundamental difference between intrinsic and extrinsic motivation is that the formal one makes learning an end, while the latter makes learning a means.  If we examine learning behaviour driven by integral motivation and instrumental motivation, we may conclude that both kinds of learning serve as a means.  (Raiss, 2012) That is why some researchers find it necessary to differentiate between motivation and orientation, and some even claim that it is more appropriate to name integral or instrumental motivation integral or instrumental orientation (Brown, 2007).</w:t>
      </w:r>
    </w:p>
    <w:p>
      <w:pPr>
        <w:pStyle w:val="4"/>
        <w:jc w:val="both"/>
        <w:rPr>
          <w:rFonts w:hint="eastAsia" w:asciiTheme="minorAscii" w:hAnsiTheme="minorEastAsia"/>
          <w:sz w:val="21"/>
          <w:szCs w:val="21"/>
          <w:lang w:val="en-US" w:eastAsia="zh-CN"/>
        </w:rPr>
      </w:pPr>
    </w:p>
    <w:p>
      <w:pPr>
        <w:pStyle w:val="4"/>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To sum up, schools in linguistics understand motivation in their own theoretical basis. Two main constructs were integral-instrumental continuum and intrinsic-extrinsic continuum. However, if we further examine the above two sets of concepts, we will find it inevitable to conclude that fundamental difference only exists in the second group. </w:t>
      </w:r>
    </w:p>
    <w:p>
      <w:pPr>
        <w:pStyle w:val="4"/>
        <w:jc w:val="both"/>
        <w:rPr>
          <w:rFonts w:hint="eastAsia" w:asciiTheme="minorAscii" w:hAnsiTheme="minorEastAsia"/>
          <w:sz w:val="21"/>
          <w:szCs w:val="21"/>
          <w:lang w:val="en-US" w:eastAsia="zh-CN"/>
        </w:rPr>
      </w:pPr>
    </w:p>
    <w:p>
      <w:pPr>
        <w:numPr>
          <w:ilvl w:val="1"/>
          <w:numId w:val="2"/>
        </w:numPr>
        <w:ind w:left="0" w:leftChars="0" w:firstLine="0" w:firstLineChars="0"/>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Motivation and Second Language Learning</w:t>
      </w:r>
    </w:p>
    <w:p>
      <w:pPr>
        <w:numPr>
          <w:ilvl w:val="0"/>
          <w:numId w:val="0"/>
        </w:numPr>
        <w:ind w:leftChars="0"/>
        <w:jc w:val="both"/>
        <w:rPr>
          <w:rFonts w:hint="eastAsia" w:asciiTheme="minorAscii" w:hAnsiTheme="minorEastAsia" w:cstheme="minorBidi"/>
          <w:b w:val="0"/>
          <w:kern w:val="0"/>
          <w:sz w:val="21"/>
          <w:szCs w:val="21"/>
          <w:lang w:val="en-US" w:eastAsia="zh-CN" w:bidi="ar-SA"/>
        </w:rPr>
      </w:pPr>
      <w:r>
        <w:rPr>
          <w:rFonts w:hint="eastAsia" w:asciiTheme="minorAscii" w:hAnsiTheme="minorEastAsia" w:cstheme="minorBidi"/>
          <w:b w:val="0"/>
          <w:kern w:val="0"/>
          <w:sz w:val="21"/>
          <w:szCs w:val="21"/>
          <w:lang w:val="en-US" w:eastAsia="zh-CN" w:bidi="ar-SA"/>
        </w:rPr>
        <w:t xml:space="preserve">It would be good for a learner to evaluate how strongly is he/her motivated and where does the motivation come from. As is described in previous paragraphs, motivation is closely related to SLL. In Lightbown and Spada’s article, there is no answer to the question of which comes first, motivation or achievement. In reality, both happen. What is important is to keep this pair in a positive cycle. Learners can try to motivate themselves before learning or during learning when they find no sign of progress because that might help to give learning a push; learners can also be more positive to every progress they make in language learning because recognition of every achievement will make them more motivated. </w:t>
      </w:r>
    </w:p>
    <w:p>
      <w:pPr>
        <w:numPr>
          <w:ilvl w:val="0"/>
          <w:numId w:val="0"/>
        </w:numPr>
        <w:ind w:leftChars="0"/>
        <w:jc w:val="both"/>
        <w:rPr>
          <w:rFonts w:hint="default" w:asciiTheme="minorAscii" w:hAnsiTheme="minorEastAsia" w:cstheme="minorBidi"/>
          <w:b w:val="0"/>
          <w:kern w:val="0"/>
          <w:sz w:val="21"/>
          <w:szCs w:val="21"/>
          <w:lang w:val="en-US" w:eastAsia="zh-CN" w:bidi="ar-SA"/>
        </w:rPr>
      </w:pPr>
      <w:r>
        <w:rPr>
          <w:rFonts w:hint="eastAsia" w:asciiTheme="minorAscii" w:hAnsiTheme="minorEastAsia" w:cstheme="minorBidi"/>
          <w:b w:val="0"/>
          <w:kern w:val="0"/>
          <w:sz w:val="21"/>
          <w:szCs w:val="21"/>
          <w:lang w:val="en-US" w:eastAsia="zh-CN" w:bidi="ar-SA"/>
        </w:rPr>
        <w:t>Also, a learner can try to motivate his/herself both in intrinsic and extrinsic way. As for second language learner, to intrinsically motivate oneself might even include to appreciate the culture of target language. Culture and Language tangles are so closely tangling up that if the learner can appreciate the culture, the language learning process might also be facilitated.</w:t>
      </w:r>
    </w:p>
    <w:p>
      <w:pPr>
        <w:numPr>
          <w:ilvl w:val="0"/>
          <w:numId w:val="0"/>
        </w:numPr>
        <w:ind w:leftChars="0"/>
        <w:jc w:val="both"/>
        <w:rPr>
          <w:rFonts w:hint="eastAsia" w:asciiTheme="minorAscii" w:hAnsiTheme="minorEastAsia" w:cstheme="minorBidi"/>
          <w:b w:val="0"/>
          <w:kern w:val="0"/>
          <w:sz w:val="21"/>
          <w:szCs w:val="21"/>
          <w:lang w:val="en-US" w:eastAsia="zh-CN" w:bidi="ar-SA"/>
        </w:rPr>
      </w:pPr>
      <w:r>
        <w:rPr>
          <w:rFonts w:hint="eastAsia" w:asciiTheme="minorAscii" w:hAnsiTheme="minorEastAsia"/>
          <w:sz w:val="21"/>
          <w:szCs w:val="21"/>
          <w:lang w:val="en-US" w:eastAsia="zh-CN"/>
        </w:rPr>
        <w:t>For ESL teachers, motivation factor is different from other factors in a way that teacher can promote student</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s motivation, and by doing so, it is possible for the teacher to improve student</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s learning outcome. So on the teachers</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 xml:space="preserve"> side, they can also try to do this in both intrinsic and extrinsic way. However, teachers should not expect too much on learners</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 xml:space="preserve"> intrinsic motivation. Take primary school education for example. Students are so young that they are naturally prompt to be distracted in classroom.  A survey on middle school students in US also shows a lack of interest of schoolwork (</w:t>
      </w:r>
      <w:r>
        <w:rPr>
          <w:rFonts w:hint="eastAsia" w:asciiTheme="minorAscii" w:hAnsiTheme="minorEastAsia" w:eastAsiaTheme="minorEastAsia" w:cstheme="minorBidi"/>
          <w:b w:val="0"/>
          <w:kern w:val="0"/>
          <w:sz w:val="21"/>
          <w:szCs w:val="21"/>
          <w:lang w:val="en-US" w:eastAsia="zh-CN" w:bidi="ar-SA"/>
        </w:rPr>
        <w:t>Dörnyei</w:t>
      </w:r>
      <w:r>
        <w:rPr>
          <w:rFonts w:hint="eastAsia" w:asciiTheme="minorAscii" w:hAnsiTheme="minorEastAsia" w:cstheme="minorBidi"/>
          <w:b w:val="0"/>
          <w:kern w:val="0"/>
          <w:sz w:val="21"/>
          <w:szCs w:val="21"/>
          <w:lang w:val="en-US" w:eastAsia="zh-CN" w:bidi="ar-SA"/>
        </w:rPr>
        <w:t>, 2001</w:t>
      </w:r>
      <w:r>
        <w:rPr>
          <w:rFonts w:hint="eastAsia" w:asciiTheme="minorAscii" w:hAnsiTheme="minorEastAsia"/>
          <w:sz w:val="21"/>
          <w:szCs w:val="21"/>
          <w:lang w:val="en-US" w:eastAsia="zh-CN"/>
        </w:rPr>
        <w:t xml:space="preserve"> ).  T</w:t>
      </w:r>
      <w:r>
        <w:rPr>
          <w:rFonts w:hint="eastAsia" w:asciiTheme="minorAscii" w:hAnsiTheme="minorEastAsia" w:cstheme="minorBidi"/>
          <w:b w:val="0"/>
          <w:kern w:val="0"/>
          <w:sz w:val="21"/>
          <w:szCs w:val="21"/>
          <w:lang w:val="en-US" w:eastAsia="zh-CN" w:bidi="ar-SA"/>
        </w:rPr>
        <w:t xml:space="preserve">he built-in curiosity does not motivate schoolchildren intrinsically, as what most people would like to believe. Teacher can pay more attention on enhancing extrinsic motivation such as attributing students certain reward after they have any achievement in any stage of task-based learning. </w:t>
      </w:r>
    </w:p>
    <w:p>
      <w:pPr>
        <w:numPr>
          <w:ilvl w:val="0"/>
          <w:numId w:val="0"/>
        </w:numPr>
        <w:ind w:leftChars="0"/>
        <w:jc w:val="both"/>
        <w:rPr>
          <w:rFonts w:hint="eastAsia" w:asciiTheme="minorAscii" w:hAnsiTheme="minorEastAsia" w:cstheme="minorBidi"/>
          <w:b w:val="0"/>
          <w:kern w:val="0"/>
          <w:sz w:val="21"/>
          <w:szCs w:val="21"/>
          <w:lang w:val="en-US" w:eastAsia="zh-CN" w:bidi="ar-SA"/>
        </w:rPr>
      </w:pPr>
    </w:p>
    <w:p>
      <w:pPr>
        <w:numPr>
          <w:ilvl w:val="0"/>
          <w:numId w:val="0"/>
        </w:numPr>
        <w:ind w:leftChars="0"/>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 xml:space="preserve">3. Brief Reflection on  </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Factors Affecting Second Language Learning</w:t>
      </w:r>
      <w:r>
        <w:rPr>
          <w:rFonts w:hint="default" w:asciiTheme="minorAscii" w:hAnsiTheme="minorEastAsia"/>
          <w:sz w:val="21"/>
          <w:szCs w:val="21"/>
          <w:lang w:val="en-US" w:eastAsia="zh-CN"/>
        </w:rPr>
        <w:t>’</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This article is helpful for those who want a quick introduction on how multiple factors might play and interplay in the second language learning scenario. What impresses me most is how the reviewed article reminds its readers that careful thinking is necessary before answering classic questions such as what kinds of personality is beneficial to L2 learning or is L2 leaning the younger the better. </w:t>
      </w:r>
    </w:p>
    <w:p>
      <w:pPr>
        <w:numPr>
          <w:ilvl w:val="0"/>
          <w:numId w:val="0"/>
        </w:numPr>
        <w:ind w:leftChars="0"/>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 xml:space="preserve">It is important for teachers to bear in mind that none of the factors is in a dominant position. To understand CPH is not to give up adult learner and impose teaching on the younger learner. To know a student’s age is to know whether language can be formed as procedural memory or declarative memory, and then to choose the most effective and tailored teaching method. To know how intelligence and aptitude mean to L2 learning is to realize that people’s intelligence and aptitude are so diverse that teaching should not be confined in one set mode. To know motivation is to an entire pack of motivation tools is needed to cope with the complexity of different situations. I agree with </w:t>
      </w:r>
      <w:r>
        <w:rPr>
          <w:rFonts w:hint="eastAsia" w:asciiTheme="minorAscii" w:hAnsiTheme="minorEastAsia" w:eastAsiaTheme="minorEastAsia" w:cstheme="minorBidi"/>
          <w:b w:val="0"/>
          <w:kern w:val="0"/>
          <w:sz w:val="21"/>
          <w:szCs w:val="21"/>
          <w:lang w:val="en-US" w:eastAsia="zh-CN" w:bidi="ar-SA"/>
        </w:rPr>
        <w:t>Dörnyei</w:t>
      </w:r>
      <w:r>
        <w:rPr>
          <w:rFonts w:hint="eastAsia" w:asciiTheme="minorAscii" w:hAnsiTheme="minorEastAsia"/>
          <w:sz w:val="21"/>
          <w:szCs w:val="21"/>
          <w:lang w:val="en-US" w:eastAsia="zh-CN"/>
        </w:rPr>
        <w:t xml:space="preserve"> on his remark on motivation study, when he points out it is not a good idea to look for simple answer to a complicated question (</w:t>
      </w:r>
      <w:r>
        <w:rPr>
          <w:rFonts w:hint="eastAsia" w:asciiTheme="minorAscii" w:hAnsiTheme="minorEastAsia" w:eastAsiaTheme="minorEastAsia" w:cstheme="minorBidi"/>
          <w:b w:val="0"/>
          <w:kern w:val="0"/>
          <w:sz w:val="21"/>
          <w:szCs w:val="21"/>
          <w:lang w:val="en-US" w:eastAsia="zh-CN" w:bidi="ar-SA"/>
        </w:rPr>
        <w:t>Dörnyei</w:t>
      </w:r>
      <w:r>
        <w:rPr>
          <w:rFonts w:hint="eastAsia" w:asciiTheme="minorAscii" w:hAnsiTheme="minorEastAsia" w:cstheme="minorBidi"/>
          <w:b w:val="0"/>
          <w:kern w:val="0"/>
          <w:sz w:val="21"/>
          <w:szCs w:val="21"/>
          <w:lang w:val="en-US" w:eastAsia="zh-CN" w:bidi="ar-SA"/>
        </w:rPr>
        <w:t>, 2001</w:t>
      </w:r>
      <w:r>
        <w:rPr>
          <w:rFonts w:hint="eastAsia" w:asciiTheme="minorAscii" w:hAnsiTheme="minorEastAsia"/>
          <w:sz w:val="21"/>
          <w:szCs w:val="21"/>
          <w:lang w:val="en-US" w:eastAsia="zh-CN"/>
        </w:rPr>
        <w:t xml:space="preserve"> ). </w:t>
      </w:r>
    </w:p>
    <w:p>
      <w:pPr>
        <w:numPr>
          <w:ilvl w:val="0"/>
          <w:numId w:val="0"/>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Reference</w:t>
      </w:r>
    </w:p>
    <w:p>
      <w:pPr>
        <w:numPr>
          <w:ilvl w:val="0"/>
          <w:numId w:val="3"/>
        </w:numPr>
        <w:ind w:leftChars="0"/>
        <w:jc w:val="both"/>
        <w:rPr>
          <w:rFonts w:hint="default" w:asciiTheme="minorAscii" w:hAnsiTheme="minorEastAsia" w:eastAsiaTheme="minorEastAsia" w:cstheme="minorBidi"/>
          <w:b w:val="0"/>
          <w:kern w:val="0"/>
          <w:sz w:val="21"/>
          <w:szCs w:val="21"/>
          <w:lang w:val="en-US" w:eastAsia="zh-CN" w:bidi="ar-SA"/>
        </w:rPr>
      </w:pPr>
      <w:r>
        <w:rPr>
          <w:rFonts w:hint="eastAsia" w:asciiTheme="minorAscii" w:hAnsiTheme="minorEastAsia"/>
          <w:sz w:val="21"/>
          <w:szCs w:val="21"/>
          <w:lang w:val="en-US" w:eastAsia="zh-CN"/>
        </w:rPr>
        <w:t xml:space="preserve">Brown, H.D., 2007. </w:t>
      </w:r>
      <w:r>
        <w:rPr>
          <w:rFonts w:hint="eastAsia" w:asciiTheme="minorAscii" w:hAnsiTheme="minorEastAsia"/>
          <w:i/>
          <w:iCs/>
          <w:sz w:val="21"/>
          <w:szCs w:val="21"/>
          <w:lang w:val="en-US" w:eastAsia="zh-CN"/>
        </w:rPr>
        <w:t>Principles of language learning and teaching</w:t>
      </w:r>
      <w:r>
        <w:rPr>
          <w:rFonts w:hint="eastAsia" w:asciiTheme="minorAscii" w:hAnsiTheme="minorEastAsia"/>
          <w:sz w:val="21"/>
          <w:szCs w:val="21"/>
          <w:lang w:val="en-US" w:eastAsia="zh-CN"/>
        </w:rPr>
        <w:t xml:space="preserve"> 5th ed., White Plains, NY: Pearson</w:t>
      </w:r>
    </w:p>
    <w:p>
      <w:pPr>
        <w:numPr>
          <w:ilvl w:val="0"/>
          <w:numId w:val="3"/>
        </w:numPr>
        <w:ind w:leftChars="0"/>
        <w:jc w:val="both"/>
        <w:rPr>
          <w:rFonts w:hint="default" w:asciiTheme="minorAscii" w:hAnsiTheme="minorEastAsia" w:eastAsiaTheme="minorEastAsia" w:cstheme="minorBidi"/>
          <w:b w:val="0"/>
          <w:kern w:val="0"/>
          <w:sz w:val="21"/>
          <w:szCs w:val="21"/>
          <w:lang w:val="en-US" w:eastAsia="zh-CN" w:bidi="ar-SA"/>
        </w:rPr>
      </w:pPr>
      <w:r>
        <w:rPr>
          <w:rFonts w:hint="eastAsia" w:asciiTheme="minorAscii" w:hAnsiTheme="minorEastAsia" w:eastAsiaTheme="minorEastAsia" w:cstheme="minorBidi"/>
          <w:b w:val="0"/>
          <w:kern w:val="0"/>
          <w:sz w:val="21"/>
          <w:szCs w:val="21"/>
          <w:lang w:val="en-US" w:eastAsia="zh-CN" w:bidi="ar-SA"/>
        </w:rPr>
        <w:t xml:space="preserve">Dörnyei, Z. and Schmidt, R. (2001) </w:t>
      </w:r>
      <w:r>
        <w:rPr>
          <w:rFonts w:hint="default" w:asciiTheme="minorAscii" w:hAnsiTheme="minorEastAsia" w:eastAsiaTheme="minorEastAsia" w:cstheme="minorBidi"/>
          <w:b w:val="0"/>
          <w:i/>
          <w:iCs/>
          <w:kern w:val="0"/>
          <w:sz w:val="21"/>
          <w:szCs w:val="21"/>
          <w:lang w:val="en-US" w:eastAsia="zh-CN" w:bidi="ar-SA"/>
        </w:rPr>
        <w:t>Motivation and Second Language Acquisition</w:t>
      </w:r>
      <w:r>
        <w:rPr>
          <w:rFonts w:hint="eastAsia" w:asciiTheme="minorAscii" w:hAnsiTheme="minorEastAsia" w:eastAsiaTheme="minorEastAsia" w:cstheme="minorBidi"/>
          <w:b w:val="0"/>
          <w:kern w:val="0"/>
          <w:sz w:val="21"/>
          <w:szCs w:val="21"/>
          <w:lang w:val="en-US" w:eastAsia="zh-CN" w:bidi="ar-SA"/>
        </w:rPr>
        <w:t>. New York: Cambridge University Press</w:t>
      </w:r>
    </w:p>
    <w:p>
      <w:pPr>
        <w:numPr>
          <w:ilvl w:val="0"/>
          <w:numId w:val="3"/>
        </w:numPr>
        <w:ind w:leftChars="0"/>
        <w:jc w:val="both"/>
        <w:rPr>
          <w:rFonts w:hint="eastAsia" w:asciiTheme="minorAscii" w:hAnsiTheme="minorEastAsia"/>
          <w:sz w:val="21"/>
          <w:szCs w:val="21"/>
          <w:lang w:val="en-US" w:eastAsia="zh-CN"/>
        </w:rPr>
      </w:pPr>
      <w:r>
        <w:rPr>
          <w:rFonts w:hint="eastAsia" w:asciiTheme="minorAscii" w:hAnsiTheme="minorEastAsia"/>
          <w:sz w:val="21"/>
          <w:szCs w:val="21"/>
          <w:lang w:val="en-US" w:eastAsia="zh-CN"/>
        </w:rPr>
        <w:t xml:space="preserve">Lightbown, P.M. and Spada, N(2000) </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Factors Affecting Second Language Learning</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 in Candlin, C.N. &amp; Mercer, N., 2000.</w:t>
      </w:r>
      <w:r>
        <w:rPr>
          <w:rFonts w:hint="default" w:asciiTheme="minorAscii" w:hAnsiTheme="minorEastAsia"/>
          <w:sz w:val="21"/>
          <w:szCs w:val="21"/>
          <w:lang w:val="en-US" w:eastAsia="zh-CN"/>
        </w:rPr>
        <w:t> English language teaching in its social context / edited by Christopher N. Candlin and Neil Mercer., London: Routledge.</w:t>
      </w:r>
    </w:p>
    <w:p>
      <w:pPr>
        <w:numPr>
          <w:ilvl w:val="0"/>
          <w:numId w:val="3"/>
        </w:numPr>
        <w:ind w:leftChars="0"/>
        <w:jc w:val="both"/>
        <w:rPr>
          <w:rFonts w:hint="default" w:asciiTheme="minorAscii" w:hAnsiTheme="minorEastAsia"/>
          <w:sz w:val="21"/>
          <w:szCs w:val="21"/>
          <w:lang w:val="en-US" w:eastAsia="zh-CN"/>
        </w:rPr>
      </w:pPr>
      <w:r>
        <w:rPr>
          <w:rFonts w:hint="eastAsia" w:asciiTheme="minorAscii" w:hAnsiTheme="minorEastAsia"/>
          <w:sz w:val="21"/>
          <w:szCs w:val="21"/>
          <w:lang w:val="en-US" w:eastAsia="zh-CN"/>
        </w:rPr>
        <w:t xml:space="preserve">Crookes, L.G. and Schmidt, R.W. (1991) </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Motivation: Reopening the Research Agenda</w:t>
      </w:r>
      <w:r>
        <w:rPr>
          <w:rFonts w:hint="default" w:asciiTheme="minorAscii" w:hAnsiTheme="minorEastAsia"/>
          <w:sz w:val="21"/>
          <w:szCs w:val="21"/>
          <w:lang w:val="en-US" w:eastAsia="zh-CN"/>
        </w:rPr>
        <w:t>’</w:t>
      </w:r>
      <w:r>
        <w:rPr>
          <w:rFonts w:hint="eastAsia" w:asciiTheme="minorAscii" w:hAnsiTheme="minorEastAsia"/>
          <w:sz w:val="21"/>
          <w:szCs w:val="21"/>
          <w:lang w:val="en-US" w:eastAsia="zh-CN"/>
        </w:rPr>
        <w:t xml:space="preserve"> Language Learning 41(4), pp. 473-474. </w:t>
      </w:r>
    </w:p>
    <w:p>
      <w:pPr>
        <w:numPr>
          <w:ilvl w:val="0"/>
          <w:numId w:val="3"/>
        </w:numPr>
        <w:ind w:leftChars="0"/>
        <w:jc w:val="both"/>
        <w:rPr>
          <w:rFonts w:hint="default" w:asciiTheme="minorAscii" w:hAnsiTheme="minorEastAsia"/>
          <w:sz w:val="21"/>
          <w:szCs w:val="21"/>
          <w:lang w:val="en-US" w:eastAsia="zh-CN"/>
        </w:rPr>
      </w:pPr>
      <w:r>
        <w:rPr>
          <w:rFonts w:hint="default" w:asciiTheme="minorAscii" w:hAnsiTheme="minorEastAsia"/>
          <w:sz w:val="21"/>
          <w:szCs w:val="21"/>
          <w:lang w:val="en-US" w:eastAsia="zh-CN"/>
        </w:rPr>
        <w:t xml:space="preserve"> Reiss, S. (2012) ‘Intrinsic and Extrinsic Motivation’, Teaching of Psychology, 39(2), pp. 152–156. doi: 10.1177/0098628312437704.</w:t>
      </w:r>
    </w:p>
    <w:p>
      <w:pPr>
        <w:numPr>
          <w:ilvl w:val="0"/>
          <w:numId w:val="0"/>
        </w:numPr>
        <w:jc w:val="both"/>
        <w:rPr>
          <w:rFonts w:hint="eastAsia" w:asciiTheme="minorEastAsia" w:hAnsiTheme="minorEastAsia"/>
          <w:sz w:val="21"/>
          <w:szCs w:val="21"/>
          <w:lang w:val="en-US" w:eastAsia="zh-CN"/>
        </w:rPr>
      </w:pPr>
    </w:p>
    <w:p>
      <w:pPr>
        <w:numPr>
          <w:ilvl w:val="0"/>
          <w:numId w:val="0"/>
        </w:numPr>
        <w:ind w:leftChars="0"/>
        <w:jc w:val="both"/>
        <w:rPr>
          <w:rFonts w:hint="default" w:asciiTheme="minorEastAsia" w:hAnsiTheme="minorEastAsia"/>
          <w:sz w:val="21"/>
          <w:szCs w:val="21"/>
          <w:lang w:val="en-US" w:eastAsia="zh-CN"/>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E33C380"/>
    <w:multiLevelType w:val="singleLevel"/>
    <w:tmpl w:val="8E33C380"/>
    <w:lvl w:ilvl="0" w:tentative="0">
      <w:start w:val="1"/>
      <w:numFmt w:val="decimal"/>
      <w:suff w:val="space"/>
      <w:lvlText w:val="%1."/>
      <w:lvlJc w:val="left"/>
    </w:lvl>
  </w:abstractNum>
  <w:abstractNum w:abstractNumId="1">
    <w:nsid w:val="DD8E4E01"/>
    <w:multiLevelType w:val="multilevel"/>
    <w:tmpl w:val="DD8E4E01"/>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7A3C3C05"/>
    <w:multiLevelType w:val="singleLevel"/>
    <w:tmpl w:val="7A3C3C05"/>
    <w:lvl w:ilvl="0" w:tentative="0">
      <w:start w:val="1"/>
      <w:numFmt w:val="decimal"/>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24C2"/>
    <w:rsid w:val="00242A74"/>
    <w:rsid w:val="004148C4"/>
    <w:rsid w:val="004E6C9B"/>
    <w:rsid w:val="006A18CE"/>
    <w:rsid w:val="0079411A"/>
    <w:rsid w:val="00BB04EB"/>
    <w:rsid w:val="00D824C2"/>
    <w:rsid w:val="0BC51DF2"/>
    <w:rsid w:val="1D3638E3"/>
    <w:rsid w:val="1DDC6063"/>
    <w:rsid w:val="26445A0D"/>
    <w:rsid w:val="27022696"/>
    <w:rsid w:val="37694116"/>
    <w:rsid w:val="3DC9672A"/>
    <w:rsid w:val="46284000"/>
    <w:rsid w:val="4E326027"/>
    <w:rsid w:val="53220997"/>
    <w:rsid w:val="545005EF"/>
    <w:rsid w:val="5EEA1E4E"/>
    <w:rsid w:val="5F554C59"/>
    <w:rsid w:val="6E312FFC"/>
    <w:rsid w:val="6FFF4FC9"/>
    <w:rsid w:val="78D66D66"/>
    <w:rsid w:val="79482355"/>
    <w:rsid w:val="7EDA53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9"/>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3"/>
    <w:basedOn w:val="1"/>
    <w:next w:val="1"/>
    <w:semiHidden/>
    <w:unhideWhenUsed/>
    <w:qFormat/>
    <w:uiPriority w:val="9"/>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7">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13"/>
    <w:semiHidden/>
    <w:unhideWhenUsed/>
    <w:qFormat/>
    <w:uiPriority w:val="99"/>
    <w:pPr>
      <w:spacing w:after="0" w:line="240" w:lineRule="auto"/>
    </w:pPr>
    <w:rPr>
      <w:rFonts w:ascii="Times New Roman" w:hAnsi="Times New Roman" w:eastAsia="宋体" w:cs="Times New Roman"/>
      <w:color w:val="000000"/>
      <w:sz w:val="20"/>
      <w:szCs w:val="20"/>
      <w:lang w:eastAsia="en-US"/>
    </w:rPr>
  </w:style>
  <w:style w:type="paragraph" w:styleId="5">
    <w:name w:val="Balloon Text"/>
    <w:basedOn w:val="1"/>
    <w:link w:val="14"/>
    <w:semiHidden/>
    <w:unhideWhenUsed/>
    <w:qFormat/>
    <w:uiPriority w:val="99"/>
    <w:pPr>
      <w:spacing w:after="0" w:line="240" w:lineRule="auto"/>
    </w:pPr>
    <w:rPr>
      <w:rFonts w:ascii="Segoe UI" w:hAnsi="Segoe UI" w:cs="Segoe UI"/>
      <w:sz w:val="18"/>
      <w:szCs w:val="18"/>
    </w:rPr>
  </w:style>
  <w:style w:type="character" w:styleId="8">
    <w:name w:val="Emphasis"/>
    <w:basedOn w:val="7"/>
    <w:qFormat/>
    <w:uiPriority w:val="20"/>
    <w:rPr>
      <w:i/>
    </w:rPr>
  </w:style>
  <w:style w:type="character" w:styleId="9">
    <w:name w:val="Hyperlink"/>
    <w:basedOn w:val="7"/>
    <w:semiHidden/>
    <w:unhideWhenUsed/>
    <w:uiPriority w:val="99"/>
    <w:rPr>
      <w:color w:val="0000FF"/>
      <w:u w:val="single"/>
    </w:rPr>
  </w:style>
  <w:style w:type="character" w:styleId="10">
    <w:name w:val="annotation reference"/>
    <w:semiHidden/>
    <w:unhideWhenUsed/>
    <w:qFormat/>
    <w:uiPriority w:val="99"/>
    <w:rPr>
      <w:sz w:val="16"/>
      <w:szCs w:val="16"/>
    </w:rPr>
  </w:style>
  <w:style w:type="paragraph" w:styleId="11">
    <w:name w:val="List Paragraph"/>
    <w:basedOn w:val="1"/>
    <w:qFormat/>
    <w:uiPriority w:val="34"/>
    <w:pPr>
      <w:ind w:left="720"/>
      <w:contextualSpacing/>
    </w:pPr>
  </w:style>
  <w:style w:type="paragraph" w:customStyle="1" w:styleId="12">
    <w:name w:val="OmniPage #2"/>
    <w:basedOn w:val="1"/>
    <w:qFormat/>
    <w:uiPriority w:val="0"/>
    <w:pPr>
      <w:spacing w:after="0" w:line="240" w:lineRule="auto"/>
    </w:pPr>
    <w:rPr>
      <w:rFonts w:ascii="Times New Roman" w:hAnsi="Times New Roman" w:eastAsia="宋体" w:cs="Times New Roman"/>
      <w:color w:val="000000"/>
      <w:sz w:val="20"/>
      <w:szCs w:val="20"/>
      <w:lang w:eastAsia="en-US"/>
    </w:rPr>
  </w:style>
  <w:style w:type="character" w:customStyle="1" w:styleId="13">
    <w:name w:val="Comment Text Char"/>
    <w:basedOn w:val="7"/>
    <w:link w:val="4"/>
    <w:semiHidden/>
    <w:qFormat/>
    <w:uiPriority w:val="99"/>
    <w:rPr>
      <w:rFonts w:ascii="Times New Roman" w:hAnsi="Times New Roman" w:eastAsia="宋体" w:cs="Times New Roman"/>
      <w:color w:val="000000"/>
      <w:sz w:val="20"/>
      <w:szCs w:val="20"/>
      <w:lang w:eastAsia="en-US"/>
    </w:rPr>
  </w:style>
  <w:style w:type="character" w:customStyle="1" w:styleId="14">
    <w:name w:val="Balloon Text Char"/>
    <w:basedOn w:val="7"/>
    <w:link w:val="5"/>
    <w:semiHidden/>
    <w:qFormat/>
    <w:uiPriority w:val="99"/>
    <w:rPr>
      <w:rFonts w:ascii="Segoe UI" w:hAnsi="Segoe UI" w:cs="Segoe UI"/>
      <w:sz w:val="18"/>
      <w:szCs w:val="18"/>
    </w:rPr>
  </w:style>
  <w:style w:type="paragraph" w:customStyle="1" w:styleId="15">
    <w:name w:val="OmniPage #3"/>
    <w:basedOn w:val="1"/>
    <w:qFormat/>
    <w:uiPriority w:val="0"/>
    <w:pPr>
      <w:spacing w:after="0" w:line="240" w:lineRule="auto"/>
    </w:pPr>
    <w:rPr>
      <w:rFonts w:ascii="Times New Roman" w:hAnsi="Times New Roman" w:eastAsia="宋体" w:cs="Times New Roman"/>
      <w:color w:val="000000"/>
      <w:sz w:val="20"/>
      <w:szCs w:val="20"/>
      <w:lang w:eastAsia="en-US"/>
    </w:rPr>
  </w:style>
  <w:style w:type="paragraph" w:customStyle="1" w:styleId="16">
    <w:name w:val="OmniPage #1"/>
    <w:basedOn w:val="1"/>
    <w:qFormat/>
    <w:uiPriority w:val="0"/>
    <w:pPr>
      <w:spacing w:after="0" w:line="240" w:lineRule="auto"/>
    </w:pPr>
    <w:rPr>
      <w:rFonts w:ascii="Times New Roman" w:hAnsi="Times New Roman" w:eastAsia="宋体" w:cs="Times New Roman"/>
      <w:color w:val="000000"/>
      <w:sz w:val="20"/>
      <w:szCs w:val="20"/>
      <w:lang w:eastAsia="en-U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Pages>
  <Words>81</Words>
  <Characters>465</Characters>
  <Lines>3</Lines>
  <Paragraphs>1</Paragraphs>
  <TotalTime>14</TotalTime>
  <ScaleCrop>false</ScaleCrop>
  <LinksUpToDate>false</LinksUpToDate>
  <CharactersWithSpaces>545</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2020-03-01T15:40:00Z</dcterms:created>
  <dc:creator>Li Chen (1915022)</dc:creator>
  <cp:lastModifiedBy>励</cp:lastModifiedBy>
  <dcterms:modified xsi:type="dcterms:W3CDTF">2020-03-27T07:45:27Z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