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EA046"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noProof/>
          <w:color w:val="000000"/>
          <w:sz w:val="40"/>
          <w:szCs w:val="40"/>
        </w:rPr>
        <w:drawing>
          <wp:inline distT="0" distB="0" distL="0" distR="0" wp14:anchorId="548C5BFF" wp14:editId="27B22FE3">
            <wp:extent cx="2762250" cy="1343025"/>
            <wp:effectExtent l="0" t="0" r="0" b="0"/>
            <wp:docPr id="102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8" cstate="print"/>
                    <a:srcRect/>
                    <a:stretch/>
                  </pic:blipFill>
                  <pic:spPr>
                    <a:xfrm>
                      <a:off x="0" y="0"/>
                      <a:ext cx="2762250" cy="1343025"/>
                    </a:xfrm>
                    <a:prstGeom prst="rect">
                      <a:avLst/>
                    </a:prstGeom>
                    <a:ln w="9525" cap="flat" cmpd="sng">
                      <a:solidFill>
                        <a:srgbClr val="000000"/>
                      </a:solidFill>
                      <a:prstDash val="solid"/>
                      <a:round/>
                      <a:headEnd type="none" w="med" len="med"/>
                      <a:tailEnd type="none" w="med" len="med"/>
                    </a:ln>
                  </pic:spPr>
                </pic:pic>
              </a:graphicData>
            </a:graphic>
          </wp:inline>
        </w:drawing>
      </w:r>
    </w:p>
    <w:p w14:paraId="13C757F4" w14:textId="77777777" w:rsidR="00CB4971" w:rsidRDefault="00CB497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40"/>
          <w:szCs w:val="40"/>
        </w:rPr>
      </w:pPr>
    </w:p>
    <w:p w14:paraId="6185E54C"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Marketing Management</w:t>
      </w:r>
    </w:p>
    <w:p w14:paraId="68BA78E6"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Master of Business Administration</w:t>
      </w:r>
    </w:p>
    <w:p w14:paraId="54BD0172"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LCMB7024</w:t>
      </w:r>
    </w:p>
    <w:p w14:paraId="71ED4FD9"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p w14:paraId="381D2514"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p w14:paraId="512443CF"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p w14:paraId="774A4A57"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Marketing Environment Analysis</w:t>
      </w:r>
    </w:p>
    <w:p w14:paraId="7812EC41"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8FE752C"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24E1E0B1"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875B9A0"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275EE201"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7E1100A6"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D52DAA9" w14:textId="77777777" w:rsidR="00CB4971" w:rsidRDefault="00CB497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1E9B7710" w14:textId="738EBC81"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Student name:</w:t>
      </w:r>
      <w:r w:rsidR="009A11ED">
        <w:rPr>
          <w:rFonts w:ascii="Times New Roman" w:eastAsia="Times New Roman" w:hAnsi="Times New Roman" w:cs="Times New Roman"/>
          <w:i/>
          <w:iCs/>
          <w:color w:val="000000"/>
          <w:sz w:val="24"/>
          <w:szCs w:val="24"/>
        </w:rPr>
        <w:t xml:space="preserve"> </w:t>
      </w:r>
      <w:r>
        <w:rPr>
          <w:rFonts w:ascii="Times New Roman" w:eastAsia="Times New Roman" w:hAnsi="Times New Roman" w:cs="Times New Roman"/>
          <w:i/>
          <w:iCs/>
          <w:color w:val="000000"/>
          <w:sz w:val="24"/>
          <w:szCs w:val="24"/>
        </w:rPr>
        <w:t>Dhruv Ishwardas Dudharejiya</w:t>
      </w:r>
    </w:p>
    <w:p w14:paraId="4D33696B"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Student ID:2538983</w:t>
      </w:r>
    </w:p>
    <w:p w14:paraId="48600816" w14:textId="5AA0B46D" w:rsidR="00CB4971" w:rsidRDefault="009A11ED">
      <w:pPr>
        <w:pStyle w:val="Normal1"/>
        <w:pBdr>
          <w:top w:val="nil"/>
          <w:left w:val="nil"/>
          <w:bottom w:val="nil"/>
          <w:right w:val="nil"/>
          <w:between w:val="nil"/>
        </w:pBdr>
        <w:spacing w:line="36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Lecturer’s </w:t>
      </w:r>
      <w:r w:rsidR="00FF656C">
        <w:rPr>
          <w:rFonts w:ascii="Times New Roman" w:eastAsia="Times New Roman" w:hAnsi="Times New Roman" w:cs="Times New Roman"/>
          <w:i/>
          <w:iCs/>
          <w:color w:val="000000"/>
          <w:sz w:val="24"/>
          <w:szCs w:val="24"/>
        </w:rPr>
        <w:t>N</w:t>
      </w:r>
      <w:r>
        <w:rPr>
          <w:rFonts w:ascii="Times New Roman" w:eastAsia="Times New Roman" w:hAnsi="Times New Roman" w:cs="Times New Roman"/>
          <w:i/>
          <w:iCs/>
          <w:color w:val="000000"/>
          <w:sz w:val="24"/>
          <w:szCs w:val="24"/>
        </w:rPr>
        <w:t>ame: Tushara Balendran</w:t>
      </w:r>
    </w:p>
    <w:p w14:paraId="27230225"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Word count: 2498</w:t>
      </w:r>
    </w:p>
    <w:p w14:paraId="05160A3B" w14:textId="77777777" w:rsidR="00CB4971" w:rsidRDefault="00CB4971">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3993232B" w14:textId="77777777" w:rsidR="00CB4971" w:rsidRDefault="00000000">
      <w:pPr>
        <w:pStyle w:val="Normal1"/>
        <w:rPr>
          <w:rFonts w:ascii="Times New Roman" w:eastAsia="Times New Roman" w:hAnsi="Times New Roman" w:cs="Times New Roman"/>
          <w:i/>
          <w:iCs/>
          <w:sz w:val="24"/>
          <w:szCs w:val="24"/>
        </w:rPr>
      </w:pPr>
      <w:r>
        <w:br w:type="page"/>
      </w:r>
    </w:p>
    <w:p w14:paraId="5CB90921" w14:textId="77777777" w:rsidR="00CB4971" w:rsidRDefault="00000000">
      <w:pPr>
        <w:pStyle w:val="Normal1"/>
        <w:keepNext/>
        <w:keepLines/>
        <w:pBdr>
          <w:top w:val="nil"/>
          <w:left w:val="nil"/>
          <w:bottom w:val="nil"/>
          <w:right w:val="nil"/>
          <w:between w:val="nil"/>
        </w:pBdr>
        <w:spacing w:before="48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p w14:paraId="41A00F07" w14:textId="77777777" w:rsidR="00CB4971" w:rsidRDefault="00000000">
      <w:pPr>
        <w:pStyle w:val="TOC1"/>
        <w:tabs>
          <w:tab w:val="right" w:leader="dot" w:pos="9350"/>
        </w:tabs>
        <w:spacing w:line="360" w:lineRule="auto"/>
        <w:jc w:val="both"/>
        <w:rPr>
          <w:rFonts w:ascii="Times New Roman" w:hAnsi="Times New Roman" w:cs="Times New Roman"/>
          <w:noProof/>
          <w:sz w:val="24"/>
        </w:rPr>
      </w:pPr>
      <w:r>
        <w:fldChar w:fldCharType="begin"/>
      </w:r>
      <w:r>
        <w:instrText xml:space="preserve"> TOC \h \u \z \t "Heading 1,1,Heading 2,2,Heading 3,3,"</w:instrText>
      </w:r>
      <w:r>
        <w:fldChar w:fldCharType="separate"/>
      </w:r>
      <w:hyperlink w:anchor="_Toc235698980" w:history="1">
        <w:r w:rsidR="00CB4971">
          <w:rPr>
            <w:rStyle w:val="Hyperlink"/>
            <w:rFonts w:ascii="Times New Roman" w:hAnsi="Times New Roman" w:cs="Times New Roman"/>
            <w:noProof/>
            <w:sz w:val="24"/>
          </w:rPr>
          <w:t>Introduction</w:t>
        </w:r>
        <w:r w:rsidR="00CB4971">
          <w:rPr>
            <w:rFonts w:ascii="Times New Roman" w:hAnsi="Times New Roman" w:cs="Times New Roman"/>
            <w:noProof/>
            <w:webHidden/>
            <w:sz w:val="24"/>
          </w:rPr>
          <w:tab/>
        </w:r>
        <w:r w:rsidR="00CB4971">
          <w:rPr>
            <w:rFonts w:ascii="Times New Roman" w:hAnsi="Times New Roman" w:cs="Times New Roman"/>
            <w:noProof/>
            <w:webHidden/>
            <w:sz w:val="24"/>
          </w:rPr>
          <w:fldChar w:fldCharType="begin"/>
        </w:r>
        <w:r w:rsidR="00CB4971">
          <w:rPr>
            <w:rFonts w:ascii="Times New Roman" w:hAnsi="Times New Roman" w:cs="Times New Roman"/>
            <w:noProof/>
            <w:webHidden/>
            <w:sz w:val="24"/>
          </w:rPr>
          <w:instrText xml:space="preserve"> PAGEREF _Toc235698980 \h </w:instrText>
        </w:r>
        <w:r w:rsidR="00CB4971">
          <w:rPr>
            <w:rFonts w:ascii="Times New Roman" w:hAnsi="Times New Roman" w:cs="Times New Roman"/>
            <w:noProof/>
            <w:webHidden/>
            <w:sz w:val="24"/>
          </w:rPr>
        </w:r>
        <w:r w:rsidR="00CB4971">
          <w:rPr>
            <w:rFonts w:ascii="Times New Roman" w:hAnsi="Times New Roman" w:cs="Times New Roman"/>
            <w:noProof/>
            <w:webHidden/>
            <w:sz w:val="24"/>
          </w:rPr>
          <w:fldChar w:fldCharType="separate"/>
        </w:r>
        <w:r w:rsidR="00CB4971">
          <w:rPr>
            <w:rFonts w:ascii="Times New Roman" w:hAnsi="Times New Roman" w:cs="Times New Roman"/>
            <w:noProof/>
            <w:webHidden/>
            <w:sz w:val="24"/>
          </w:rPr>
          <w:t>3</w:t>
        </w:r>
        <w:r w:rsidR="00CB4971">
          <w:rPr>
            <w:rFonts w:ascii="Times New Roman" w:hAnsi="Times New Roman" w:cs="Times New Roman"/>
            <w:noProof/>
            <w:webHidden/>
            <w:sz w:val="24"/>
          </w:rPr>
          <w:fldChar w:fldCharType="end"/>
        </w:r>
      </w:hyperlink>
    </w:p>
    <w:p w14:paraId="346D69CB"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1" w:history="1">
        <w:r>
          <w:rPr>
            <w:rStyle w:val="Hyperlink"/>
            <w:rFonts w:ascii="Times New Roman" w:hAnsi="Times New Roman" w:cs="Times New Roman"/>
            <w:noProof/>
            <w:sz w:val="24"/>
          </w:rPr>
          <w:t>Task 1: Marketing Environment Analysis</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_Toc235698981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3</w:t>
        </w:r>
        <w:r>
          <w:rPr>
            <w:rFonts w:ascii="Times New Roman" w:hAnsi="Times New Roman" w:cs="Times New Roman"/>
            <w:noProof/>
            <w:webHidden/>
            <w:sz w:val="24"/>
          </w:rPr>
          <w:fldChar w:fldCharType="end"/>
        </w:r>
      </w:hyperlink>
    </w:p>
    <w:p w14:paraId="648059F3"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2" w:history="1">
        <w:r>
          <w:rPr>
            <w:rStyle w:val="Hyperlink"/>
            <w:rFonts w:ascii="Times New Roman" w:hAnsi="Times New Roman" w:cs="Times New Roman"/>
            <w:noProof/>
            <w:sz w:val="24"/>
          </w:rPr>
          <w:t>Task 2: Strategic Growth and Competitive Positioning</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_Toc235698982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6</w:t>
        </w:r>
        <w:r>
          <w:rPr>
            <w:rFonts w:ascii="Times New Roman" w:hAnsi="Times New Roman" w:cs="Times New Roman"/>
            <w:noProof/>
            <w:webHidden/>
            <w:sz w:val="24"/>
          </w:rPr>
          <w:fldChar w:fldCharType="end"/>
        </w:r>
      </w:hyperlink>
    </w:p>
    <w:p w14:paraId="2B07AAE0"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3" w:history="1">
        <w:r>
          <w:rPr>
            <w:rStyle w:val="Hyperlink"/>
            <w:rFonts w:ascii="Times New Roman" w:hAnsi="Times New Roman" w:cs="Times New Roman"/>
            <w:noProof/>
            <w:sz w:val="24"/>
          </w:rPr>
          <w:t>Task 3: Critical Reflection on AI Usage</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_Toc235698983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9</w:t>
        </w:r>
        <w:r>
          <w:rPr>
            <w:rFonts w:ascii="Times New Roman" w:hAnsi="Times New Roman" w:cs="Times New Roman"/>
            <w:noProof/>
            <w:webHidden/>
            <w:sz w:val="24"/>
          </w:rPr>
          <w:fldChar w:fldCharType="end"/>
        </w:r>
      </w:hyperlink>
    </w:p>
    <w:p w14:paraId="603326EB"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4" w:history="1">
        <w:r>
          <w:rPr>
            <w:rStyle w:val="Hyperlink"/>
            <w:rFonts w:ascii="Times New Roman" w:hAnsi="Times New Roman" w:cs="Times New Roman"/>
            <w:noProof/>
            <w:sz w:val="24"/>
          </w:rPr>
          <w:t>Conclusion</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_Toc235698984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11</w:t>
        </w:r>
        <w:r>
          <w:rPr>
            <w:rFonts w:ascii="Times New Roman" w:hAnsi="Times New Roman" w:cs="Times New Roman"/>
            <w:noProof/>
            <w:webHidden/>
            <w:sz w:val="24"/>
          </w:rPr>
          <w:fldChar w:fldCharType="end"/>
        </w:r>
      </w:hyperlink>
    </w:p>
    <w:p w14:paraId="2568F385"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5" w:history="1">
        <w:r>
          <w:rPr>
            <w:rStyle w:val="Hyperlink"/>
            <w:rFonts w:ascii="Times New Roman" w:hAnsi="Times New Roman" w:cs="Times New Roman"/>
            <w:noProof/>
            <w:sz w:val="24"/>
          </w:rPr>
          <w:t>References</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_Toc235698985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12</w:t>
        </w:r>
        <w:r>
          <w:rPr>
            <w:rFonts w:ascii="Times New Roman" w:hAnsi="Times New Roman" w:cs="Times New Roman"/>
            <w:noProof/>
            <w:webHidden/>
            <w:sz w:val="24"/>
          </w:rPr>
          <w:fldChar w:fldCharType="end"/>
        </w:r>
      </w:hyperlink>
    </w:p>
    <w:p w14:paraId="4652E93E" w14:textId="77777777" w:rsidR="00CB4971" w:rsidRDefault="00CB4971">
      <w:pPr>
        <w:pStyle w:val="TOC1"/>
        <w:tabs>
          <w:tab w:val="right" w:leader="dot" w:pos="9350"/>
        </w:tabs>
        <w:spacing w:line="360" w:lineRule="auto"/>
        <w:jc w:val="both"/>
        <w:rPr>
          <w:rFonts w:ascii="Times New Roman" w:hAnsi="Times New Roman" w:cs="Times New Roman"/>
          <w:noProof/>
          <w:sz w:val="24"/>
        </w:rPr>
      </w:pPr>
      <w:hyperlink w:anchor="_Toc235698986" w:history="1">
        <w:r>
          <w:rPr>
            <w:rStyle w:val="Hyperlink"/>
            <w:rFonts w:ascii="Times New Roman" w:hAnsi="Times New Roman" w:cs="Times New Roman"/>
            <w:noProof/>
            <w:sz w:val="24"/>
          </w:rPr>
          <w:t>Appendices</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_Toc235698986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15</w:t>
        </w:r>
        <w:r>
          <w:rPr>
            <w:rFonts w:ascii="Times New Roman" w:hAnsi="Times New Roman" w:cs="Times New Roman"/>
            <w:noProof/>
            <w:webHidden/>
            <w:sz w:val="24"/>
          </w:rPr>
          <w:fldChar w:fldCharType="end"/>
        </w:r>
      </w:hyperlink>
    </w:p>
    <w:p w14:paraId="75CAC4A4" w14:textId="77777777" w:rsidR="00CB4971" w:rsidRDefault="00CB4971">
      <w:pPr>
        <w:pStyle w:val="TOC2"/>
        <w:tabs>
          <w:tab w:val="right" w:leader="dot" w:pos="9350"/>
        </w:tabs>
        <w:spacing w:line="360" w:lineRule="auto"/>
        <w:jc w:val="both"/>
        <w:rPr>
          <w:rFonts w:ascii="Times New Roman" w:hAnsi="Times New Roman" w:cs="Times New Roman"/>
          <w:noProof/>
          <w:sz w:val="24"/>
        </w:rPr>
      </w:pPr>
      <w:hyperlink w:anchor="_Toc235698987" w:history="1">
        <w:r>
          <w:rPr>
            <w:rStyle w:val="Hyperlink"/>
            <w:rFonts w:ascii="Times New Roman" w:hAnsi="Times New Roman" w:cs="Times New Roman"/>
            <w:noProof/>
            <w:sz w:val="24"/>
          </w:rPr>
          <w:t>Appendix 1: PESTLE analysis</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_Toc235698987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15</w:t>
        </w:r>
        <w:r>
          <w:rPr>
            <w:rFonts w:ascii="Times New Roman" w:hAnsi="Times New Roman" w:cs="Times New Roman"/>
            <w:noProof/>
            <w:webHidden/>
            <w:sz w:val="24"/>
          </w:rPr>
          <w:fldChar w:fldCharType="end"/>
        </w:r>
      </w:hyperlink>
    </w:p>
    <w:p w14:paraId="7EE6AE9A" w14:textId="77777777" w:rsidR="00CB4971" w:rsidRDefault="00CB4971">
      <w:pPr>
        <w:pStyle w:val="TOC2"/>
        <w:tabs>
          <w:tab w:val="right" w:leader="dot" w:pos="9350"/>
        </w:tabs>
        <w:spacing w:line="360" w:lineRule="auto"/>
        <w:jc w:val="both"/>
        <w:rPr>
          <w:rFonts w:ascii="Times New Roman" w:hAnsi="Times New Roman" w:cs="Times New Roman"/>
          <w:noProof/>
          <w:sz w:val="24"/>
        </w:rPr>
      </w:pPr>
      <w:hyperlink w:anchor="_Toc235698988" w:history="1">
        <w:r>
          <w:rPr>
            <w:rStyle w:val="Hyperlink"/>
            <w:rFonts w:ascii="Times New Roman" w:hAnsi="Times New Roman" w:cs="Times New Roman"/>
            <w:noProof/>
            <w:sz w:val="24"/>
          </w:rPr>
          <w:t>Appendix 2: Porter's generic strategy</w:t>
        </w:r>
        <w:r>
          <w:rPr>
            <w:rFonts w:ascii="Times New Roman" w:hAnsi="Times New Roman" w:cs="Times New Roman"/>
            <w:noProof/>
            <w:webHidden/>
            <w:sz w:val="24"/>
          </w:rPr>
          <w:tab/>
        </w:r>
        <w:r>
          <w:rPr>
            <w:rFonts w:ascii="Times New Roman" w:hAnsi="Times New Roman" w:cs="Times New Roman"/>
            <w:noProof/>
            <w:webHidden/>
            <w:sz w:val="24"/>
          </w:rPr>
          <w:fldChar w:fldCharType="begin"/>
        </w:r>
        <w:r>
          <w:rPr>
            <w:rFonts w:ascii="Times New Roman" w:hAnsi="Times New Roman" w:cs="Times New Roman"/>
            <w:noProof/>
            <w:webHidden/>
            <w:sz w:val="24"/>
          </w:rPr>
          <w:instrText xml:space="preserve"> PAGEREF _Toc235698988 \h </w:instrText>
        </w:r>
        <w:r>
          <w:rPr>
            <w:rFonts w:ascii="Times New Roman" w:hAnsi="Times New Roman" w:cs="Times New Roman"/>
            <w:noProof/>
            <w:webHidden/>
            <w:sz w:val="24"/>
          </w:rPr>
        </w:r>
        <w:r>
          <w:rPr>
            <w:rFonts w:ascii="Times New Roman" w:hAnsi="Times New Roman" w:cs="Times New Roman"/>
            <w:noProof/>
            <w:webHidden/>
            <w:sz w:val="24"/>
          </w:rPr>
          <w:fldChar w:fldCharType="separate"/>
        </w:r>
        <w:r>
          <w:rPr>
            <w:rFonts w:ascii="Times New Roman" w:hAnsi="Times New Roman" w:cs="Times New Roman"/>
            <w:noProof/>
            <w:webHidden/>
            <w:sz w:val="24"/>
          </w:rPr>
          <w:t>17</w:t>
        </w:r>
        <w:r>
          <w:rPr>
            <w:rFonts w:ascii="Times New Roman" w:hAnsi="Times New Roman" w:cs="Times New Roman"/>
            <w:noProof/>
            <w:webHidden/>
            <w:sz w:val="24"/>
          </w:rPr>
          <w:fldChar w:fldCharType="end"/>
        </w:r>
      </w:hyperlink>
    </w:p>
    <w:p w14:paraId="72C540DB" w14:textId="77777777" w:rsidR="00CB4971" w:rsidRDefault="00000000">
      <w:pPr>
        <w:pStyle w:val="Normal1"/>
        <w:spacing w:line="360" w:lineRule="auto"/>
      </w:pPr>
      <w:r>
        <w:fldChar w:fldCharType="end"/>
      </w:r>
    </w:p>
    <w:p w14:paraId="1455F597"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br w:type="page"/>
      </w:r>
    </w:p>
    <w:p w14:paraId="40BB6837" w14:textId="77777777" w:rsidR="00CB4971" w:rsidRDefault="00000000">
      <w:pPr>
        <w:pStyle w:val="Heading1"/>
        <w:rPr>
          <w:color w:val="36363D"/>
        </w:rPr>
      </w:pPr>
      <w:bookmarkStart w:id="0" w:name="_Toc235698980"/>
      <w:r>
        <w:rPr>
          <w:color w:val="36363D"/>
        </w:rPr>
        <w:lastRenderedPageBreak/>
        <w:t>Introduction</w:t>
      </w:r>
      <w:bookmarkEnd w:id="0"/>
      <w:r>
        <w:rPr>
          <w:color w:val="36363D"/>
        </w:rPr>
        <w:t xml:space="preserve"> </w:t>
      </w:r>
    </w:p>
    <w:p w14:paraId="7099CEF5"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The report explores the impact of the marketing environment along with strategic growth on BHP’s journey to becoming a low-carbon business and products. BHP is one of the world's top resources businesses, manufacturing commodities like copper, iron ore, and metallurgical coal (BHP, 2025). Its environmental constraints, growth opportunities, and shift to a low-carbon business model are covered in this analysis.</w:t>
      </w:r>
    </w:p>
    <w:p w14:paraId="57A58A0F" w14:textId="77777777" w:rsidR="00CB4971" w:rsidRDefault="00000000">
      <w:pPr>
        <w:pStyle w:val="Heading1"/>
        <w:rPr>
          <w:color w:val="36363D"/>
          <w:sz w:val="24"/>
          <w:szCs w:val="24"/>
        </w:rPr>
      </w:pPr>
      <w:bookmarkStart w:id="1" w:name="_Toc235698981"/>
      <w:r>
        <w:rPr>
          <w:color w:val="36363D"/>
        </w:rPr>
        <w:t>Task 1: Marketing Environment Analysis</w:t>
      </w:r>
      <w:bookmarkEnd w:id="1"/>
      <w:r>
        <w:rPr>
          <w:color w:val="36363D"/>
        </w:rPr>
        <w:t xml:space="preserve">  </w:t>
      </w:r>
    </w:p>
    <w:p w14:paraId="04AE4170"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highlight w:val="white"/>
        </w:rPr>
        <w:t xml:space="preserve">Jain </w:t>
      </w:r>
      <w:r>
        <w:rPr>
          <w:rFonts w:ascii="Times New Roman" w:eastAsia="Times New Roman" w:hAnsi="Times New Roman" w:cs="Times New Roman"/>
          <w:i/>
          <w:iCs/>
          <w:color w:val="36363D"/>
          <w:sz w:val="24"/>
          <w:szCs w:val="24"/>
          <w:highlight w:val="white"/>
        </w:rPr>
        <w:t>et al.</w:t>
      </w:r>
      <w:r>
        <w:rPr>
          <w:rFonts w:ascii="Times New Roman" w:eastAsia="Times New Roman" w:hAnsi="Times New Roman" w:cs="Times New Roman"/>
          <w:color w:val="36363D"/>
          <w:sz w:val="24"/>
          <w:szCs w:val="24"/>
          <w:highlight w:val="white"/>
        </w:rPr>
        <w:t xml:space="preserve"> </w:t>
      </w:r>
      <w:r>
        <w:rPr>
          <w:rFonts w:ascii="Times New Roman" w:eastAsia="Times New Roman" w:hAnsi="Times New Roman" w:cs="Times New Roman"/>
          <w:color w:val="36363D"/>
          <w:sz w:val="24"/>
          <w:szCs w:val="24"/>
        </w:rPr>
        <w:t xml:space="preserve">(2024) define the marketing environment as external forces and actors that affect and are affected by an organisation's marketing efforts to generate value and build relationships with customers and stakeholders. In the case of BHP, a global mining company, environmental analysis plays a crucial role as their operations are closely tied to natural resources and also have a significant environmental impact. The primary external actor analysed in the present analysis is the “natural environment”, and the “legal environment” is a secondary actor that is closely related to the natural environment. </w:t>
      </w:r>
    </w:p>
    <w:p w14:paraId="2C110CF4"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noProof/>
          <w:color w:val="36363D"/>
          <w:sz w:val="24"/>
          <w:szCs w:val="24"/>
        </w:rPr>
        <w:drawing>
          <wp:inline distT="0" distB="0" distL="0" distR="0" wp14:anchorId="79E3E0AB" wp14:editId="362EEBB8">
            <wp:extent cx="5943600" cy="3543300"/>
            <wp:effectExtent l="0" t="0" r="0" b="0"/>
            <wp:docPr id="102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cstate="print"/>
                    <a:srcRect/>
                    <a:stretch/>
                  </pic:blipFill>
                  <pic:spPr>
                    <a:xfrm>
                      <a:off x="0" y="0"/>
                      <a:ext cx="5943600" cy="3543300"/>
                    </a:xfrm>
                    <a:prstGeom prst="rect">
                      <a:avLst/>
                    </a:prstGeom>
                    <a:ln w="9525" cap="flat" cmpd="sng">
                      <a:solidFill>
                        <a:srgbClr val="000000"/>
                      </a:solidFill>
                      <a:prstDash val="solid"/>
                      <a:round/>
                      <a:headEnd type="none" w="med" len="med"/>
                      <a:tailEnd type="none" w="med" len="med"/>
                    </a:ln>
                  </pic:spPr>
                </pic:pic>
              </a:graphicData>
            </a:graphic>
          </wp:inline>
        </w:drawing>
      </w:r>
    </w:p>
    <w:p w14:paraId="252AA703"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36363D"/>
          <w:sz w:val="24"/>
          <w:szCs w:val="24"/>
        </w:rPr>
      </w:pPr>
      <w:r>
        <w:rPr>
          <w:rFonts w:ascii="Times New Roman" w:eastAsia="Times New Roman" w:hAnsi="Times New Roman" w:cs="Times New Roman"/>
          <w:b/>
          <w:bCs/>
          <w:color w:val="36363D"/>
          <w:sz w:val="24"/>
          <w:szCs w:val="24"/>
        </w:rPr>
        <w:t>Figure 1: BHP’s operational GHG emissions</w:t>
      </w:r>
    </w:p>
    <w:p w14:paraId="7055E4AB"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(Source: </w:t>
      </w:r>
      <w:r>
        <w:rPr>
          <w:rFonts w:ascii="Times New Roman" w:eastAsia="Times New Roman" w:hAnsi="Times New Roman" w:cs="Times New Roman"/>
          <w:color w:val="36363D"/>
          <w:sz w:val="24"/>
          <w:szCs w:val="24"/>
          <w:highlight w:val="white"/>
        </w:rPr>
        <w:t>Tracenable, 2026</w:t>
      </w:r>
      <w:r>
        <w:rPr>
          <w:rFonts w:ascii="Times New Roman" w:eastAsia="Times New Roman" w:hAnsi="Times New Roman" w:cs="Times New Roman"/>
          <w:color w:val="36363D"/>
          <w:sz w:val="24"/>
          <w:szCs w:val="24"/>
        </w:rPr>
        <w:t>)</w:t>
      </w:r>
    </w:p>
    <w:p w14:paraId="2A32785F"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lastRenderedPageBreak/>
        <w:t>The strategy is evidenced by BHP's copper production reaching a new high for the 2025 reporting period and its operational GHG emissions falling 11.86%, which is vital to the power and renewable industries as part of the transition (</w:t>
      </w:r>
      <w:r>
        <w:rPr>
          <w:rFonts w:ascii="Times New Roman" w:eastAsia="Times New Roman" w:hAnsi="Times New Roman" w:cs="Times New Roman"/>
          <w:color w:val="36363D"/>
          <w:sz w:val="24"/>
          <w:szCs w:val="24"/>
          <w:highlight w:val="white"/>
        </w:rPr>
        <w:t>Tracenable, 2026</w:t>
      </w:r>
      <w:r>
        <w:rPr>
          <w:rFonts w:ascii="Times New Roman" w:eastAsia="Times New Roman" w:hAnsi="Times New Roman" w:cs="Times New Roman"/>
          <w:color w:val="36363D"/>
          <w:sz w:val="24"/>
          <w:szCs w:val="24"/>
        </w:rPr>
        <w:t xml:space="preserve">). </w:t>
      </w:r>
    </w:p>
    <w:p w14:paraId="6D409EEA"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Natural Environment</w:t>
      </w:r>
    </w:p>
    <w:p w14:paraId="631D5F0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The natural environment is the largest external influence on BHP's transition to a lower carbon business model. The natural environment is identified by </w:t>
      </w:r>
      <w:r>
        <w:rPr>
          <w:rFonts w:ascii="Times New Roman" w:eastAsia="Times New Roman" w:hAnsi="Times New Roman" w:cs="Times New Roman"/>
          <w:color w:val="36363D"/>
          <w:sz w:val="24"/>
          <w:szCs w:val="24"/>
          <w:highlight w:val="white"/>
        </w:rPr>
        <w:t>Khan</w:t>
      </w:r>
      <w:r>
        <w:rPr>
          <w:rFonts w:ascii="Times New Roman" w:eastAsia="Times New Roman" w:hAnsi="Times New Roman" w:cs="Times New Roman"/>
          <w:i/>
          <w:iCs/>
          <w:color w:val="36363D"/>
          <w:sz w:val="24"/>
          <w:szCs w:val="24"/>
          <w:highlight w:val="white"/>
        </w:rPr>
        <w:t xml:space="preserve"> et al.</w:t>
      </w:r>
      <w:r>
        <w:rPr>
          <w:rFonts w:ascii="Times New Roman" w:eastAsia="Times New Roman" w:hAnsi="Times New Roman" w:cs="Times New Roman"/>
          <w:color w:val="36363D"/>
          <w:sz w:val="24"/>
          <w:szCs w:val="24"/>
          <w:highlight w:val="white"/>
        </w:rPr>
        <w:t xml:space="preserve"> </w:t>
      </w:r>
      <w:r>
        <w:rPr>
          <w:rFonts w:ascii="Times New Roman" w:eastAsia="Times New Roman" w:hAnsi="Times New Roman" w:cs="Times New Roman"/>
          <w:color w:val="36363D"/>
          <w:sz w:val="24"/>
          <w:szCs w:val="24"/>
        </w:rPr>
        <w:t>(2023) as the natural forces and resources that affect the activity of business. The energy intensity of mining operations, including energy used in extraction, transportation and processing, and the use of heavy equipment and industrial activities, can contribute to emissions (</w:t>
      </w:r>
      <w:r>
        <w:rPr>
          <w:rFonts w:ascii="Times New Roman" w:eastAsia="Times New Roman" w:hAnsi="Times New Roman" w:cs="Times New Roman"/>
          <w:color w:val="36363D"/>
          <w:sz w:val="24"/>
          <w:szCs w:val="24"/>
          <w:highlight w:val="white"/>
        </w:rPr>
        <w:t xml:space="preserve">Álamos </w:t>
      </w:r>
      <w:r>
        <w:rPr>
          <w:rFonts w:ascii="Times New Roman" w:eastAsia="Times New Roman" w:hAnsi="Times New Roman" w:cs="Times New Roman"/>
          <w:i/>
          <w:iCs/>
          <w:color w:val="36363D"/>
          <w:sz w:val="24"/>
          <w:szCs w:val="24"/>
          <w:highlight w:val="white"/>
        </w:rPr>
        <w:t>et al.</w:t>
      </w:r>
      <w:r>
        <w:rPr>
          <w:rFonts w:ascii="Times New Roman" w:eastAsia="Times New Roman" w:hAnsi="Times New Roman" w:cs="Times New Roman"/>
          <w:color w:val="36363D"/>
          <w:sz w:val="24"/>
          <w:szCs w:val="24"/>
          <w:highlight w:val="white"/>
        </w:rPr>
        <w:t xml:space="preserve"> 2022</w:t>
      </w:r>
      <w:r>
        <w:rPr>
          <w:rFonts w:ascii="Times New Roman" w:eastAsia="Times New Roman" w:hAnsi="Times New Roman" w:cs="Times New Roman"/>
          <w:color w:val="36363D"/>
          <w:sz w:val="24"/>
          <w:szCs w:val="24"/>
        </w:rPr>
        <w:t>). This means that BHP has increasing pressures from governments, investors, customers, and communities to minimise its environmental footprint. The company has a Climate Transition Action Plan and has made a commitment to cutting operational GHG emissions by at least 30% from 2020 by 2030 and has a longer-term goal of achieving net zero (BHP, 2026).</w:t>
      </w:r>
    </w:p>
    <w:p w14:paraId="78D2AE0F"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noProof/>
          <w:color w:val="36363D"/>
          <w:sz w:val="24"/>
          <w:szCs w:val="24"/>
        </w:rPr>
        <w:drawing>
          <wp:inline distT="0" distB="0" distL="0" distR="0" wp14:anchorId="4115C564" wp14:editId="7B42551B">
            <wp:extent cx="5943600" cy="2159000"/>
            <wp:effectExtent l="0" t="0" r="0" b="0"/>
            <wp:docPr id="102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cstate="print"/>
                    <a:srcRect/>
                    <a:stretch/>
                  </pic:blipFill>
                  <pic:spPr>
                    <a:xfrm>
                      <a:off x="0" y="0"/>
                      <a:ext cx="5943600" cy="2159000"/>
                    </a:xfrm>
                    <a:prstGeom prst="rect">
                      <a:avLst/>
                    </a:prstGeom>
                    <a:ln w="9525" cap="flat" cmpd="sng">
                      <a:solidFill>
                        <a:srgbClr val="000000"/>
                      </a:solidFill>
                      <a:prstDash val="solid"/>
                      <a:round/>
                      <a:headEnd type="none" w="med" len="med"/>
                      <a:tailEnd type="none" w="med" len="med"/>
                    </a:ln>
                  </pic:spPr>
                </pic:pic>
              </a:graphicData>
            </a:graphic>
          </wp:inline>
        </w:drawing>
      </w:r>
    </w:p>
    <w:p w14:paraId="456C6997"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36363D"/>
          <w:sz w:val="24"/>
          <w:szCs w:val="24"/>
        </w:rPr>
      </w:pPr>
      <w:r>
        <w:rPr>
          <w:rFonts w:ascii="Times New Roman" w:eastAsia="Times New Roman" w:hAnsi="Times New Roman" w:cs="Times New Roman"/>
          <w:b/>
          <w:bCs/>
          <w:color w:val="36363D"/>
          <w:sz w:val="24"/>
          <w:szCs w:val="24"/>
        </w:rPr>
        <w:t>Figure 2: Forecasted GHG emissions</w:t>
      </w:r>
    </w:p>
    <w:p w14:paraId="6B1B8E4F"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(Source: BHP, 2026) </w:t>
      </w:r>
    </w:p>
    <w:p w14:paraId="1B2F5F58"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On the other hand, climate change puts pressure on the necessity to reduce emissions and to limit its ecological effects (</w:t>
      </w:r>
      <w:r>
        <w:rPr>
          <w:rFonts w:ascii="Times New Roman" w:eastAsia="Times New Roman" w:hAnsi="Times New Roman" w:cs="Times New Roman"/>
          <w:color w:val="36363D"/>
          <w:sz w:val="24"/>
          <w:szCs w:val="24"/>
          <w:highlight w:val="white"/>
        </w:rPr>
        <w:t>Change, 2022</w:t>
      </w:r>
      <w:r>
        <w:rPr>
          <w:rFonts w:ascii="Times New Roman" w:eastAsia="Times New Roman" w:hAnsi="Times New Roman" w:cs="Times New Roman"/>
          <w:color w:val="36363D"/>
          <w:sz w:val="24"/>
          <w:szCs w:val="24"/>
        </w:rPr>
        <w:t>). At the same time, the world's shift to cleaner technologies drives up demand for the very minerals that BHP is producing. In this regard, BHP's ability to be competitive in the future may rely, not on the production of more minerals, but on its ability to show that these minerals can be produced in ways that are less environmentally damaging. The environmental challenge then becomes a marketing problem as customers and industrial partners may demand even more responsibly sourced and lower carbon materials to have a lesser environmental impact in their own value chain.</w:t>
      </w:r>
    </w:p>
    <w:p w14:paraId="03696327"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lastRenderedPageBreak/>
        <w:t>A large amount of water and land is needed for mining operations; climate change conditions may pose risks during operation stemming from droughts, floods, and extreme weather. BHP must supplement extraction activities with management of the environmental impacts that come from the extraction, while simultaneously ensuring that production is reliable. For example, BHP announced that it was set to implement a 158,000-hectare conservation project linked to Copper South Australia (</w:t>
      </w:r>
      <w:r>
        <w:rPr>
          <w:rFonts w:ascii="Times New Roman" w:eastAsia="Times New Roman" w:hAnsi="Times New Roman" w:cs="Times New Roman"/>
          <w:color w:val="36363D"/>
          <w:sz w:val="24"/>
          <w:szCs w:val="24"/>
          <w:highlight w:val="white"/>
        </w:rPr>
        <w:t>BHP, 2025</w:t>
      </w:r>
      <w:r>
        <w:rPr>
          <w:rFonts w:ascii="Times New Roman" w:eastAsia="Times New Roman" w:hAnsi="Times New Roman" w:cs="Times New Roman"/>
          <w:color w:val="36363D"/>
          <w:sz w:val="24"/>
          <w:szCs w:val="24"/>
        </w:rPr>
        <w:t>). However, the impact of such actions must not be limited to communication, and such activities can help build trust and credibility with stakeholders and reinforce corporate legitimacy. Technological innovation is also an opportunity for the environmental transition. As part of BHP's climate strategy, operational emissions reduction is progressing, and technological and energy solutions are being explored (</w:t>
      </w:r>
      <w:r>
        <w:rPr>
          <w:rFonts w:ascii="Times New Roman" w:eastAsia="Times New Roman" w:hAnsi="Times New Roman" w:cs="Times New Roman"/>
          <w:color w:val="36363D"/>
          <w:sz w:val="24"/>
          <w:szCs w:val="24"/>
          <w:highlight w:val="white"/>
        </w:rPr>
        <w:t>BHP, 2026</w:t>
      </w:r>
      <w:r>
        <w:rPr>
          <w:rFonts w:ascii="Times New Roman" w:eastAsia="Times New Roman" w:hAnsi="Times New Roman" w:cs="Times New Roman"/>
          <w:color w:val="36363D"/>
          <w:sz w:val="24"/>
          <w:szCs w:val="24"/>
        </w:rPr>
        <w:t>). However, there will be significant capital costs and risks involved with the transition. On the other hand, sustainability communication can lead to accusations of greenwashing and can harm the trust of all stakeholders. The natural environment consequently presents both prospects and obstacles for BHP; opportunities via the rising need for lower-carbon minerals and challenges through increasing environmental expenses, operational disruption, regulatory pressure, and reputational risk. It therefore has an impact on BHP's production procedures, brand recognition, stakeholder ties, and long-term market position.</w:t>
      </w:r>
    </w:p>
    <w:p w14:paraId="7D0D7AC6"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Legal Environment</w:t>
      </w:r>
    </w:p>
    <w:p w14:paraId="092BF33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The second key external factor affecting BHP's lower-carbon transition is the legal environment. Legal forces can be identified as government policy, environmental regulation, climate commitments, taxation, and legal requirements affecting business activity (</w:t>
      </w:r>
      <w:r>
        <w:rPr>
          <w:rFonts w:ascii="Times New Roman" w:eastAsia="Times New Roman" w:hAnsi="Times New Roman" w:cs="Times New Roman"/>
          <w:color w:val="36363D"/>
          <w:sz w:val="24"/>
          <w:szCs w:val="24"/>
          <w:highlight w:val="white"/>
        </w:rPr>
        <w:t>Reich and Simon, 2025</w:t>
      </w:r>
      <w:r>
        <w:rPr>
          <w:rFonts w:ascii="Times New Roman" w:eastAsia="Times New Roman" w:hAnsi="Times New Roman" w:cs="Times New Roman"/>
          <w:color w:val="36363D"/>
          <w:sz w:val="24"/>
          <w:szCs w:val="24"/>
        </w:rPr>
        <w:t xml:space="preserve">) </w:t>
      </w:r>
      <w:r>
        <w:rPr>
          <w:rFonts w:ascii="Times New Roman" w:eastAsia="Times New Roman" w:hAnsi="Times New Roman" w:cs="Times New Roman"/>
          <w:b/>
          <w:bCs/>
          <w:i/>
          <w:iCs/>
          <w:color w:val="36363D"/>
          <w:sz w:val="24"/>
          <w:szCs w:val="24"/>
        </w:rPr>
        <w:t>[Refer to Appendix 1]</w:t>
      </w:r>
      <w:r>
        <w:rPr>
          <w:rFonts w:ascii="Times New Roman" w:eastAsia="Times New Roman" w:hAnsi="Times New Roman" w:cs="Times New Roman"/>
          <w:color w:val="36363D"/>
          <w:sz w:val="24"/>
          <w:szCs w:val="24"/>
        </w:rPr>
        <w:t>. In the mining industry, these forces are especially significant because the large-scale extraction of mineral resources is governed by environmental standards, emissions requirements, and permitting processes and needs regulatory approval. The Company's Board and management direct the Company's Climate Transition Action Plan, which has been reviewed with the Company's shareholders, suggesting a linkage between climate strategy and other governance and accountability expectations (</w:t>
      </w:r>
      <w:r>
        <w:rPr>
          <w:rFonts w:ascii="Times New Roman" w:eastAsia="Times New Roman" w:hAnsi="Times New Roman" w:cs="Times New Roman"/>
          <w:color w:val="36363D"/>
          <w:sz w:val="24"/>
          <w:szCs w:val="24"/>
          <w:highlight w:val="white"/>
        </w:rPr>
        <w:t>BHP, 2023</w:t>
      </w:r>
      <w:r>
        <w:rPr>
          <w:rFonts w:ascii="Times New Roman" w:eastAsia="Times New Roman" w:hAnsi="Times New Roman" w:cs="Times New Roman"/>
          <w:color w:val="36363D"/>
          <w:sz w:val="24"/>
          <w:szCs w:val="24"/>
        </w:rPr>
        <w:t>).</w:t>
      </w:r>
    </w:p>
    <w:p w14:paraId="761D82FA"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For BHP, the legal environment presents both opportunities and hazards. More compliance expenses, project delays, and new operational requirements may result from stricter emission standards, environmental permits, and environmental reporting responsibilities. These represent substantial threats, particularly where environmental control elevates the expense and difficulty </w:t>
      </w:r>
      <w:r>
        <w:rPr>
          <w:rFonts w:ascii="Times New Roman" w:eastAsia="Times New Roman" w:hAnsi="Times New Roman" w:cs="Times New Roman"/>
          <w:color w:val="36363D"/>
          <w:sz w:val="24"/>
          <w:szCs w:val="24"/>
        </w:rPr>
        <w:lastRenderedPageBreak/>
        <w:t xml:space="preserve">of mining operations. Additionally, legislation might open doors for businesses that adjust sooner than their rivals. </w:t>
      </w:r>
    </w:p>
    <w:p w14:paraId="6536AB67"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Interaction Between the Natural and Legal Environments</w:t>
      </w:r>
    </w:p>
    <w:p w14:paraId="7D5A6E8C"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The pressure for legal action is placed on their shoulders by environmental issues like climate change, emissions and biodiversity loss, and the speed and costs of corporate environmental adaptation are decided by laws and government policies (</w:t>
      </w:r>
      <w:r>
        <w:rPr>
          <w:rFonts w:ascii="Times New Roman" w:eastAsia="Times New Roman" w:hAnsi="Times New Roman" w:cs="Times New Roman"/>
          <w:color w:val="36363D"/>
          <w:sz w:val="24"/>
          <w:szCs w:val="24"/>
          <w:highlight w:val="white"/>
        </w:rPr>
        <w:t>Reich and Simon, 2025</w:t>
      </w:r>
      <w:r>
        <w:rPr>
          <w:rFonts w:ascii="Times New Roman" w:eastAsia="Times New Roman" w:hAnsi="Times New Roman" w:cs="Times New Roman"/>
          <w:color w:val="36363D"/>
          <w:sz w:val="24"/>
          <w:szCs w:val="24"/>
        </w:rPr>
        <w:t xml:space="preserve">). BHP's main sustainability challenge is the natural environment, and the legal environment presents numerous institutional conditions in which BHP will have to respond. Besides, the natural environment can provide BHP with positive opportunities arising from the increasing demand for minerals needed for the energy transition, as well as severe challenges associated with emissions, water, biodiversity, and resource depletion. The legal environment adds to these pressures through regulation and climate policy but can also offer opportunities for companies that can supply responsibly produced and lower-carbon minerals. In this regard, the key issue that BHP has to deal with is how to balance the negative environmental effects of mining with the growing demand for minerals in creating a lower-carbon global economy. </w:t>
      </w:r>
    </w:p>
    <w:p w14:paraId="114FF2CA" w14:textId="77777777" w:rsidR="00CB4971" w:rsidRDefault="00000000">
      <w:pPr>
        <w:pStyle w:val="Heading1"/>
        <w:rPr>
          <w:color w:val="36363D"/>
          <w:sz w:val="24"/>
          <w:szCs w:val="24"/>
        </w:rPr>
      </w:pPr>
      <w:bookmarkStart w:id="2" w:name="_Toc235698982"/>
      <w:r>
        <w:rPr>
          <w:color w:val="36363D"/>
        </w:rPr>
        <w:t>Task 2: Strategic Growth and Competitive Positioning</w:t>
      </w:r>
      <w:bookmarkEnd w:id="2"/>
    </w:p>
    <w:p w14:paraId="4321E1A9"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Based on environmental analysis, BHP must also be able to react to consumers, governments, and investors all calling for more sustainable and carbon-neutral supply chains. The Ansoff Matrix is a useful tool for analysing BHP's growth opportunities by examining existing and new products and markets. The framework identifies four strategies, which are market penetration, product development, market development, and diversification (Ferreira and de Sá, 2024).</w:t>
      </w:r>
    </w:p>
    <w:p w14:paraId="05DAE5AB"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noProof/>
          <w:color w:val="36363D"/>
          <w:sz w:val="24"/>
          <w:szCs w:val="24"/>
        </w:rPr>
        <w:lastRenderedPageBreak/>
        <w:drawing>
          <wp:inline distT="0" distB="0" distL="0" distR="0" wp14:anchorId="3AC7ED76" wp14:editId="22ED9D10">
            <wp:extent cx="4558665" cy="3013710"/>
            <wp:effectExtent l="0" t="0" r="0" b="0"/>
            <wp:docPr id="1029"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1" cstate="print"/>
                    <a:srcRect/>
                    <a:stretch/>
                  </pic:blipFill>
                  <pic:spPr>
                    <a:xfrm>
                      <a:off x="0" y="0"/>
                      <a:ext cx="4558665" cy="3013710"/>
                    </a:xfrm>
                    <a:prstGeom prst="rect">
                      <a:avLst/>
                    </a:prstGeom>
                    <a:ln w="9525" cap="flat" cmpd="sng">
                      <a:solidFill>
                        <a:srgbClr val="000000"/>
                      </a:solidFill>
                      <a:prstDash val="solid"/>
                      <a:round/>
                      <a:headEnd type="none" w="med" len="med"/>
                      <a:tailEnd type="none" w="med" len="med"/>
                    </a:ln>
                  </pic:spPr>
                </pic:pic>
              </a:graphicData>
            </a:graphic>
          </wp:inline>
        </w:drawing>
      </w:r>
    </w:p>
    <w:p w14:paraId="39A9795C"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36363D"/>
          <w:sz w:val="24"/>
          <w:szCs w:val="24"/>
        </w:rPr>
      </w:pPr>
      <w:r>
        <w:rPr>
          <w:rFonts w:ascii="Times New Roman" w:eastAsia="Times New Roman" w:hAnsi="Times New Roman" w:cs="Times New Roman"/>
          <w:b/>
          <w:bCs/>
          <w:color w:val="36363D"/>
          <w:sz w:val="24"/>
          <w:szCs w:val="24"/>
        </w:rPr>
        <w:t>Figure 3: Ansoff Matrix</w:t>
      </w:r>
    </w:p>
    <w:p w14:paraId="35A186A7"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(Source: Qomaro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2024)</w:t>
      </w:r>
    </w:p>
    <w:p w14:paraId="10B79268"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Product Development</w:t>
      </w:r>
    </w:p>
    <w:p w14:paraId="6D785C2C"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Product development is the creation of new products for new markets (Qomaro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2024). With this approach, BHP can create a carbon-reduced supply chain, an environmentally transparent and responsibly sourced mineral supply. This is especially applicable as mining is a source of emissions and environmental damage, but minerals like copper are also critical for the electrification and development of infrastructure and renewable energy (Ivanova </w:t>
      </w:r>
      <w:r>
        <w:rPr>
          <w:rFonts w:ascii="Times New Roman" w:eastAsia="Times New Roman" w:hAnsi="Times New Roman" w:cs="Times New Roman"/>
          <w:i/>
          <w:iCs/>
          <w:color w:val="36363D"/>
          <w:sz w:val="24"/>
          <w:szCs w:val="24"/>
        </w:rPr>
        <w:t xml:space="preserve">et al. </w:t>
      </w:r>
      <w:r>
        <w:rPr>
          <w:rFonts w:ascii="Times New Roman" w:eastAsia="Times New Roman" w:hAnsi="Times New Roman" w:cs="Times New Roman"/>
          <w:color w:val="36363D"/>
          <w:sz w:val="24"/>
          <w:szCs w:val="24"/>
        </w:rPr>
        <w:t xml:space="preserve">2022; Cathles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2025). Therefore, lower-carbon and traceable minerals might provide BHP with a slightly better value proposition. </w:t>
      </w:r>
    </w:p>
    <w:p w14:paraId="3D74ED4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The greatest benefit of product development is that it does not require companies to give up their current business model (Ferreira and de Sá, 2024). Likewise, as BHP already has the experience and expertise to mine, the infrastructure and global supply chain relationships to produce large commodities, its potential can be leveraged to produce added value in more sustainable production. However, renewable energy, electrification, and modern technologies can be significant upfront capital costs to lower-carbon production (</w:t>
      </w:r>
      <w:r>
        <w:rPr>
          <w:rFonts w:ascii="Times New Roman" w:eastAsia="Times New Roman" w:hAnsi="Times New Roman" w:cs="Times New Roman"/>
          <w:color w:val="36363D"/>
          <w:sz w:val="24"/>
          <w:szCs w:val="24"/>
          <w:highlight w:val="white"/>
        </w:rPr>
        <w:t xml:space="preserve">Elkelawy </w:t>
      </w:r>
      <w:r>
        <w:rPr>
          <w:rFonts w:ascii="Times New Roman" w:eastAsia="Times New Roman" w:hAnsi="Times New Roman" w:cs="Times New Roman"/>
          <w:i/>
          <w:iCs/>
          <w:color w:val="36363D"/>
          <w:sz w:val="24"/>
          <w:szCs w:val="24"/>
          <w:highlight w:val="white"/>
        </w:rPr>
        <w:t xml:space="preserve">et al. </w:t>
      </w:r>
      <w:r>
        <w:rPr>
          <w:rFonts w:ascii="Times New Roman" w:eastAsia="Times New Roman" w:hAnsi="Times New Roman" w:cs="Times New Roman"/>
          <w:color w:val="36363D"/>
          <w:sz w:val="24"/>
          <w:szCs w:val="24"/>
          <w:highlight w:val="white"/>
        </w:rPr>
        <w:t>2025</w:t>
      </w:r>
      <w:r>
        <w:rPr>
          <w:rFonts w:ascii="Times New Roman" w:eastAsia="Times New Roman" w:hAnsi="Times New Roman" w:cs="Times New Roman"/>
          <w:color w:val="36363D"/>
          <w:sz w:val="24"/>
          <w:szCs w:val="24"/>
        </w:rPr>
        <w:t xml:space="preserve">). Consumers might not always be ready to pay a premium for low-carbon minerals. Hence, BHP needs to ensure it is making environmental investments that add value to customers, not just add to costs. </w:t>
      </w:r>
    </w:p>
    <w:p w14:paraId="49BEDEC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Market penetration</w:t>
      </w:r>
    </w:p>
    <w:p w14:paraId="3A7493E4"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lastRenderedPageBreak/>
        <w:t>Market penetration is the opportunity to promote the existing products in the current market (Ferreira and de Sá, 2024). For BHP, it may be a matter of upholding its relationship with industrial customers, as well as raising awareness about its production processes and their environmental benefits. For instance, BHP can share more information on emissions, manufacturing processes, and sustainability practices. This approach could be especially beneficial, as customers in sectors like manufacturing, construction, and energy become more pressured to do their part to lessen their environmental footprint (</w:t>
      </w:r>
      <w:r>
        <w:rPr>
          <w:rFonts w:ascii="Times New Roman" w:eastAsia="Times New Roman" w:hAnsi="Times New Roman" w:cs="Times New Roman"/>
          <w:color w:val="36363D"/>
          <w:sz w:val="24"/>
          <w:szCs w:val="24"/>
          <w:highlight w:val="white"/>
        </w:rPr>
        <w:t xml:space="preserve">Rodrigues </w:t>
      </w:r>
      <w:r>
        <w:rPr>
          <w:rFonts w:ascii="Times New Roman" w:eastAsia="Times New Roman" w:hAnsi="Times New Roman" w:cs="Times New Roman"/>
          <w:i/>
          <w:iCs/>
          <w:color w:val="36363D"/>
          <w:sz w:val="24"/>
          <w:szCs w:val="24"/>
          <w:highlight w:val="white"/>
        </w:rPr>
        <w:t>et al.</w:t>
      </w:r>
      <w:r>
        <w:rPr>
          <w:rFonts w:ascii="Times New Roman" w:eastAsia="Times New Roman" w:hAnsi="Times New Roman" w:cs="Times New Roman"/>
          <w:color w:val="36363D"/>
          <w:sz w:val="24"/>
          <w:szCs w:val="24"/>
          <w:highlight w:val="white"/>
        </w:rPr>
        <w:t xml:space="preserve"> 2022</w:t>
      </w:r>
      <w:r>
        <w:rPr>
          <w:rFonts w:ascii="Times New Roman" w:eastAsia="Times New Roman" w:hAnsi="Times New Roman" w:cs="Times New Roman"/>
          <w:color w:val="36363D"/>
          <w:sz w:val="24"/>
          <w:szCs w:val="24"/>
        </w:rPr>
        <w:t>). BHP would be better able to foster customer loyalty and develop more enduring business relationships by demonstrating responsible sourcing to customers.</w:t>
      </w:r>
    </w:p>
    <w:p w14:paraId="255A5C6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However, the increase in the volume of existing minerals sold does not necessarily provide solutions to the environmental concerns. BHP could face more environmental backlash if there is not enough decarbonisation in their production. Therefore, market penetration should not supplant but complement the core product development strategy.</w:t>
      </w:r>
    </w:p>
    <w:p w14:paraId="1696EB2E"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Market development</w:t>
      </w:r>
    </w:p>
    <w:p w14:paraId="36C8F371"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Market development is the process of selling the present products to new markets (Qomaro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2024). This is yet another significant moment for BHP, as the world moves towards electric vehicle (EV) adoption, renewable energy, and expanding the electricity grid is generating new demand for minerals. BHP can leverage new customers and markets associated with clean technologies and electrification. The opportunity is particularly interesting for copper, which is a component of electrical infrastructure, as well as systems and transmission networks in the field of renewables (Cathles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2025). BHP’s reporting highlights copper as one of its key commodities for future demand in the energy transition and electrification (BHP, 2025). This means that BHP can establish partnerships with renewable-energy developers, supply chains, battery producers, and infrastructure firms. However, market development can be risky, as technological change, commodity price volatility, and development of alternative materials can impact demand for energy-transition minerals. Furthermore, new markets can also present new regulatory and cultural contexts. Thus, BHP should focus on markets where it has a proven ability and environmental reputation.</w:t>
      </w:r>
    </w:p>
    <w:p w14:paraId="56300493"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Diversification</w:t>
      </w:r>
    </w:p>
    <w:p w14:paraId="0B2C6308"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color w:val="36363D"/>
          <w:sz w:val="24"/>
          <w:szCs w:val="24"/>
        </w:rPr>
        <w:t xml:space="preserve">Diversification is the riskiest of all the strategies in the Ansoff matrix, as it means getting into new markets with new products (Ferreira and de Sá, 2024). While diversification might lessen </w:t>
      </w:r>
      <w:r>
        <w:rPr>
          <w:rFonts w:ascii="Times New Roman" w:eastAsia="Times New Roman" w:hAnsi="Times New Roman" w:cs="Times New Roman"/>
          <w:color w:val="36363D"/>
          <w:sz w:val="24"/>
          <w:szCs w:val="24"/>
        </w:rPr>
        <w:lastRenderedPageBreak/>
        <w:t>the reliance on traditional mining, it can also introduce modern technologies and competitive landscapes for BHP. It can be stated that diversification is not an urgent strategy; however, it may be related to diversification, which involves new activities that are related to BHP's mineral knowledge. For instance, recycling could be developed alongside mining to provide more sources of metals and possibly reduce pressure on the virgin resource extraction process.</w:t>
      </w:r>
    </w:p>
    <w:p w14:paraId="40DFE566"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Notably, as it gives a straightforward and organised framework for comparing growth alternatives based on market and product development, the Ansoff Matrix is useful. In contrast, its simplicity can be a disadvantage, as it fails to account for implementation complexity, financial resources, environmental uncertainty, and competition (Qomaro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2024). Hence, it needs to be utilised with other strategic analysis instruments.</w:t>
      </w:r>
      <w:r>
        <w:rPr>
          <w:rFonts w:ascii="Times New Roman" w:eastAsia="Times New Roman" w:hAnsi="Times New Roman" w:cs="Times New Roman"/>
          <w:b/>
          <w:bCs/>
          <w:i/>
          <w:iCs/>
          <w:color w:val="36363D"/>
          <w:sz w:val="24"/>
          <w:szCs w:val="24"/>
        </w:rPr>
        <w:t xml:space="preserve"> </w:t>
      </w:r>
      <w:r>
        <w:rPr>
          <w:rFonts w:ascii="Times New Roman" w:eastAsia="Times New Roman" w:hAnsi="Times New Roman" w:cs="Times New Roman"/>
          <w:color w:val="36363D"/>
          <w:sz w:val="24"/>
          <w:szCs w:val="24"/>
        </w:rPr>
        <w:t xml:space="preserve">Likewise, BHP should implement the product development strategy in conjunction with Porter's generic strategy of differentiation to realise growth as a competitive advantage. </w:t>
      </w:r>
    </w:p>
    <w:p w14:paraId="68705C6F"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With respect to Porter's generic strategy of differentiation, companies can achieve competitive advantage by providing products or services that are seen by the customers as unique (Marfo-Yiadom </w:t>
      </w:r>
      <w:r>
        <w:rPr>
          <w:rFonts w:ascii="Times New Roman" w:eastAsia="Times New Roman" w:hAnsi="Times New Roman" w:cs="Times New Roman"/>
          <w:i/>
          <w:iCs/>
          <w:color w:val="36363D"/>
          <w:sz w:val="24"/>
          <w:szCs w:val="24"/>
        </w:rPr>
        <w:t>et al.</w:t>
      </w:r>
      <w:r>
        <w:rPr>
          <w:rFonts w:ascii="Times New Roman" w:eastAsia="Times New Roman" w:hAnsi="Times New Roman" w:cs="Times New Roman"/>
          <w:color w:val="36363D"/>
          <w:sz w:val="24"/>
          <w:szCs w:val="24"/>
        </w:rPr>
        <w:t xml:space="preserve"> 2025) </w:t>
      </w:r>
      <w:r>
        <w:rPr>
          <w:rFonts w:ascii="Times New Roman" w:eastAsia="Times New Roman" w:hAnsi="Times New Roman" w:cs="Times New Roman"/>
          <w:b/>
          <w:bCs/>
          <w:i/>
          <w:iCs/>
          <w:color w:val="36363D"/>
          <w:sz w:val="24"/>
          <w:szCs w:val="24"/>
        </w:rPr>
        <w:t>[Refer to Appendix 2]</w:t>
      </w:r>
      <w:r>
        <w:rPr>
          <w:rFonts w:ascii="Times New Roman" w:eastAsia="Times New Roman" w:hAnsi="Times New Roman" w:cs="Times New Roman"/>
          <w:color w:val="36363D"/>
          <w:sz w:val="24"/>
          <w:szCs w:val="24"/>
        </w:rPr>
        <w:t>. In BHP's case, the differentiation should be based on the environmental or transparency of its mineral products as well as low prices. For BHP, key sources of differentiation include environmental performance, which can be a strategic differentiator, and lower-emission production. Besides, technological capability can be used to enhance energy efficiency, operational productivity, and emissions monitoring. Moreover, traceability and transparency can provide customers with evidence on the origin and environmental performance of minerals. Lastly, an elevated level of stakeholder trust can enhance BHP’s customer and government relationships, as well as its investor and community relationships. This strategy would ensure BHP’s strong position to meet growing sustainability demands and capitalise on long-term demand for minerals that are vital to the transition to a lower-carbon global economy.</w:t>
      </w:r>
    </w:p>
    <w:p w14:paraId="3996FB1F" w14:textId="77777777" w:rsidR="00CB4971" w:rsidRDefault="00000000">
      <w:pPr>
        <w:pStyle w:val="Heading1"/>
        <w:rPr>
          <w:color w:val="36363D"/>
        </w:rPr>
      </w:pPr>
      <w:bookmarkStart w:id="3" w:name="_Toc235698983"/>
      <w:r>
        <w:rPr>
          <w:color w:val="36363D"/>
        </w:rPr>
        <w:t>Task 3: Critical Reflection on AI Usage</w:t>
      </w:r>
      <w:bookmarkEnd w:id="3"/>
    </w:p>
    <w:p w14:paraId="702CA435"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Tool Disclosure</w:t>
      </w:r>
    </w:p>
    <w:p w14:paraId="7BA47E2F"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I acknowledge that this report was completed with the assistance of AI. Gemini was the main AI application, aiding in the initial planning and creation of the report. It helped with brainstorming potential analytical strategies, report structure, clarifying the use of marketing frameworks such as PESTLE and Ansoff Matrix, and academic presentation and clarity of written work. </w:t>
      </w:r>
    </w:p>
    <w:p w14:paraId="7089D7DE"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lastRenderedPageBreak/>
        <w:t>Critical Evaluation of AI Output</w:t>
      </w:r>
    </w:p>
    <w:p w14:paraId="732B5728"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As noted by Henestrosa and Kimmerle (2025), AI-generated content was not necessarily deemed accurate. One of the main drawbacks of AI tools is it may produce hallucinated data, such as incorrect statistics, outdated information, or even incorrect company details, with references that might not even exist. Thus, while conducting the research and writing, I emphasised critical analysis and cross-referencing with trustworthy sources, such as BHP's corporate reports and sustainability information, academic publications, and relevant industry and regulatory sources. Notably, specific focus has been kept on factual statements about BHP emissions, climate strategy, mineral production, and energy transition opportunities. Moreover, as understood by Latif (2025), AI-generated information may be vague or illogical. Thus, I strongly emphasised modification and replaced information generated by AI with independently verified evidence. </w:t>
      </w:r>
    </w:p>
    <w:p w14:paraId="60BB8EF1"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Contribution analysis</w:t>
      </w:r>
    </w:p>
    <w:p w14:paraId="1667A5AB"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The difference between AI contribution and personal contribution was also significant. I leveraged AI for brainstorming content ideas, developing potential strategic approaches, and polishing the language and structure. I acknowledge that it was immensely helpful for evaluating the impact of the natural environment and legal environment. However, conclusion on BHP, while emphasising environmental and regulatory pressures, and the proposal for product development and differentiation were drawn by me through an analytical process. Thus, the final determination of how BHP will achieve competitive advantage with lower carbon and traceable mineral products has not been limited to AI-generated content.</w:t>
      </w:r>
    </w:p>
    <w:p w14:paraId="214B5D1A"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b/>
          <w:bCs/>
          <w:i/>
          <w:iCs/>
          <w:color w:val="36363D"/>
          <w:sz w:val="24"/>
          <w:szCs w:val="24"/>
        </w:rPr>
      </w:pPr>
      <w:r>
        <w:rPr>
          <w:rFonts w:ascii="Times New Roman" w:eastAsia="Times New Roman" w:hAnsi="Times New Roman" w:cs="Times New Roman"/>
          <w:b/>
          <w:bCs/>
          <w:i/>
          <w:iCs/>
          <w:color w:val="36363D"/>
          <w:sz w:val="24"/>
          <w:szCs w:val="24"/>
        </w:rPr>
        <w:t>Ethical and professional reflection</w:t>
      </w:r>
    </w:p>
    <w:p w14:paraId="633F68F6"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36363D"/>
          <w:sz w:val="24"/>
          <w:szCs w:val="24"/>
        </w:rPr>
      </w:pPr>
      <w:r>
        <w:rPr>
          <w:rFonts w:ascii="Times New Roman" w:eastAsia="Times New Roman" w:hAnsi="Times New Roman" w:cs="Times New Roman"/>
          <w:color w:val="36363D"/>
          <w:sz w:val="24"/>
          <w:szCs w:val="24"/>
        </w:rPr>
        <w:t xml:space="preserve">There are also ethical and professional implications to consider with AI use. As indicated by Stone (2023), excessive use of AI might lower the ability of students to think for themselves and could lead to academic honesty issues if content produced by AI is presented. AI can also propagate biases and assume too much confidence in conveying ambiguous information. This is especially relevant in marketing, as I think the wrong business decisions made with inaccurate market information could result in financial, reputational, and environmental consequences. As a result, while I used AI as a productivity and learning tool, I prioritised human judgement at the heart of the evidence evaluation and recommendations. Nonetheless, AI enhanced the efficiency of the process of creating a report, especially in planning and refining the language. However, I continually checked and assessed AI-generated content and supported it with my own findings </w:t>
      </w:r>
      <w:r>
        <w:rPr>
          <w:rFonts w:ascii="Times New Roman" w:eastAsia="Times New Roman" w:hAnsi="Times New Roman" w:cs="Times New Roman"/>
          <w:color w:val="36363D"/>
          <w:sz w:val="24"/>
          <w:szCs w:val="24"/>
        </w:rPr>
        <w:lastRenderedPageBreak/>
        <w:t>from secondary research. Thus, the responsible use of AI is reliant on transparency, verifying the sources, and ensuring that humans remain in control of the final analysis and strategic decisions.</w:t>
      </w:r>
    </w:p>
    <w:p w14:paraId="12AAA041" w14:textId="77777777" w:rsidR="00CB4971" w:rsidRDefault="00000000">
      <w:pPr>
        <w:pStyle w:val="Heading1"/>
        <w:rPr>
          <w:color w:val="36363D"/>
        </w:rPr>
      </w:pPr>
      <w:bookmarkStart w:id="4" w:name="_Toc235698984"/>
      <w:r>
        <w:rPr>
          <w:color w:val="36363D"/>
        </w:rPr>
        <w:t>Conclusion</w:t>
      </w:r>
      <w:bookmarkEnd w:id="4"/>
      <w:r>
        <w:rPr>
          <w:color w:val="36363D"/>
        </w:rPr>
        <w:t xml:space="preserve"> </w:t>
      </w:r>
    </w:p>
    <w:p w14:paraId="36D28CE5"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36363D"/>
          <w:sz w:val="24"/>
          <w:szCs w:val="24"/>
        </w:rPr>
        <w:t>In conclusion, the drivers of BHP's move towards a lower carbon business model are environmental pressures, while legal expectations support it. Product development is supported by differentiation based on lower carbon and traceable minerals. This approach can help BHP meet sustainability expectations as it also opens up competitive opportunities with emerging energy transition minerals markets.</w:t>
      </w:r>
      <w:r>
        <w:br w:type="page"/>
      </w:r>
    </w:p>
    <w:p w14:paraId="4673F845" w14:textId="77777777" w:rsidR="00CB4971" w:rsidRDefault="00000000">
      <w:pPr>
        <w:pStyle w:val="Heading1"/>
      </w:pPr>
      <w:bookmarkStart w:id="5" w:name="_Toc235698985"/>
      <w:r>
        <w:lastRenderedPageBreak/>
        <w:t>References</w:t>
      </w:r>
      <w:bookmarkEnd w:id="5"/>
    </w:p>
    <w:p w14:paraId="6A08490E"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Ajiga, D., Okeleke, P.A., Folorunsho, S.O. and Ezeigweneme, C., (2024). The role of software automation in improving industrial operations and efficiency. </w:t>
      </w:r>
      <w:r>
        <w:rPr>
          <w:rFonts w:ascii="Times New Roman" w:eastAsia="Times New Roman" w:hAnsi="Times New Roman" w:cs="Times New Roman"/>
          <w:i/>
          <w:iCs/>
          <w:color w:val="000000"/>
          <w:sz w:val="24"/>
          <w:szCs w:val="24"/>
          <w:highlight w:val="white"/>
        </w:rPr>
        <w:t>International Journal of Engineering Research Updates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7</w:t>
      </w:r>
      <w:r>
        <w:rPr>
          <w:rFonts w:ascii="Times New Roman" w:eastAsia="Times New Roman" w:hAnsi="Times New Roman" w:cs="Times New Roman"/>
          <w:color w:val="000000"/>
          <w:sz w:val="24"/>
          <w:szCs w:val="24"/>
          <w:highlight w:val="white"/>
        </w:rPr>
        <w:t xml:space="preserve">(1), pp.22-35. </w:t>
      </w:r>
    </w:p>
    <w:p w14:paraId="5AE77DB1"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Álamos, N., Huneeus, N., Opazo, M., Osses, M., Puja, S., Pantoja, N., Denier van der Gon, H., Schueftan, A., Reyes, R. and Calvo, R., (2022). High-resolution inventory of atmospheric emissions from transport, industrial, energy, mining, and residential activities in Chile. </w:t>
      </w:r>
      <w:r>
        <w:rPr>
          <w:rFonts w:ascii="Times New Roman" w:eastAsia="Times New Roman" w:hAnsi="Times New Roman" w:cs="Times New Roman"/>
          <w:i/>
          <w:iCs/>
          <w:color w:val="000000"/>
          <w:sz w:val="24"/>
          <w:szCs w:val="24"/>
          <w:highlight w:val="white"/>
        </w:rPr>
        <w:t>Earth System Science Data</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14</w:t>
      </w:r>
      <w:r>
        <w:rPr>
          <w:rFonts w:ascii="Times New Roman" w:eastAsia="Times New Roman" w:hAnsi="Times New Roman" w:cs="Times New Roman"/>
          <w:color w:val="000000"/>
          <w:sz w:val="24"/>
          <w:szCs w:val="24"/>
          <w:highlight w:val="white"/>
        </w:rPr>
        <w:t xml:space="preserve">(1), pp.361-379. </w:t>
      </w:r>
    </w:p>
    <w:p w14:paraId="7DCDE6CF"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BHP, (2023). </w:t>
      </w:r>
      <w:r>
        <w:rPr>
          <w:rFonts w:ascii="Times New Roman" w:eastAsia="Times New Roman" w:hAnsi="Times New Roman" w:cs="Times New Roman"/>
          <w:i/>
          <w:iCs/>
          <w:color w:val="000000"/>
          <w:sz w:val="24"/>
          <w:szCs w:val="24"/>
          <w:highlight w:val="white"/>
        </w:rPr>
        <w:t xml:space="preserve">Board’s governance and oversight role. </w:t>
      </w:r>
      <w:r>
        <w:rPr>
          <w:rFonts w:ascii="Times New Roman" w:eastAsia="Times New Roman" w:hAnsi="Times New Roman" w:cs="Times New Roman"/>
          <w:color w:val="000000"/>
          <w:sz w:val="24"/>
          <w:szCs w:val="24"/>
        </w:rPr>
        <w:t xml:space="preserve">[Online]. Available at: </w:t>
      </w:r>
      <w:hyperlink r:id="rId12" w:history="1">
        <w:r w:rsidR="00CB4971">
          <w:rPr>
            <w:rFonts w:ascii="Times New Roman" w:eastAsia="Times New Roman" w:hAnsi="Times New Roman" w:cs="Times New Roman"/>
            <w:color w:val="1155CC"/>
            <w:sz w:val="24"/>
            <w:szCs w:val="24"/>
            <w:highlight w:val="white"/>
            <w:u w:val="single"/>
          </w:rPr>
          <w:t>https://www.bhp.com/-/media/documents/environment/2023/230822_brandclimatechangegovernance.pdf</w:t>
        </w:r>
      </w:hyperlink>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[Accessed on 21 July 2026]</w:t>
      </w:r>
    </w:p>
    <w:p w14:paraId="5F1C8889"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BHP, (2025). </w:t>
      </w:r>
      <w:r>
        <w:rPr>
          <w:rFonts w:ascii="Times New Roman" w:eastAsia="Times New Roman" w:hAnsi="Times New Roman" w:cs="Times New Roman"/>
          <w:i/>
          <w:iCs/>
          <w:color w:val="000000"/>
          <w:sz w:val="24"/>
          <w:szCs w:val="24"/>
          <w:highlight w:val="white"/>
        </w:rPr>
        <w:t xml:space="preserve">Annual Report 2025. </w:t>
      </w:r>
      <w:r>
        <w:rPr>
          <w:rFonts w:ascii="Times New Roman" w:eastAsia="Times New Roman" w:hAnsi="Times New Roman" w:cs="Times New Roman"/>
          <w:color w:val="000000"/>
          <w:sz w:val="24"/>
          <w:szCs w:val="24"/>
        </w:rPr>
        <w:t xml:space="preserve">[Online]. Available at: </w:t>
      </w:r>
      <w:hyperlink r:id="rId13" w:history="1">
        <w:r w:rsidR="00CB4971">
          <w:rPr>
            <w:rFonts w:ascii="Times New Roman" w:eastAsia="Times New Roman" w:hAnsi="Times New Roman" w:cs="Times New Roman"/>
            <w:color w:val="1155CC"/>
            <w:sz w:val="24"/>
            <w:szCs w:val="24"/>
            <w:highlight w:val="white"/>
            <w:u w:val="single"/>
          </w:rPr>
          <w:t>https://www.bhp.com/-/media/documents/investors/annual-reports/2025/250819_bhpannualreport2025.pdf</w:t>
        </w:r>
      </w:hyperlink>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[Accessed on 21 July 2026]</w:t>
      </w:r>
    </w:p>
    <w:p w14:paraId="64AEDAFD"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BHP, (2025). </w:t>
      </w:r>
      <w:r>
        <w:rPr>
          <w:rFonts w:ascii="Times New Roman" w:eastAsia="Times New Roman" w:hAnsi="Times New Roman" w:cs="Times New Roman"/>
          <w:i/>
          <w:iCs/>
          <w:color w:val="000000"/>
          <w:sz w:val="24"/>
          <w:szCs w:val="24"/>
          <w:highlight w:val="white"/>
        </w:rPr>
        <w:t xml:space="preserve">BHP Results for the full year ended 30 June 2025. </w:t>
      </w:r>
      <w:r>
        <w:rPr>
          <w:rFonts w:ascii="Times New Roman" w:eastAsia="Times New Roman" w:hAnsi="Times New Roman" w:cs="Times New Roman"/>
          <w:color w:val="000000"/>
          <w:sz w:val="24"/>
          <w:szCs w:val="24"/>
        </w:rPr>
        <w:t xml:space="preserve">[Online]. Available at: </w:t>
      </w:r>
      <w:hyperlink r:id="rId14" w:history="1">
        <w:r w:rsidR="00CB4971">
          <w:rPr>
            <w:rFonts w:ascii="Times New Roman" w:eastAsia="Times New Roman" w:hAnsi="Times New Roman" w:cs="Times New Roman"/>
            <w:color w:val="1155CC"/>
            <w:sz w:val="24"/>
            <w:szCs w:val="24"/>
            <w:highlight w:val="white"/>
            <w:u w:val="single"/>
          </w:rPr>
          <w:t>https://www.bhp.com/news/media-centre/releases/2025/08/bhp-results-for-the-full-year-ended-30-june-2025</w:t>
        </w:r>
      </w:hyperlink>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[Accessed on 21 July 2026]</w:t>
      </w:r>
    </w:p>
    <w:p w14:paraId="23141958"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BHP, (2026). </w:t>
      </w:r>
      <w:r>
        <w:rPr>
          <w:rFonts w:ascii="Times New Roman" w:eastAsia="Times New Roman" w:hAnsi="Times New Roman" w:cs="Times New Roman"/>
          <w:i/>
          <w:iCs/>
          <w:color w:val="000000"/>
          <w:sz w:val="24"/>
          <w:szCs w:val="24"/>
          <w:highlight w:val="white"/>
        </w:rPr>
        <w:t xml:space="preserve">Our latest disclosures. </w:t>
      </w:r>
      <w:r>
        <w:rPr>
          <w:rFonts w:ascii="Times New Roman" w:eastAsia="Times New Roman" w:hAnsi="Times New Roman" w:cs="Times New Roman"/>
          <w:color w:val="000000"/>
          <w:sz w:val="24"/>
          <w:szCs w:val="24"/>
        </w:rPr>
        <w:t xml:space="preserve">[Online]. Available at: </w:t>
      </w:r>
      <w:hyperlink r:id="rId15" w:history="1">
        <w:r w:rsidR="00CB4971">
          <w:rPr>
            <w:rFonts w:ascii="Times New Roman" w:eastAsia="Times New Roman" w:hAnsi="Times New Roman" w:cs="Times New Roman"/>
            <w:color w:val="1155CC"/>
            <w:sz w:val="24"/>
            <w:szCs w:val="24"/>
            <w:highlight w:val="white"/>
            <w:u w:val="single"/>
          </w:rPr>
          <w:t>https://www.bhp.com/sustainability/climate-change/operational-ghg-emissions</w:t>
        </w:r>
      </w:hyperlink>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[Accessed on 21 July 2026]</w:t>
      </w:r>
    </w:p>
    <w:p w14:paraId="551CFAFE"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Cathles, L.M., Simon, A.C. and Wood, D., (2025). Copper: mining, development, and electrification. </w:t>
      </w:r>
      <w:r>
        <w:rPr>
          <w:rFonts w:ascii="Times New Roman" w:eastAsia="Times New Roman" w:hAnsi="Times New Roman" w:cs="Times New Roman"/>
          <w:i/>
          <w:iCs/>
          <w:color w:val="000000"/>
          <w:sz w:val="24"/>
          <w:szCs w:val="24"/>
          <w:highlight w:val="white"/>
        </w:rPr>
        <w:t>SEG Discovery</w:t>
      </w:r>
      <w:r>
        <w:rPr>
          <w:rFonts w:ascii="Times New Roman" w:eastAsia="Times New Roman" w:hAnsi="Times New Roman" w:cs="Times New Roman"/>
          <w:color w:val="000000"/>
          <w:sz w:val="24"/>
          <w:szCs w:val="24"/>
          <w:highlight w:val="white"/>
        </w:rPr>
        <w:t xml:space="preserve">, (141), pp.13-20. </w:t>
      </w:r>
    </w:p>
    <w:p w14:paraId="53D5BAB0"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Change, I.C., (2022). Impacts. </w:t>
      </w:r>
      <w:r>
        <w:rPr>
          <w:rFonts w:ascii="Times New Roman" w:eastAsia="Times New Roman" w:hAnsi="Times New Roman" w:cs="Times New Roman"/>
          <w:i/>
          <w:iCs/>
          <w:color w:val="000000"/>
          <w:sz w:val="24"/>
          <w:szCs w:val="24"/>
          <w:highlight w:val="white"/>
        </w:rPr>
        <w:t>Adaptation and Vulnerability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10</w:t>
      </w:r>
      <w:r>
        <w:rPr>
          <w:rFonts w:ascii="Times New Roman" w:eastAsia="Times New Roman" w:hAnsi="Times New Roman" w:cs="Times New Roman"/>
          <w:color w:val="000000"/>
          <w:sz w:val="24"/>
          <w:szCs w:val="24"/>
          <w:highlight w:val="white"/>
        </w:rPr>
        <w:t xml:space="preserve">, p.9781009325844. </w:t>
      </w:r>
    </w:p>
    <w:p w14:paraId="4967D8AA"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Elkelawy, M., El-Ashmawy, W.M. and Ahmed, S.M., (2025). State of the art in concentrated solar power: latest technological advancements and innovations in efficiency and energy storage. </w:t>
      </w:r>
      <w:r>
        <w:rPr>
          <w:rFonts w:ascii="Times New Roman" w:eastAsia="Times New Roman" w:hAnsi="Times New Roman" w:cs="Times New Roman"/>
          <w:i/>
          <w:iCs/>
          <w:color w:val="000000"/>
          <w:sz w:val="24"/>
          <w:szCs w:val="24"/>
          <w:highlight w:val="white"/>
        </w:rPr>
        <w:t>Pharos Engineering Science Journal</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w:t>
      </w:r>
      <w:r>
        <w:rPr>
          <w:rFonts w:ascii="Times New Roman" w:eastAsia="Times New Roman" w:hAnsi="Times New Roman" w:cs="Times New Roman"/>
          <w:color w:val="000000"/>
          <w:sz w:val="24"/>
          <w:szCs w:val="24"/>
          <w:highlight w:val="white"/>
        </w:rPr>
        <w:t xml:space="preserve">(1), pp.17-28. </w:t>
      </w:r>
    </w:p>
    <w:p w14:paraId="2FEFCCB9" w14:textId="77777777" w:rsidR="00CB4971" w:rsidRDefault="00000000">
      <w:pPr>
        <w:pStyle w:val="Normal1"/>
        <w:pBdr>
          <w:top w:val="nil"/>
          <w:left w:val="nil"/>
          <w:bottom w:val="nil"/>
          <w:right w:val="nil"/>
          <w:between w:val="nil"/>
        </w:pBdr>
        <w:spacing w:before="120" w:line="360" w:lineRule="auto"/>
        <w:jc w:val="both"/>
        <w:rPr>
          <w:color w:val="000000"/>
        </w:rPr>
      </w:pPr>
      <w:r>
        <w:rPr>
          <w:rFonts w:ascii="Times New Roman" w:eastAsia="Times New Roman" w:hAnsi="Times New Roman" w:cs="Times New Roman"/>
          <w:color w:val="000000"/>
          <w:sz w:val="24"/>
          <w:szCs w:val="24"/>
          <w:highlight w:val="white"/>
        </w:rPr>
        <w:lastRenderedPageBreak/>
        <w:t xml:space="preserve">Ferreira, A.P.P.F.S. and de Sá, M.M.B.P., (2024). The importance of the Ansoff matrix for the study of the information services market. </w:t>
      </w:r>
      <w:r>
        <w:rPr>
          <w:rFonts w:ascii="Times New Roman" w:eastAsia="Times New Roman" w:hAnsi="Times New Roman" w:cs="Times New Roman"/>
          <w:i/>
          <w:iCs/>
          <w:color w:val="000000"/>
          <w:sz w:val="24"/>
          <w:szCs w:val="24"/>
          <w:highlight w:val="white"/>
        </w:rPr>
        <w:t>The Canadian Journal of Information and Library Science</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47</w:t>
      </w:r>
      <w:r>
        <w:rPr>
          <w:rFonts w:ascii="Times New Roman" w:eastAsia="Times New Roman" w:hAnsi="Times New Roman" w:cs="Times New Roman"/>
          <w:color w:val="000000"/>
          <w:sz w:val="24"/>
          <w:szCs w:val="24"/>
          <w:highlight w:val="white"/>
        </w:rPr>
        <w:t xml:space="preserve">(2), pp.78-84. </w:t>
      </w:r>
    </w:p>
    <w:p w14:paraId="1D8D9C51"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Henestrosa, A.L. and Kimmerle, J., (2025). “Always check important information!”-The role of disclaimers in the perception of AI-generated content. </w:t>
      </w:r>
      <w:r>
        <w:rPr>
          <w:rFonts w:ascii="Times New Roman" w:eastAsia="Times New Roman" w:hAnsi="Times New Roman" w:cs="Times New Roman"/>
          <w:i/>
          <w:iCs/>
          <w:color w:val="000000"/>
          <w:sz w:val="24"/>
          <w:szCs w:val="24"/>
          <w:highlight w:val="white"/>
        </w:rPr>
        <w:t>Computers in Human Behavior: Artificial Humans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4</w:t>
      </w:r>
      <w:r>
        <w:rPr>
          <w:rFonts w:ascii="Times New Roman" w:eastAsia="Times New Roman" w:hAnsi="Times New Roman" w:cs="Times New Roman"/>
          <w:color w:val="000000"/>
          <w:sz w:val="24"/>
          <w:szCs w:val="24"/>
          <w:highlight w:val="white"/>
        </w:rPr>
        <w:t xml:space="preserve">, p.100142. </w:t>
      </w:r>
    </w:p>
    <w:p w14:paraId="5CB2915C"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Ivanova, S., Vesnina, A., Fotina, N. and Prosekov, A., (2022). An overview of carbon footprint of coal mining to curtail greenhouse gas emissions. </w:t>
      </w:r>
      <w:r>
        <w:rPr>
          <w:rFonts w:ascii="Times New Roman" w:eastAsia="Times New Roman" w:hAnsi="Times New Roman" w:cs="Times New Roman"/>
          <w:i/>
          <w:iCs/>
          <w:color w:val="000000"/>
          <w:sz w:val="24"/>
          <w:szCs w:val="24"/>
          <w:highlight w:val="white"/>
        </w:rPr>
        <w:t>Sustainability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14</w:t>
      </w:r>
      <w:r>
        <w:rPr>
          <w:rFonts w:ascii="Times New Roman" w:eastAsia="Times New Roman" w:hAnsi="Times New Roman" w:cs="Times New Roman"/>
          <w:color w:val="000000"/>
          <w:sz w:val="24"/>
          <w:szCs w:val="24"/>
          <w:highlight w:val="white"/>
        </w:rPr>
        <w:t xml:space="preserve">(22), p.15135. </w:t>
      </w:r>
    </w:p>
    <w:p w14:paraId="497F70A1"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Jain, V., Mogaji, E., Sharma, H., and Babbili, A.S., (2024). A multi-stakeholder perspective of relationship marketing in higher education institutions. </w:t>
      </w:r>
      <w:r>
        <w:rPr>
          <w:rFonts w:ascii="Times New Roman" w:eastAsia="Times New Roman" w:hAnsi="Times New Roman" w:cs="Times New Roman"/>
          <w:i/>
          <w:iCs/>
          <w:color w:val="000000"/>
          <w:sz w:val="24"/>
          <w:szCs w:val="24"/>
          <w:highlight w:val="white"/>
        </w:rPr>
        <w:t>Journal of Marketing for Higher Education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34</w:t>
      </w:r>
      <w:r>
        <w:rPr>
          <w:rFonts w:ascii="Times New Roman" w:eastAsia="Times New Roman" w:hAnsi="Times New Roman" w:cs="Times New Roman"/>
          <w:color w:val="000000"/>
          <w:sz w:val="24"/>
          <w:szCs w:val="24"/>
          <w:highlight w:val="white"/>
        </w:rPr>
        <w:t xml:space="preserve">(2), pp.502-520. </w:t>
      </w:r>
    </w:p>
    <w:p w14:paraId="3910B425"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Khan, Q.R., Xinshu, M., Qamri, G.M. and Nawaz, A., (2023). From COVID to conflict: Understanding the deriving forces of environment and implications for natural resources. </w:t>
      </w:r>
      <w:r>
        <w:rPr>
          <w:rFonts w:ascii="Times New Roman" w:eastAsia="Times New Roman" w:hAnsi="Times New Roman" w:cs="Times New Roman"/>
          <w:i/>
          <w:iCs/>
          <w:color w:val="000000"/>
          <w:sz w:val="24"/>
          <w:szCs w:val="24"/>
          <w:highlight w:val="white"/>
        </w:rPr>
        <w:t>Resources Policy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83</w:t>
      </w:r>
      <w:r>
        <w:rPr>
          <w:rFonts w:ascii="Times New Roman" w:eastAsia="Times New Roman" w:hAnsi="Times New Roman" w:cs="Times New Roman"/>
          <w:color w:val="000000"/>
          <w:sz w:val="24"/>
          <w:szCs w:val="24"/>
          <w:highlight w:val="white"/>
        </w:rPr>
        <w:t xml:space="preserve">, p.103700. </w:t>
      </w:r>
    </w:p>
    <w:p w14:paraId="50DBB93F"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Klose, S. and Pauliuk, S., (2023). Sector-level estimates for global future copper demand and the potential for resource efficiency. </w:t>
      </w:r>
      <w:r>
        <w:rPr>
          <w:rFonts w:ascii="Times New Roman" w:eastAsia="Times New Roman" w:hAnsi="Times New Roman" w:cs="Times New Roman"/>
          <w:i/>
          <w:iCs/>
          <w:color w:val="000000"/>
          <w:sz w:val="24"/>
          <w:szCs w:val="24"/>
          <w:highlight w:val="white"/>
        </w:rPr>
        <w:t>Resources, Conservation and Recycling</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193</w:t>
      </w:r>
      <w:r>
        <w:rPr>
          <w:rFonts w:ascii="Times New Roman" w:eastAsia="Times New Roman" w:hAnsi="Times New Roman" w:cs="Times New Roman"/>
          <w:color w:val="000000"/>
          <w:sz w:val="24"/>
          <w:szCs w:val="24"/>
          <w:highlight w:val="white"/>
        </w:rPr>
        <w:t xml:space="preserve">, p.106941. </w:t>
      </w:r>
    </w:p>
    <w:p w14:paraId="185E7C82"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Latif, Y.A., (2025). Hallucinations in large language models and their influence on legal reasoning: Examining the risks of ai-generated factual inaccuracies in judicial processes. </w:t>
      </w:r>
      <w:r>
        <w:rPr>
          <w:rFonts w:ascii="Times New Roman" w:eastAsia="Times New Roman" w:hAnsi="Times New Roman" w:cs="Times New Roman"/>
          <w:i/>
          <w:iCs/>
          <w:color w:val="000000"/>
          <w:sz w:val="24"/>
          <w:szCs w:val="24"/>
          <w:highlight w:val="white"/>
        </w:rPr>
        <w:t>Journal of Computational Intelligence, Machine Reasoning, and Decision-Making</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10</w:t>
      </w:r>
      <w:r>
        <w:rPr>
          <w:rFonts w:ascii="Times New Roman" w:eastAsia="Times New Roman" w:hAnsi="Times New Roman" w:cs="Times New Roman"/>
          <w:color w:val="000000"/>
          <w:sz w:val="24"/>
          <w:szCs w:val="24"/>
          <w:highlight w:val="white"/>
        </w:rPr>
        <w:t xml:space="preserve">(2), pp.10-20. </w:t>
      </w:r>
    </w:p>
    <w:p w14:paraId="7BDB39CD"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Marfo-Yiadom, E., Kusi, L.Y. and Nketsiah, I., (2025. Efficacy of the Porter’s generic strategies in achieving competitive advantage: The mediating roles of market ambidexterity and firm performance. </w:t>
      </w:r>
      <w:r>
        <w:rPr>
          <w:rFonts w:ascii="Times New Roman" w:eastAsia="Times New Roman" w:hAnsi="Times New Roman" w:cs="Times New Roman"/>
          <w:i/>
          <w:iCs/>
          <w:color w:val="000000"/>
          <w:sz w:val="24"/>
          <w:szCs w:val="24"/>
          <w:highlight w:val="white"/>
        </w:rPr>
        <w:t>Journal of Business and Enterprise Development (JOBED)</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13</w:t>
      </w:r>
      <w:r>
        <w:rPr>
          <w:rFonts w:ascii="Times New Roman" w:eastAsia="Times New Roman" w:hAnsi="Times New Roman" w:cs="Times New Roman"/>
          <w:color w:val="000000"/>
          <w:sz w:val="24"/>
          <w:szCs w:val="24"/>
          <w:highlight w:val="white"/>
        </w:rPr>
        <w:t>(2), pp. 1-30.</w:t>
      </w:r>
    </w:p>
    <w:p w14:paraId="24455E9E"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Qomaro, G.W., Nasrulloh, N. and Salleh, A.Z., (2024). Leveraging The Ansoff Matrix for Strategic Growth in Packaged Food Micro-Enterprises. </w:t>
      </w:r>
      <w:r>
        <w:rPr>
          <w:rFonts w:ascii="Times New Roman" w:eastAsia="Times New Roman" w:hAnsi="Times New Roman" w:cs="Times New Roman"/>
          <w:i/>
          <w:iCs/>
          <w:color w:val="000000"/>
          <w:sz w:val="24"/>
          <w:szCs w:val="24"/>
          <w:highlight w:val="white"/>
        </w:rPr>
        <w:t>Dinar: Jurnal Ekonomi dan Keuangan Islam</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11</w:t>
      </w:r>
      <w:r>
        <w:rPr>
          <w:rFonts w:ascii="Times New Roman" w:eastAsia="Times New Roman" w:hAnsi="Times New Roman" w:cs="Times New Roman"/>
          <w:color w:val="000000"/>
          <w:sz w:val="24"/>
          <w:szCs w:val="24"/>
          <w:highlight w:val="white"/>
        </w:rPr>
        <w:t xml:space="preserve">(1), pp.51-66. </w:t>
      </w:r>
    </w:p>
    <w:p w14:paraId="144B91AB"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Reich, M. and Simon, A.C., (2025). Critical minerals. </w:t>
      </w:r>
      <w:r>
        <w:rPr>
          <w:rFonts w:ascii="Times New Roman" w:eastAsia="Times New Roman" w:hAnsi="Times New Roman" w:cs="Times New Roman"/>
          <w:i/>
          <w:iCs/>
          <w:color w:val="000000"/>
          <w:sz w:val="24"/>
          <w:szCs w:val="24"/>
          <w:highlight w:val="white"/>
        </w:rPr>
        <w:t>Annual Review of Earth and Planetary Sciences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53</w:t>
      </w:r>
      <w:r>
        <w:rPr>
          <w:rFonts w:ascii="Times New Roman" w:eastAsia="Times New Roman" w:hAnsi="Times New Roman" w:cs="Times New Roman"/>
          <w:color w:val="000000"/>
          <w:sz w:val="24"/>
          <w:szCs w:val="24"/>
          <w:highlight w:val="white"/>
        </w:rPr>
        <w:t xml:space="preserve">(1), pp.141-168. </w:t>
      </w:r>
    </w:p>
    <w:p w14:paraId="321FFE6D"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Rodrigues, M., Alves, M.C., Silva, R. and Oliveira, C., (2022). Mapping the literature on social responsibility and stakeholders’ pressures in the mining industry. </w:t>
      </w:r>
      <w:r>
        <w:rPr>
          <w:rFonts w:ascii="Times New Roman" w:eastAsia="Times New Roman" w:hAnsi="Times New Roman" w:cs="Times New Roman"/>
          <w:i/>
          <w:iCs/>
          <w:color w:val="000000"/>
          <w:sz w:val="24"/>
          <w:szCs w:val="24"/>
          <w:highlight w:val="white"/>
        </w:rPr>
        <w:t>Journal of Risk and Financial Management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15</w:t>
      </w:r>
      <w:r>
        <w:rPr>
          <w:rFonts w:ascii="Times New Roman" w:eastAsia="Times New Roman" w:hAnsi="Times New Roman" w:cs="Times New Roman"/>
          <w:color w:val="000000"/>
          <w:sz w:val="24"/>
          <w:szCs w:val="24"/>
          <w:highlight w:val="white"/>
        </w:rPr>
        <w:t xml:space="preserve">(10), p.425. </w:t>
      </w:r>
    </w:p>
    <w:p w14:paraId="10706302" w14:textId="77777777" w:rsidR="00CB4971" w:rsidRDefault="00000000">
      <w:pPr>
        <w:pStyle w:val="Normal1"/>
        <w:widowControl w:val="0"/>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Stone, A., (2023). Student perceptions of academic integrity: A qualitative study of understanding, consequences, and impact. </w:t>
      </w:r>
      <w:r>
        <w:rPr>
          <w:rFonts w:ascii="Times New Roman" w:eastAsia="Times New Roman" w:hAnsi="Times New Roman" w:cs="Times New Roman"/>
          <w:i/>
          <w:iCs/>
          <w:color w:val="000000"/>
          <w:sz w:val="24"/>
          <w:szCs w:val="24"/>
          <w:highlight w:val="white"/>
        </w:rPr>
        <w:t>Journal of Academic Ethics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21</w:t>
      </w:r>
      <w:r>
        <w:rPr>
          <w:rFonts w:ascii="Times New Roman" w:eastAsia="Times New Roman" w:hAnsi="Times New Roman" w:cs="Times New Roman"/>
          <w:color w:val="000000"/>
          <w:sz w:val="24"/>
          <w:szCs w:val="24"/>
          <w:highlight w:val="white"/>
        </w:rPr>
        <w:t xml:space="preserve">(3), pp.357-375. </w:t>
      </w:r>
    </w:p>
    <w:p w14:paraId="4292FB2C"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Tracenable, (2026). </w:t>
      </w:r>
      <w:r>
        <w:rPr>
          <w:rFonts w:ascii="Times New Roman" w:eastAsia="Times New Roman" w:hAnsi="Times New Roman" w:cs="Times New Roman"/>
          <w:i/>
          <w:iCs/>
          <w:color w:val="000000"/>
          <w:sz w:val="24"/>
          <w:szCs w:val="24"/>
          <w:highlight w:val="white"/>
        </w:rPr>
        <w:t xml:space="preserve">BHP Group Ltd. </w:t>
      </w:r>
      <w:r>
        <w:rPr>
          <w:rFonts w:ascii="Times New Roman" w:eastAsia="Times New Roman" w:hAnsi="Times New Roman" w:cs="Times New Roman"/>
          <w:color w:val="000000"/>
          <w:sz w:val="24"/>
          <w:szCs w:val="24"/>
        </w:rPr>
        <w:t xml:space="preserve">[Online]. Available at: </w:t>
      </w:r>
      <w:hyperlink r:id="rId16" w:history="1">
        <w:r w:rsidR="00CB4971">
          <w:rPr>
            <w:rFonts w:ascii="Times New Roman" w:eastAsia="Times New Roman" w:hAnsi="Times New Roman" w:cs="Times New Roman"/>
            <w:color w:val="1155CC"/>
            <w:sz w:val="24"/>
            <w:szCs w:val="24"/>
            <w:highlight w:val="white"/>
            <w:u w:val="single"/>
          </w:rPr>
          <w:t>https://tracenable.com/company/bhp-group/ghg-emissions</w:t>
        </w:r>
      </w:hyperlink>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rPr>
        <w:t>[Accessed on 21 July 2026]</w:t>
      </w:r>
    </w:p>
    <w:p w14:paraId="1BBAB0B6" w14:textId="77777777" w:rsidR="00CB4971" w:rsidRDefault="00000000">
      <w:pPr>
        <w:pStyle w:val="Normal1"/>
        <w:pBdr>
          <w:top w:val="nil"/>
          <w:left w:val="nil"/>
          <w:bottom w:val="nil"/>
          <w:right w:val="nil"/>
          <w:between w:val="nil"/>
        </w:pBdr>
        <w:spacing w:before="12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Zhumadilova, A., Zhigitova, S. and Turalina, M., (2023). The impact of greenhouse gases on climate change. </w:t>
      </w:r>
      <w:r>
        <w:rPr>
          <w:rFonts w:ascii="Times New Roman" w:eastAsia="Times New Roman" w:hAnsi="Times New Roman" w:cs="Times New Roman"/>
          <w:i/>
          <w:iCs/>
          <w:color w:val="000000"/>
          <w:sz w:val="24"/>
          <w:szCs w:val="24"/>
          <w:highlight w:val="white"/>
        </w:rPr>
        <w:t>Scientific Horizons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iCs/>
          <w:color w:val="000000"/>
          <w:sz w:val="24"/>
          <w:szCs w:val="24"/>
          <w:highlight w:val="white"/>
        </w:rPr>
        <w:t>26</w:t>
      </w:r>
      <w:r>
        <w:rPr>
          <w:rFonts w:ascii="Times New Roman" w:eastAsia="Times New Roman" w:hAnsi="Times New Roman" w:cs="Times New Roman"/>
          <w:color w:val="000000"/>
          <w:sz w:val="24"/>
          <w:szCs w:val="24"/>
          <w:highlight w:val="white"/>
        </w:rPr>
        <w:t>(6), pp.97-109.</w:t>
      </w:r>
      <w:r>
        <w:rPr>
          <w:rFonts w:ascii="Times New Roman" w:eastAsia="Times New Roman" w:hAnsi="Times New Roman" w:cs="Times New Roman"/>
          <w:color w:val="000000"/>
          <w:sz w:val="24"/>
          <w:szCs w:val="24"/>
        </w:rPr>
        <w:t xml:space="preserve"> </w:t>
      </w:r>
    </w:p>
    <w:p w14:paraId="6419F4E8" w14:textId="77777777" w:rsidR="00CB4971" w:rsidRDefault="00000000">
      <w:pPr>
        <w:pStyle w:val="Normal1"/>
        <w:rPr>
          <w:rFonts w:ascii="Times New Roman" w:eastAsia="Times New Roman" w:hAnsi="Times New Roman" w:cs="Times New Roman"/>
          <w:b/>
          <w:bCs/>
          <w:sz w:val="26"/>
          <w:szCs w:val="26"/>
        </w:rPr>
      </w:pPr>
      <w:r>
        <w:br w:type="page"/>
      </w:r>
    </w:p>
    <w:p w14:paraId="52D54A5D" w14:textId="77777777" w:rsidR="00CB4971" w:rsidRDefault="00000000">
      <w:pPr>
        <w:pStyle w:val="Heading1"/>
      </w:pPr>
      <w:bookmarkStart w:id="6" w:name="_Toc235698986"/>
      <w:r>
        <w:lastRenderedPageBreak/>
        <w:t>Appendices</w:t>
      </w:r>
      <w:bookmarkEnd w:id="6"/>
      <w:r>
        <w:t xml:space="preserve"> </w:t>
      </w:r>
    </w:p>
    <w:p w14:paraId="5B92A2B5" w14:textId="77777777" w:rsidR="00CB4971" w:rsidRDefault="00000000">
      <w:pPr>
        <w:pStyle w:val="Heading2"/>
      </w:pPr>
      <w:bookmarkStart w:id="7" w:name="_Toc235698987"/>
      <w:r>
        <w:t>Appendix 1: PESTLE analysis</w:t>
      </w:r>
      <w:bookmarkEnd w:id="7"/>
    </w:p>
    <w:tbl>
      <w:tblPr>
        <w:tblStyle w:val="a"/>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50"/>
        <w:gridCol w:w="5340"/>
        <w:gridCol w:w="1770"/>
      </w:tblGrid>
      <w:tr w:rsidR="00CB4971" w14:paraId="155BAF7D" w14:textId="77777777">
        <w:trPr>
          <w:cantSplit/>
          <w:trHeight w:val="515"/>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8DA30"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Factor</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73482"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Justification</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864D99"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Impact</w:t>
            </w:r>
          </w:p>
        </w:tc>
      </w:tr>
      <w:tr w:rsidR="00CB4971" w14:paraId="3E03C206" w14:textId="77777777">
        <w:trPr>
          <w:cantSplit/>
          <w:trHeight w:val="1085"/>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81E21"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Political</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8E262" w14:textId="77777777" w:rsidR="00CB4971" w:rsidRDefault="00000000">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 climate policies and support for critical minerals (</w:t>
            </w:r>
            <w:r>
              <w:rPr>
                <w:rFonts w:ascii="Times New Roman" w:eastAsia="Times New Roman" w:hAnsi="Times New Roman" w:cs="Times New Roman"/>
                <w:color w:val="000000"/>
                <w:sz w:val="24"/>
                <w:szCs w:val="24"/>
                <w:highlight w:val="white"/>
              </w:rPr>
              <w:t>Reich and Simon, 2025</w:t>
            </w:r>
            <w:r>
              <w:rPr>
                <w:rFonts w:ascii="Times New Roman" w:eastAsia="Times New Roman" w:hAnsi="Times New Roman" w:cs="Times New Roman"/>
                <w:color w:val="000000"/>
                <w:sz w:val="24"/>
                <w:szCs w:val="24"/>
              </w:rPr>
              <w:t>)</w:t>
            </w:r>
          </w:p>
          <w:p w14:paraId="2EF18FF6" w14:textId="77777777" w:rsidR="00CB4971" w:rsidRDefault="00000000">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Changing mining regulations influence strategic priorities and investment decisions</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C995A"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CB4971" w14:paraId="5AC6D4AB" w14:textId="77777777">
        <w:trPr>
          <w:cantSplit/>
          <w:trHeight w:val="1085"/>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74017"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Economic</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27904" w14:textId="77777777" w:rsidR="00CB4971" w:rsidRDefault="00000000">
            <w:pPr>
              <w:pStyle w:val="Normal1"/>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Growing demand for copper (</w:t>
            </w:r>
            <w:r>
              <w:rPr>
                <w:rFonts w:ascii="Times New Roman" w:eastAsia="Times New Roman" w:hAnsi="Times New Roman" w:cs="Times New Roman"/>
                <w:color w:val="000000"/>
                <w:sz w:val="24"/>
                <w:szCs w:val="24"/>
                <w:highlight w:val="white"/>
              </w:rPr>
              <w:t>Klose and Pauliuk, 2023</w:t>
            </w:r>
            <w:r>
              <w:rPr>
                <w:rFonts w:ascii="Times New Roman" w:eastAsia="Times New Roman" w:hAnsi="Times New Roman" w:cs="Times New Roman"/>
                <w:color w:val="000000"/>
                <w:sz w:val="24"/>
                <w:szCs w:val="24"/>
              </w:rPr>
              <w:t>)</w:t>
            </w:r>
          </w:p>
          <w:p w14:paraId="07094CF2" w14:textId="77777777" w:rsidR="00CB4971" w:rsidRDefault="00000000">
            <w:pPr>
              <w:pStyle w:val="Normal1"/>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Increasing use of other energy-transition minerals </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9A620"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CB4971" w14:paraId="780E3391" w14:textId="77777777">
        <w:trPr>
          <w:cantSplit/>
          <w:trHeight w:val="800"/>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9830F"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Social</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858F3E" w14:textId="77777777" w:rsidR="00CB4971" w:rsidRDefault="00000000">
            <w:pPr>
              <w:pStyle w:val="Normal1"/>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Stakeholders increasingly expect responsible mining (</w:t>
            </w:r>
            <w:r>
              <w:rPr>
                <w:rFonts w:ascii="Times New Roman" w:eastAsia="Times New Roman" w:hAnsi="Times New Roman" w:cs="Times New Roman"/>
                <w:color w:val="000000"/>
                <w:sz w:val="24"/>
                <w:szCs w:val="24"/>
                <w:highlight w:val="white"/>
              </w:rPr>
              <w:t xml:space="preserve">Rodrigues </w:t>
            </w:r>
            <w:r>
              <w:rPr>
                <w:rFonts w:ascii="Times New Roman" w:eastAsia="Times New Roman" w:hAnsi="Times New Roman" w:cs="Times New Roman"/>
                <w:i/>
                <w:iCs/>
                <w:color w:val="000000"/>
                <w:sz w:val="24"/>
                <w:szCs w:val="24"/>
                <w:highlight w:val="white"/>
              </w:rPr>
              <w:t>et al.</w:t>
            </w:r>
            <w:r>
              <w:rPr>
                <w:rFonts w:ascii="Times New Roman" w:eastAsia="Times New Roman" w:hAnsi="Times New Roman" w:cs="Times New Roman"/>
                <w:color w:val="000000"/>
                <w:sz w:val="24"/>
                <w:szCs w:val="24"/>
                <w:highlight w:val="white"/>
              </w:rPr>
              <w:t xml:space="preserve"> 2022</w:t>
            </w:r>
            <w:r>
              <w:rPr>
                <w:rFonts w:ascii="Times New Roman" w:eastAsia="Times New Roman" w:hAnsi="Times New Roman" w:cs="Times New Roman"/>
                <w:color w:val="000000"/>
                <w:sz w:val="24"/>
                <w:szCs w:val="24"/>
              </w:rPr>
              <w:t>)</w:t>
            </w:r>
          </w:p>
          <w:p w14:paraId="7DD53195" w14:textId="77777777" w:rsidR="00CB4971" w:rsidRDefault="00000000">
            <w:pPr>
              <w:pStyle w:val="Normal1"/>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Lower emissions and ethical sourcing are being expected by businesses</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C2F44"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CB4971" w14:paraId="6EF760C0" w14:textId="77777777">
        <w:trPr>
          <w:cantSplit/>
          <w:trHeight w:val="800"/>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DD4938"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Technological</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ED9CF" w14:textId="77777777" w:rsidR="00CB4971" w:rsidRDefault="00000000">
            <w:pPr>
              <w:pStyle w:val="Normal1"/>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Growth of electrification and renewable energy</w:t>
            </w:r>
          </w:p>
          <w:p w14:paraId="4B06CCB0" w14:textId="77777777" w:rsidR="00CB4971" w:rsidRDefault="00000000">
            <w:pPr>
              <w:pStyle w:val="Normal1"/>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Automation and digital monitoring improve operational efficiency (</w:t>
            </w:r>
            <w:r>
              <w:rPr>
                <w:rFonts w:ascii="Times New Roman" w:eastAsia="Times New Roman" w:hAnsi="Times New Roman" w:cs="Times New Roman"/>
                <w:color w:val="000000"/>
                <w:sz w:val="24"/>
                <w:szCs w:val="24"/>
                <w:highlight w:val="white"/>
              </w:rPr>
              <w:t xml:space="preserve">Ajiga </w:t>
            </w:r>
            <w:r>
              <w:rPr>
                <w:rFonts w:ascii="Times New Roman" w:eastAsia="Times New Roman" w:hAnsi="Times New Roman" w:cs="Times New Roman"/>
                <w:i/>
                <w:iCs/>
                <w:color w:val="000000"/>
                <w:sz w:val="24"/>
                <w:szCs w:val="24"/>
                <w:highlight w:val="white"/>
              </w:rPr>
              <w:t>et al.</w:t>
            </w:r>
            <w:r>
              <w:rPr>
                <w:rFonts w:ascii="Times New Roman" w:eastAsia="Times New Roman" w:hAnsi="Times New Roman" w:cs="Times New Roman"/>
                <w:color w:val="000000"/>
                <w:sz w:val="24"/>
                <w:szCs w:val="24"/>
                <w:highlight w:val="white"/>
              </w:rPr>
              <w:t xml:space="preserve"> 2024</w:t>
            </w:r>
            <w:r>
              <w:rPr>
                <w:rFonts w:ascii="Times New Roman" w:eastAsia="Times New Roman" w:hAnsi="Times New Roman" w:cs="Times New Roman"/>
                <w:color w:val="000000"/>
                <w:sz w:val="24"/>
                <w:szCs w:val="24"/>
              </w:rPr>
              <w:t>)</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76AC1"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CB4971" w14:paraId="2C7D9422" w14:textId="77777777">
        <w:trPr>
          <w:cantSplit/>
          <w:trHeight w:val="1085"/>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7A282"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Legal</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21957" w14:textId="77777777" w:rsidR="00CB4971" w:rsidRDefault="00000000">
            <w:pPr>
              <w:pStyle w:val="Normal1"/>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Environmental regulations</w:t>
            </w:r>
          </w:p>
          <w:p w14:paraId="3302D65A" w14:textId="77777777" w:rsidR="00CB4971" w:rsidRDefault="00000000">
            <w:pPr>
              <w:pStyle w:val="Normal1"/>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Emissions reporting requirements</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619EF"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r w:rsidR="00CB4971" w14:paraId="05FD64C0" w14:textId="77777777">
        <w:trPr>
          <w:cantSplit/>
          <w:trHeight w:val="800"/>
          <w:tblHeader/>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89991"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Environmental</w:t>
            </w:r>
          </w:p>
        </w:tc>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838E0" w14:textId="77777777" w:rsidR="00CB4971" w:rsidRDefault="00000000">
            <w:pPr>
              <w:pStyle w:val="Normal1"/>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Businesses are required to emphasise climate change and greenhouse-gas emissions (</w:t>
            </w:r>
            <w:r>
              <w:rPr>
                <w:rFonts w:ascii="Times New Roman" w:eastAsia="Times New Roman" w:hAnsi="Times New Roman" w:cs="Times New Roman"/>
                <w:color w:val="000000"/>
                <w:sz w:val="24"/>
                <w:szCs w:val="24"/>
                <w:highlight w:val="white"/>
              </w:rPr>
              <w:t xml:space="preserve">Zhumadilova </w:t>
            </w:r>
            <w:r>
              <w:rPr>
                <w:rFonts w:ascii="Times New Roman" w:eastAsia="Times New Roman" w:hAnsi="Times New Roman" w:cs="Times New Roman"/>
                <w:i/>
                <w:iCs/>
                <w:color w:val="000000"/>
                <w:sz w:val="24"/>
                <w:szCs w:val="24"/>
                <w:highlight w:val="white"/>
              </w:rPr>
              <w:t xml:space="preserve">et al. </w:t>
            </w:r>
            <w:r>
              <w:rPr>
                <w:rFonts w:ascii="Times New Roman" w:eastAsia="Times New Roman" w:hAnsi="Times New Roman" w:cs="Times New Roman"/>
                <w:color w:val="000000"/>
                <w:sz w:val="24"/>
                <w:szCs w:val="24"/>
                <w:highlight w:val="white"/>
              </w:rPr>
              <w:t>2023</w:t>
            </w:r>
            <w:r>
              <w:rPr>
                <w:rFonts w:ascii="Times New Roman" w:eastAsia="Times New Roman" w:hAnsi="Times New Roman" w:cs="Times New Roman"/>
                <w:color w:val="000000"/>
                <w:sz w:val="24"/>
                <w:szCs w:val="24"/>
              </w:rPr>
              <w:t>)</w:t>
            </w:r>
          </w:p>
          <w:p w14:paraId="674AC41C" w14:textId="77777777" w:rsidR="00CB4971" w:rsidRDefault="00000000">
            <w:pPr>
              <w:pStyle w:val="Normal1"/>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Water scarcity and extreme weather directly affect BHP's operations and reputation</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52651A" w14:textId="77777777" w:rsidR="00CB4971" w:rsidRDefault="00000000">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bl>
    <w:p w14:paraId="650EC61B" w14:textId="77777777" w:rsidR="00CB4971" w:rsidRDefault="00000000">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lastRenderedPageBreak/>
        <w:br w:type="page"/>
      </w:r>
    </w:p>
    <w:p w14:paraId="02D2E808" w14:textId="77777777" w:rsidR="00CB4971" w:rsidRDefault="00000000">
      <w:pPr>
        <w:pStyle w:val="Heading2"/>
      </w:pPr>
      <w:bookmarkStart w:id="8" w:name="_Toc235698988"/>
      <w:r>
        <w:lastRenderedPageBreak/>
        <w:t>Appendix 2: Porter's generic strategy</w:t>
      </w:r>
      <w:bookmarkEnd w:id="8"/>
    </w:p>
    <w:p w14:paraId="701C35CC" w14:textId="77777777" w:rsidR="00CB4971" w:rsidRDefault="00000000">
      <w:pPr>
        <w:pStyle w:val="Normal1"/>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10AF3672" wp14:editId="2CC87FC4">
            <wp:extent cx="3738562" cy="3762528"/>
            <wp:effectExtent l="0" t="0" r="0" b="0"/>
            <wp:docPr id="103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7" cstate="print"/>
                    <a:srcRect/>
                    <a:stretch/>
                  </pic:blipFill>
                  <pic:spPr>
                    <a:xfrm>
                      <a:off x="0" y="0"/>
                      <a:ext cx="3738562" cy="3762528"/>
                    </a:xfrm>
                    <a:prstGeom prst="rect">
                      <a:avLst/>
                    </a:prstGeom>
                    <a:ln w="9525" cap="flat" cmpd="sng">
                      <a:solidFill>
                        <a:srgbClr val="000000"/>
                      </a:solidFill>
                      <a:prstDash val="solid"/>
                      <a:round/>
                      <a:headEnd type="none" w="med" len="med"/>
                      <a:tailEnd type="none" w="med" len="med"/>
                    </a:ln>
                  </pic:spPr>
                </pic:pic>
              </a:graphicData>
            </a:graphic>
          </wp:inline>
        </w:drawing>
      </w:r>
    </w:p>
    <w:p w14:paraId="0548CA7A" w14:textId="77777777" w:rsidR="00CB4971" w:rsidRDefault="00000000">
      <w:pPr>
        <w:pStyle w:val="Normal1"/>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Marfo-Yiadom </w:t>
      </w:r>
      <w:r>
        <w:rPr>
          <w:rFonts w:ascii="Times New Roman" w:eastAsia="Times New Roman" w:hAnsi="Times New Roman" w:cs="Times New Roman"/>
          <w:i/>
          <w:iCs/>
          <w:color w:val="000000"/>
          <w:sz w:val="24"/>
          <w:szCs w:val="24"/>
        </w:rPr>
        <w:t>et al.</w:t>
      </w:r>
      <w:r>
        <w:rPr>
          <w:rFonts w:ascii="Times New Roman" w:eastAsia="Times New Roman" w:hAnsi="Times New Roman" w:cs="Times New Roman"/>
          <w:color w:val="000000"/>
          <w:sz w:val="24"/>
          <w:szCs w:val="24"/>
        </w:rPr>
        <w:t xml:space="preserve"> 2025)</w:t>
      </w:r>
    </w:p>
    <w:sectPr w:rsidR="00CB4971">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509E" w14:textId="77777777" w:rsidR="008A5942" w:rsidRDefault="008A5942">
      <w:pPr>
        <w:spacing w:line="240" w:lineRule="auto"/>
      </w:pPr>
      <w:r>
        <w:separator/>
      </w:r>
    </w:p>
  </w:endnote>
  <w:endnote w:type="continuationSeparator" w:id="0">
    <w:p w14:paraId="1F4099F2" w14:textId="77777777" w:rsidR="008A5942" w:rsidRDefault="008A59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embedRegular r:id="rId1" w:fontKey="{D42F41A7-9DFE-4176-A174-FE08EF8E0F99}"/>
  </w:font>
  <w:font w:name="Cambria">
    <w:altName w:val="Cambria"/>
    <w:panose1 w:val="02040503050406030204"/>
    <w:charset w:val="00"/>
    <w:family w:val="roman"/>
    <w:pitch w:val="variable"/>
    <w:sig w:usb0="E00006FF" w:usb1="420024FF" w:usb2="02000000" w:usb3="00000000" w:csb0="0000019F" w:csb1="00000000"/>
    <w:embedRegular r:id="rId2" w:fontKey="{E84896A5-7EAA-494D-B096-0653C93BF009}"/>
  </w:font>
  <w:font w:name="Calibri">
    <w:panose1 w:val="020F0502020204030204"/>
    <w:charset w:val="00"/>
    <w:family w:val="swiss"/>
    <w:pitch w:val="variable"/>
    <w:sig w:usb0="E4002EFF" w:usb1="C200247B" w:usb2="00000009" w:usb3="00000000" w:csb0="000001FF" w:csb1="00000000"/>
    <w:embedRegular r:id="rId3" w:fontKey="{F47071E5-6B02-4A91-A600-DC454963E0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5864" w14:textId="77777777" w:rsidR="00CB4971" w:rsidRDefault="00000000">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2386D3A4" w14:textId="77777777" w:rsidR="00CB4971" w:rsidRDefault="00CB4971">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01162" w14:textId="77777777" w:rsidR="008A5942" w:rsidRDefault="008A5942">
      <w:pPr>
        <w:spacing w:line="240" w:lineRule="auto"/>
      </w:pPr>
      <w:r>
        <w:separator/>
      </w:r>
    </w:p>
  </w:footnote>
  <w:footnote w:type="continuationSeparator" w:id="0">
    <w:p w14:paraId="151A2225" w14:textId="77777777" w:rsidR="008A5942" w:rsidRDefault="008A59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3926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66DC6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0B9CC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000004"/>
    <w:multiLevelType w:val="multilevel"/>
    <w:tmpl w:val="5FE44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000005"/>
    <w:multiLevelType w:val="multilevel"/>
    <w:tmpl w:val="339A2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6D0A48"/>
    <w:multiLevelType w:val="multilevel"/>
    <w:tmpl w:val="9236C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6125302">
    <w:abstractNumId w:val="0"/>
  </w:num>
  <w:num w:numId="2" w16cid:durableId="654646858">
    <w:abstractNumId w:val="3"/>
  </w:num>
  <w:num w:numId="3" w16cid:durableId="1017582502">
    <w:abstractNumId w:val="2"/>
  </w:num>
  <w:num w:numId="4" w16cid:durableId="1992171945">
    <w:abstractNumId w:val="4"/>
  </w:num>
  <w:num w:numId="5" w16cid:durableId="99684488">
    <w:abstractNumId w:val="1"/>
  </w:num>
  <w:num w:numId="6" w16cid:durableId="1215040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4971"/>
    <w:rsid w:val="00802CF8"/>
    <w:rsid w:val="008A5942"/>
    <w:rsid w:val="009A11ED"/>
    <w:rsid w:val="00A54941"/>
    <w:rsid w:val="00CB4971"/>
    <w:rsid w:val="00F52EB2"/>
    <w:rsid w:val="00FF6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356BE"/>
  <w15:docId w15:val="{C8B2A3B8-88F3-4E72-B540-BA0C7B35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keepLines/>
      <w:pBdr>
        <w:top w:val="nil"/>
        <w:left w:val="nil"/>
        <w:bottom w:val="nil"/>
        <w:right w:val="nil"/>
        <w:between w:val="nil"/>
      </w:pBdr>
      <w:spacing w:line="360" w:lineRule="auto"/>
      <w:jc w:val="both"/>
      <w:outlineLvl w:val="0"/>
    </w:pPr>
    <w:rPr>
      <w:rFonts w:ascii="Times New Roman" w:eastAsia="Times New Roman" w:hAnsi="Times New Roman" w:cs="Times New Roman"/>
      <w:b/>
      <w:bCs/>
      <w:color w:val="000000"/>
      <w:sz w:val="26"/>
      <w:szCs w:val="26"/>
    </w:rPr>
  </w:style>
  <w:style w:type="paragraph" w:styleId="Heading2">
    <w:name w:val="heading 2"/>
    <w:basedOn w:val="Normal1"/>
    <w:next w:val="Normal1"/>
    <w:uiPriority w:val="9"/>
    <w:unhideWhenUsed/>
    <w:qFormat/>
    <w:pPr>
      <w:keepNext/>
      <w:keepLines/>
      <w:pBdr>
        <w:top w:val="nil"/>
        <w:left w:val="nil"/>
        <w:bottom w:val="nil"/>
        <w:right w:val="nil"/>
        <w:between w:val="nil"/>
      </w:pBdr>
      <w:spacing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1"/>
    <w:next w:val="Normal1"/>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customStyle="1" w:styleId="Normal1">
    <w:name w:val="Normal1"/>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hp.com/-/media/documents/investors/annual-reports/2025/250819_bhpannualreport2025.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hp.com/-/media/documents/environment/2023/230822_brandclimatechangegovernance.pdf"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tracenable.com/company/bhp-group/ghg-emiss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hp.com/sustainability/climate-change/operational-ghg-emission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hp.com/news/media-centre/releases/2025/08/bhp-results-for-the-full-year-ended-30-june-202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TnkVVo3y1DjGtB7imm70EvthGQ==">CgMxLjAyDWguNXJ2dXNicTloOGsyDmgucHpydGd4aWpnMmdmMg5oLnlnYnEzbzNwNG9oeTIOaC5uOGJ2b2dyMTZ6dXoyDmguN251cjE0NnVqeTh3Mg5oLmlhYXhjNTlucDVmYzIOaC41NDl1NnN0MmZpMHgyDmgubnpqYTJ0NTZ1Mmk5Mg5oLjhmcG04cnFobGlmdzgAciExYVEzM29XS09XdmdsaGNjRnpaeEEyNGY2bDBoZUd2RVg=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3689</Words>
  <Characters>21028</Characters>
  <Application>Microsoft Office Word</Application>
  <DocSecurity>0</DocSecurity>
  <Lines>175</Lines>
  <Paragraphs>49</Paragraphs>
  <ScaleCrop>false</ScaleCrop>
  <Company/>
  <LinksUpToDate>false</LinksUpToDate>
  <CharactersWithSpaces>24668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dc:creator>
  <cp:lastModifiedBy>Dhruv Dudharejiya</cp:lastModifiedBy>
  <cp:revision>4</cp:revision>
  <dcterms:created xsi:type="dcterms:W3CDTF">2026-07-23T06:05:00Z</dcterms:created>
  <dcterms:modified xsi:type="dcterms:W3CDTF">2026-07-23T11:18:00Z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94026ea040534912aac777eb540aee8a_23</vt:lpwstr>
  </property>
</Properties>
</file>