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1EB3" w:rsidRPr="004B2610" w:rsidRDefault="0066528B" w:rsidP="004B2610">
      <w:pPr>
        <w:pStyle w:val="BodyText"/>
        <w:jc w:val="center"/>
        <w:rPr>
          <w:rFonts w:ascii="Verdana" w:hAnsi="Verdana"/>
          <w:sz w:val="24"/>
          <w:szCs w:val="24"/>
        </w:rPr>
      </w:pPr>
      <w:r w:rsidRPr="004B2610">
        <w:rPr>
          <w:rFonts w:ascii="Verdana" w:hAnsi="Verdana"/>
          <w:sz w:val="24"/>
          <w:szCs w:val="24"/>
        </w:rPr>
        <w:t>Identify some of the moral ambiguities in the behaviour of Abraham, Isaac and Jacob and explore how these are explained or justified within the Book of Genesis.</w:t>
      </w:r>
    </w:p>
    <w:p w:rsidR="0066528B" w:rsidRPr="001104E1" w:rsidRDefault="0066528B" w:rsidP="002C09DA">
      <w:pPr>
        <w:pStyle w:val="NoSpacing"/>
        <w:rPr>
          <w:rFonts w:ascii="Verdana" w:hAnsi="Verdana"/>
          <w:sz w:val="24"/>
          <w:szCs w:val="24"/>
        </w:rPr>
      </w:pPr>
    </w:p>
    <w:p w:rsidR="0066528B" w:rsidRDefault="00A13799" w:rsidP="002C09DA">
      <w:pPr>
        <w:pStyle w:val="NoSpacing"/>
        <w:rPr>
          <w:rFonts w:ascii="Verdana" w:hAnsi="Verdana"/>
          <w:b/>
          <w:sz w:val="24"/>
          <w:szCs w:val="24"/>
        </w:rPr>
      </w:pPr>
      <w:r w:rsidRPr="001104E1">
        <w:rPr>
          <w:rFonts w:ascii="Verdana" w:hAnsi="Verdana"/>
          <w:b/>
          <w:sz w:val="24"/>
          <w:szCs w:val="24"/>
        </w:rPr>
        <w:t>Word Count:</w:t>
      </w:r>
      <w:r w:rsidR="00606625">
        <w:rPr>
          <w:rFonts w:ascii="Verdana" w:hAnsi="Verdana"/>
          <w:b/>
          <w:sz w:val="24"/>
          <w:szCs w:val="24"/>
        </w:rPr>
        <w:t xml:space="preserve"> 2,750</w:t>
      </w:r>
    </w:p>
    <w:p w:rsidR="00A037A0" w:rsidRDefault="00A037A0" w:rsidP="002C09DA">
      <w:pPr>
        <w:pStyle w:val="NoSpacing"/>
        <w:rPr>
          <w:rFonts w:ascii="Verdana" w:hAnsi="Verdana"/>
          <w:b/>
          <w:sz w:val="24"/>
          <w:szCs w:val="24"/>
        </w:rPr>
      </w:pPr>
    </w:p>
    <w:p w:rsidR="00D37717" w:rsidRPr="00D37717" w:rsidRDefault="00D37717" w:rsidP="00D37717">
      <w:pPr>
        <w:pStyle w:val="NoSpacing"/>
        <w:rPr>
          <w:rFonts w:ascii="Verdana" w:hAnsi="Verdana"/>
          <w:sz w:val="24"/>
          <w:szCs w:val="24"/>
        </w:rPr>
      </w:pPr>
      <w:r w:rsidRPr="00D37717">
        <w:rPr>
          <w:rFonts w:ascii="Verdana" w:hAnsi="Verdana"/>
          <w:sz w:val="24"/>
          <w:szCs w:val="24"/>
        </w:rPr>
        <w:t>In stating ‘But from the from the tree of knowledge, good and evil, you shall not eat, for on the day that you eat from in you are doomed to die.’ (Genesis 2:17), the transcendent God of the Book of Genesis, relinquishes the responsibility for making choices for his human creation. In so doing, man</w:t>
      </w:r>
      <w:r w:rsidR="00B113F8">
        <w:rPr>
          <w:rFonts w:ascii="Verdana" w:hAnsi="Verdana"/>
          <w:sz w:val="24"/>
          <w:szCs w:val="24"/>
        </w:rPr>
        <w:t>,</w:t>
      </w:r>
      <w:r w:rsidRPr="00D37717">
        <w:rPr>
          <w:rFonts w:ascii="Verdana" w:hAnsi="Verdana"/>
          <w:sz w:val="24"/>
          <w:szCs w:val="24"/>
        </w:rPr>
        <w:t xml:space="preserve"> though moulded in the likeness of God </w:t>
      </w:r>
      <w:proofErr w:type="spellStart"/>
      <w:r w:rsidRPr="00D37717">
        <w:rPr>
          <w:rFonts w:ascii="Verdana" w:hAnsi="Verdana"/>
          <w:sz w:val="24"/>
          <w:szCs w:val="24"/>
        </w:rPr>
        <w:t>cosmogonically</w:t>
      </w:r>
      <w:proofErr w:type="spellEnd"/>
      <w:r w:rsidR="00B113F8">
        <w:rPr>
          <w:rFonts w:ascii="Verdana" w:hAnsi="Verdana"/>
          <w:sz w:val="24"/>
          <w:szCs w:val="24"/>
        </w:rPr>
        <w:t>,</w:t>
      </w:r>
      <w:r w:rsidRPr="00D37717">
        <w:rPr>
          <w:rFonts w:ascii="Verdana" w:hAnsi="Verdana"/>
          <w:sz w:val="24"/>
          <w:szCs w:val="24"/>
        </w:rPr>
        <w:t xml:space="preserve"> was not an ethically finished product</w:t>
      </w:r>
      <w:r>
        <w:rPr>
          <w:rStyle w:val="FootnoteReference"/>
          <w:rFonts w:ascii="Verdana" w:hAnsi="Verdana"/>
          <w:sz w:val="24"/>
          <w:szCs w:val="24"/>
        </w:rPr>
        <w:footnoteReference w:id="1"/>
      </w:r>
      <w:r w:rsidRPr="00D37717">
        <w:rPr>
          <w:rFonts w:ascii="Verdana" w:hAnsi="Verdana"/>
          <w:sz w:val="24"/>
          <w:szCs w:val="24"/>
        </w:rPr>
        <w:t>. Thus, the Book of Genesis traces the progress of the patriarchs in establishing a relationship with God, for themselves and their people, as they negotiate situations which inevitably lead to actions that are questionable both for contemporary listeners as well as modern readers. The following essay will explore some examples of the behaviour of Abraham and Jacob and how these fit into a moral framework.</w:t>
      </w:r>
    </w:p>
    <w:p w:rsidR="000C58D3" w:rsidRDefault="000C58D3" w:rsidP="002C09DA">
      <w:pPr>
        <w:pStyle w:val="NoSpacing"/>
        <w:rPr>
          <w:rFonts w:ascii="Verdana" w:hAnsi="Verdana"/>
          <w:sz w:val="24"/>
          <w:szCs w:val="24"/>
        </w:rPr>
      </w:pPr>
    </w:p>
    <w:p w:rsidR="008B1EB3" w:rsidRDefault="003B2253" w:rsidP="002C09DA">
      <w:pPr>
        <w:pStyle w:val="NoSpacing"/>
        <w:rPr>
          <w:rFonts w:ascii="Verdana" w:hAnsi="Verdana"/>
          <w:b/>
          <w:sz w:val="24"/>
          <w:szCs w:val="24"/>
        </w:rPr>
      </w:pPr>
      <w:r>
        <w:rPr>
          <w:rFonts w:ascii="Verdana" w:hAnsi="Verdana"/>
          <w:b/>
          <w:sz w:val="24"/>
          <w:szCs w:val="24"/>
        </w:rPr>
        <w:t>Abraham</w:t>
      </w:r>
    </w:p>
    <w:p w:rsidR="004B2610" w:rsidRDefault="004B2610" w:rsidP="002C09DA">
      <w:pPr>
        <w:pStyle w:val="NoSpacing"/>
        <w:rPr>
          <w:rFonts w:ascii="Verdana" w:hAnsi="Verdana"/>
          <w:b/>
          <w:sz w:val="24"/>
          <w:szCs w:val="24"/>
        </w:rPr>
      </w:pPr>
    </w:p>
    <w:p w:rsidR="00E21DEA" w:rsidRDefault="003B2253" w:rsidP="002C09DA">
      <w:pPr>
        <w:pStyle w:val="NoSpacing"/>
        <w:rPr>
          <w:rFonts w:ascii="Verdana" w:hAnsi="Verdana"/>
          <w:sz w:val="24"/>
          <w:szCs w:val="24"/>
        </w:rPr>
      </w:pPr>
      <w:r>
        <w:rPr>
          <w:rFonts w:ascii="Verdana" w:hAnsi="Verdana"/>
          <w:sz w:val="24"/>
          <w:szCs w:val="24"/>
        </w:rPr>
        <w:t xml:space="preserve">Given the importance of Abraham </w:t>
      </w:r>
      <w:r w:rsidR="00047A5C">
        <w:rPr>
          <w:rFonts w:ascii="Verdana" w:hAnsi="Verdana"/>
          <w:sz w:val="24"/>
          <w:szCs w:val="24"/>
        </w:rPr>
        <w:t xml:space="preserve">as a character </w:t>
      </w:r>
      <w:r>
        <w:rPr>
          <w:rFonts w:ascii="Verdana" w:hAnsi="Verdana"/>
          <w:sz w:val="24"/>
          <w:szCs w:val="24"/>
        </w:rPr>
        <w:t>and the lengthy treatment that he is given in Genesis, his behaviour offers a number of occasions that can be considered from a moral perspective. The domestic scene, particularly</w:t>
      </w:r>
      <w:r w:rsidR="0082396F">
        <w:rPr>
          <w:rFonts w:ascii="Verdana" w:hAnsi="Verdana"/>
          <w:sz w:val="24"/>
          <w:szCs w:val="24"/>
        </w:rPr>
        <w:t>,</w:t>
      </w:r>
      <w:r>
        <w:rPr>
          <w:rFonts w:ascii="Verdana" w:hAnsi="Verdana"/>
          <w:sz w:val="24"/>
          <w:szCs w:val="24"/>
        </w:rPr>
        <w:t xml:space="preserve"> seems to be shadowed by unhappiness and thus offers the reader situations that can be considered morally ambiguous</w:t>
      </w:r>
      <w:r w:rsidR="008F2894">
        <w:rPr>
          <w:rStyle w:val="FootnoteReference"/>
          <w:rFonts w:ascii="Verdana" w:hAnsi="Verdana"/>
          <w:sz w:val="24"/>
          <w:szCs w:val="24"/>
        </w:rPr>
        <w:footnoteReference w:id="2"/>
      </w:r>
      <w:r>
        <w:rPr>
          <w:rFonts w:ascii="Verdana" w:hAnsi="Verdana"/>
          <w:sz w:val="24"/>
          <w:szCs w:val="24"/>
        </w:rPr>
        <w:t>.</w:t>
      </w:r>
      <w:r w:rsidR="00307F2A">
        <w:rPr>
          <w:rFonts w:ascii="Verdana" w:hAnsi="Verdana"/>
          <w:sz w:val="24"/>
          <w:szCs w:val="24"/>
        </w:rPr>
        <w:t xml:space="preserve"> </w:t>
      </w:r>
      <w:r w:rsidR="0082396F">
        <w:rPr>
          <w:rFonts w:ascii="Verdana" w:hAnsi="Verdana"/>
          <w:sz w:val="24"/>
          <w:szCs w:val="24"/>
        </w:rPr>
        <w:t>There are three occasions in Genesis where wives are ‘passed off’ as sisters</w:t>
      </w:r>
      <w:r w:rsidR="009E5C04">
        <w:rPr>
          <w:rFonts w:ascii="Verdana" w:hAnsi="Verdana"/>
          <w:sz w:val="24"/>
          <w:szCs w:val="24"/>
        </w:rPr>
        <w:t xml:space="preserve">; twice by Abraham </w:t>
      </w:r>
      <w:r w:rsidR="008F2894">
        <w:rPr>
          <w:rFonts w:ascii="Verdana" w:hAnsi="Verdana"/>
          <w:sz w:val="24"/>
          <w:szCs w:val="24"/>
        </w:rPr>
        <w:t>(</w:t>
      </w:r>
      <w:r w:rsidR="009E5C04">
        <w:rPr>
          <w:rFonts w:ascii="Verdana" w:hAnsi="Verdana"/>
          <w:sz w:val="24"/>
          <w:szCs w:val="24"/>
        </w:rPr>
        <w:t>12:10-20; 20:1-18</w:t>
      </w:r>
      <w:r w:rsidR="008F2894">
        <w:rPr>
          <w:rFonts w:ascii="Verdana" w:hAnsi="Verdana"/>
          <w:sz w:val="24"/>
          <w:szCs w:val="24"/>
        </w:rPr>
        <w:t>)</w:t>
      </w:r>
      <w:r w:rsidR="009E5C04">
        <w:rPr>
          <w:rFonts w:ascii="Verdana" w:hAnsi="Verdana"/>
          <w:sz w:val="24"/>
          <w:szCs w:val="24"/>
        </w:rPr>
        <w:t xml:space="preserve"> and once by Isaac </w:t>
      </w:r>
      <w:r w:rsidR="008F2894">
        <w:rPr>
          <w:rFonts w:ascii="Verdana" w:hAnsi="Verdana"/>
          <w:sz w:val="24"/>
          <w:szCs w:val="24"/>
        </w:rPr>
        <w:t>(</w:t>
      </w:r>
      <w:r w:rsidR="009E5C04">
        <w:rPr>
          <w:rFonts w:ascii="Verdana" w:hAnsi="Verdana"/>
          <w:sz w:val="24"/>
          <w:szCs w:val="24"/>
        </w:rPr>
        <w:t>26:1-16</w:t>
      </w:r>
      <w:r w:rsidR="008F2894">
        <w:rPr>
          <w:rFonts w:ascii="Verdana" w:hAnsi="Verdana"/>
          <w:sz w:val="24"/>
          <w:szCs w:val="24"/>
        </w:rPr>
        <w:t>)</w:t>
      </w:r>
      <w:r w:rsidR="009E5C04">
        <w:rPr>
          <w:rFonts w:ascii="Verdana" w:hAnsi="Verdana"/>
          <w:sz w:val="24"/>
          <w:szCs w:val="24"/>
        </w:rPr>
        <w:t>. The threefold repetition has been described as a literary device to create a particular effect</w:t>
      </w:r>
      <w:r w:rsidR="008F2894">
        <w:rPr>
          <w:rStyle w:val="FootnoteReference"/>
          <w:rFonts w:ascii="Verdana" w:hAnsi="Verdana"/>
          <w:sz w:val="24"/>
          <w:szCs w:val="24"/>
        </w:rPr>
        <w:footnoteReference w:id="3"/>
      </w:r>
      <w:r w:rsidR="009E5C04">
        <w:rPr>
          <w:rFonts w:ascii="Verdana" w:hAnsi="Verdana"/>
          <w:sz w:val="24"/>
          <w:szCs w:val="24"/>
        </w:rPr>
        <w:t>. Each occurs at a pivotal point in the narrative and also help to provide some sort of structure for the patriarchal stories</w:t>
      </w:r>
      <w:r w:rsidR="008F2894">
        <w:rPr>
          <w:rStyle w:val="FootnoteReference"/>
          <w:rFonts w:ascii="Verdana" w:hAnsi="Verdana"/>
          <w:sz w:val="24"/>
          <w:szCs w:val="24"/>
        </w:rPr>
        <w:footnoteReference w:id="4"/>
      </w:r>
      <w:r w:rsidR="008B1EB3">
        <w:rPr>
          <w:rFonts w:ascii="Verdana" w:hAnsi="Verdana"/>
          <w:sz w:val="24"/>
          <w:szCs w:val="24"/>
        </w:rPr>
        <w:t>.</w:t>
      </w:r>
      <w:r w:rsidR="009E5C04">
        <w:rPr>
          <w:rFonts w:ascii="Verdana" w:hAnsi="Verdana"/>
          <w:sz w:val="24"/>
          <w:szCs w:val="24"/>
        </w:rPr>
        <w:t xml:space="preserve"> </w:t>
      </w:r>
      <w:r w:rsidR="00E13C42">
        <w:rPr>
          <w:rFonts w:ascii="Verdana" w:hAnsi="Verdana"/>
          <w:sz w:val="24"/>
          <w:szCs w:val="24"/>
        </w:rPr>
        <w:t>This motif, however, only appears in Genesis</w:t>
      </w:r>
      <w:r w:rsidR="008F2894">
        <w:rPr>
          <w:rStyle w:val="FootnoteReference"/>
          <w:rFonts w:ascii="Verdana" w:hAnsi="Verdana"/>
          <w:sz w:val="24"/>
          <w:szCs w:val="24"/>
        </w:rPr>
        <w:footnoteReference w:id="5"/>
      </w:r>
      <w:r w:rsidR="00E13C42">
        <w:rPr>
          <w:rFonts w:ascii="Verdana" w:hAnsi="Verdana"/>
          <w:sz w:val="24"/>
          <w:szCs w:val="24"/>
        </w:rPr>
        <w:t>.</w:t>
      </w:r>
      <w:r w:rsidR="00306E4C">
        <w:rPr>
          <w:rFonts w:ascii="Verdana" w:hAnsi="Verdana"/>
          <w:sz w:val="24"/>
          <w:szCs w:val="24"/>
        </w:rPr>
        <w:t xml:space="preserve"> </w:t>
      </w:r>
      <w:r w:rsidR="009E5C04">
        <w:rPr>
          <w:rFonts w:ascii="Verdana" w:hAnsi="Verdana"/>
          <w:sz w:val="24"/>
          <w:szCs w:val="24"/>
        </w:rPr>
        <w:t>Robert Alter des</w:t>
      </w:r>
      <w:r w:rsidR="00306E4C">
        <w:rPr>
          <w:rFonts w:ascii="Verdana" w:hAnsi="Verdana"/>
          <w:sz w:val="24"/>
          <w:szCs w:val="24"/>
        </w:rPr>
        <w:t>ignates</w:t>
      </w:r>
      <w:r w:rsidR="009E5C04">
        <w:rPr>
          <w:rFonts w:ascii="Verdana" w:hAnsi="Verdana"/>
          <w:sz w:val="24"/>
          <w:szCs w:val="24"/>
        </w:rPr>
        <w:t xml:space="preserve"> this thrice repeated </w:t>
      </w:r>
      <w:r w:rsidR="00306E4C">
        <w:rPr>
          <w:rFonts w:ascii="Verdana" w:hAnsi="Verdana"/>
          <w:sz w:val="24"/>
          <w:szCs w:val="24"/>
        </w:rPr>
        <w:t>compositional pattern</w:t>
      </w:r>
      <w:r w:rsidR="00D642A1">
        <w:rPr>
          <w:rFonts w:ascii="Verdana" w:hAnsi="Verdana"/>
          <w:sz w:val="24"/>
          <w:szCs w:val="24"/>
        </w:rPr>
        <w:t>,</w:t>
      </w:r>
      <w:r w:rsidR="009E5C04">
        <w:rPr>
          <w:rFonts w:ascii="Verdana" w:hAnsi="Verdana"/>
          <w:sz w:val="24"/>
          <w:szCs w:val="24"/>
        </w:rPr>
        <w:t xml:space="preserve"> </w:t>
      </w:r>
      <w:r w:rsidR="00306E4C">
        <w:rPr>
          <w:rFonts w:ascii="Verdana" w:hAnsi="Verdana"/>
          <w:sz w:val="24"/>
          <w:szCs w:val="24"/>
        </w:rPr>
        <w:t>which would appear to be conscious convention</w:t>
      </w:r>
      <w:r w:rsidR="002D2303">
        <w:rPr>
          <w:rFonts w:ascii="Verdana" w:hAnsi="Verdana"/>
          <w:sz w:val="24"/>
          <w:szCs w:val="24"/>
        </w:rPr>
        <w:t>,</w:t>
      </w:r>
      <w:r w:rsidR="00306E4C">
        <w:rPr>
          <w:rFonts w:ascii="Verdana" w:hAnsi="Verdana"/>
          <w:sz w:val="24"/>
          <w:szCs w:val="24"/>
        </w:rPr>
        <w:t xml:space="preserve"> </w:t>
      </w:r>
      <w:r w:rsidR="009E5C04">
        <w:rPr>
          <w:rFonts w:ascii="Verdana" w:hAnsi="Verdana"/>
          <w:sz w:val="24"/>
          <w:szCs w:val="24"/>
        </w:rPr>
        <w:t xml:space="preserve">as a </w:t>
      </w:r>
      <w:r w:rsidR="00306E4C">
        <w:rPr>
          <w:rFonts w:ascii="Verdana" w:hAnsi="Verdana"/>
          <w:sz w:val="24"/>
          <w:szCs w:val="24"/>
        </w:rPr>
        <w:t>‘</w:t>
      </w:r>
      <w:r w:rsidR="009E5C04">
        <w:rPr>
          <w:rFonts w:ascii="Verdana" w:hAnsi="Verdana"/>
          <w:sz w:val="24"/>
          <w:szCs w:val="24"/>
        </w:rPr>
        <w:t>type-scene</w:t>
      </w:r>
      <w:r w:rsidR="00306E4C">
        <w:rPr>
          <w:rFonts w:ascii="Verdana" w:hAnsi="Verdana"/>
          <w:sz w:val="24"/>
          <w:szCs w:val="24"/>
        </w:rPr>
        <w:t>’</w:t>
      </w:r>
      <w:r w:rsidR="008F2894">
        <w:rPr>
          <w:rStyle w:val="FootnoteReference"/>
          <w:rFonts w:ascii="Verdana" w:hAnsi="Verdana"/>
          <w:sz w:val="24"/>
          <w:szCs w:val="24"/>
        </w:rPr>
        <w:footnoteReference w:id="6"/>
      </w:r>
      <w:r w:rsidR="009E5C04">
        <w:rPr>
          <w:rFonts w:ascii="Verdana" w:hAnsi="Verdana"/>
          <w:sz w:val="24"/>
          <w:szCs w:val="24"/>
        </w:rPr>
        <w:t>. He argues that the fixed sequence of narrative motifs would have been familiar as a convention to the audience, each modified to fit the needs of the current narrative context</w:t>
      </w:r>
      <w:r w:rsidR="008F2894">
        <w:rPr>
          <w:rStyle w:val="FootnoteReference"/>
          <w:rFonts w:ascii="Verdana" w:hAnsi="Verdana"/>
          <w:sz w:val="24"/>
          <w:szCs w:val="24"/>
        </w:rPr>
        <w:footnoteReference w:id="7"/>
      </w:r>
      <w:r w:rsidR="00E13C42">
        <w:rPr>
          <w:rFonts w:ascii="Verdana" w:hAnsi="Verdana"/>
          <w:sz w:val="24"/>
          <w:szCs w:val="24"/>
        </w:rPr>
        <w:t xml:space="preserve">. </w:t>
      </w:r>
      <w:r w:rsidR="00987901">
        <w:rPr>
          <w:rFonts w:ascii="Verdana" w:hAnsi="Verdana"/>
          <w:sz w:val="24"/>
          <w:szCs w:val="24"/>
        </w:rPr>
        <w:t xml:space="preserve">Further, he suggests that these duplications of narratives in Scripture where changes occur, and even the identities of individuals shift (Abraham and Sarah/Isaac and Rebekah), could be evidence that these </w:t>
      </w:r>
      <w:r w:rsidR="00987901">
        <w:rPr>
          <w:rFonts w:ascii="Verdana" w:hAnsi="Verdana"/>
          <w:sz w:val="24"/>
          <w:szCs w:val="24"/>
        </w:rPr>
        <w:lastRenderedPageBreak/>
        <w:t>narratives have an oral tradition similar to Homeric tradition</w:t>
      </w:r>
      <w:r w:rsidR="008F2894">
        <w:rPr>
          <w:rStyle w:val="FootnoteReference"/>
          <w:rFonts w:ascii="Verdana" w:hAnsi="Verdana"/>
          <w:sz w:val="24"/>
          <w:szCs w:val="24"/>
        </w:rPr>
        <w:footnoteReference w:id="8"/>
      </w:r>
      <w:r w:rsidR="00987901">
        <w:rPr>
          <w:rFonts w:ascii="Verdana" w:hAnsi="Verdana"/>
          <w:sz w:val="24"/>
          <w:szCs w:val="24"/>
        </w:rPr>
        <w:t>.</w:t>
      </w:r>
      <w:r w:rsidR="00307F2A">
        <w:rPr>
          <w:rFonts w:ascii="Verdana" w:hAnsi="Verdana"/>
          <w:sz w:val="24"/>
          <w:szCs w:val="24"/>
        </w:rPr>
        <w:t xml:space="preserve"> </w:t>
      </w:r>
      <w:r w:rsidR="00047A5C">
        <w:rPr>
          <w:rFonts w:ascii="Verdana" w:hAnsi="Verdana"/>
          <w:sz w:val="24"/>
          <w:szCs w:val="24"/>
        </w:rPr>
        <w:t>Whilst epic type-scene involves descriptive detail, the Bible is not descriptive; in addition, the type-scene is a vehicle for portraying daily ritual and in the Bible daily ritual is only touched upon where pivotal actions occur and at points in the lives of the characters are critical and revealing</w:t>
      </w:r>
      <w:r w:rsidR="008F2894">
        <w:rPr>
          <w:rStyle w:val="FootnoteReference"/>
          <w:rFonts w:ascii="Verdana" w:hAnsi="Verdana"/>
          <w:sz w:val="24"/>
          <w:szCs w:val="24"/>
        </w:rPr>
        <w:footnoteReference w:id="9"/>
      </w:r>
      <w:r w:rsidR="00047A5C">
        <w:rPr>
          <w:rFonts w:ascii="Verdana" w:hAnsi="Verdana"/>
          <w:sz w:val="24"/>
          <w:szCs w:val="24"/>
        </w:rPr>
        <w:t>.</w:t>
      </w:r>
      <w:r w:rsidR="00C734BA">
        <w:rPr>
          <w:rFonts w:ascii="Verdana" w:hAnsi="Verdana"/>
          <w:sz w:val="24"/>
          <w:szCs w:val="24"/>
        </w:rPr>
        <w:t xml:space="preserve"> The type-scene thus formally recognises a particular kind of narrative </w:t>
      </w:r>
      <w:r w:rsidR="00307F2A">
        <w:rPr>
          <w:rFonts w:ascii="Verdana" w:hAnsi="Verdana"/>
          <w:sz w:val="24"/>
          <w:szCs w:val="24"/>
        </w:rPr>
        <w:t>moment;</w:t>
      </w:r>
      <w:r w:rsidR="00C734BA">
        <w:rPr>
          <w:rFonts w:ascii="Verdana" w:hAnsi="Verdana"/>
          <w:sz w:val="24"/>
          <w:szCs w:val="24"/>
        </w:rPr>
        <w:t xml:space="preserve"> however, it also enables that moment to be attached to a larger pattern of historical and theological meaning</w:t>
      </w:r>
      <w:r w:rsidR="00045C11">
        <w:rPr>
          <w:rStyle w:val="FootnoteReference"/>
          <w:rFonts w:ascii="Verdana" w:hAnsi="Verdana"/>
          <w:sz w:val="24"/>
          <w:szCs w:val="24"/>
        </w:rPr>
        <w:footnoteReference w:id="10"/>
      </w:r>
      <w:r w:rsidR="00C734BA">
        <w:rPr>
          <w:rFonts w:ascii="Verdana" w:hAnsi="Verdana"/>
          <w:sz w:val="24"/>
          <w:szCs w:val="24"/>
        </w:rPr>
        <w:t>.</w:t>
      </w:r>
    </w:p>
    <w:p w:rsidR="004F633F" w:rsidRDefault="00C734BA" w:rsidP="002C09DA">
      <w:pPr>
        <w:pStyle w:val="NoSpacing"/>
        <w:rPr>
          <w:rFonts w:ascii="Verdana" w:hAnsi="Verdana"/>
          <w:sz w:val="24"/>
          <w:szCs w:val="24"/>
        </w:rPr>
      </w:pPr>
      <w:r>
        <w:rPr>
          <w:rFonts w:ascii="Verdana" w:hAnsi="Verdana"/>
          <w:sz w:val="24"/>
          <w:szCs w:val="24"/>
        </w:rPr>
        <w:t>In the first sister-wife episode, and the only one we will consider here, the theme of God’s promise to Abraham dominates the chapter</w:t>
      </w:r>
      <w:r w:rsidR="000B41F1">
        <w:rPr>
          <w:rFonts w:ascii="Verdana" w:hAnsi="Verdana"/>
          <w:sz w:val="24"/>
          <w:szCs w:val="24"/>
        </w:rPr>
        <w:t>;</w:t>
      </w:r>
      <w:r>
        <w:rPr>
          <w:rFonts w:ascii="Verdana" w:hAnsi="Verdana"/>
          <w:sz w:val="24"/>
          <w:szCs w:val="24"/>
        </w:rPr>
        <w:t xml:space="preserve"> continuity of the promise is dependent on the production of male progeny</w:t>
      </w:r>
      <w:r w:rsidR="00045C11">
        <w:rPr>
          <w:rStyle w:val="FootnoteReference"/>
          <w:rFonts w:ascii="Verdana" w:hAnsi="Verdana"/>
          <w:sz w:val="24"/>
          <w:szCs w:val="24"/>
        </w:rPr>
        <w:footnoteReference w:id="11"/>
      </w:r>
      <w:r>
        <w:rPr>
          <w:rFonts w:ascii="Verdana" w:hAnsi="Verdana"/>
          <w:sz w:val="24"/>
          <w:szCs w:val="24"/>
        </w:rPr>
        <w:t>.</w:t>
      </w:r>
      <w:r w:rsidR="000B41F1">
        <w:rPr>
          <w:rFonts w:ascii="Verdana" w:hAnsi="Verdana"/>
          <w:sz w:val="24"/>
          <w:szCs w:val="24"/>
        </w:rPr>
        <w:t xml:space="preserve"> </w:t>
      </w:r>
      <w:r w:rsidR="006A6CDF">
        <w:rPr>
          <w:rFonts w:ascii="Verdana" w:hAnsi="Verdana"/>
          <w:sz w:val="24"/>
          <w:szCs w:val="24"/>
        </w:rPr>
        <w:t>Famine forces the family to flee to Egypt recognised in the Midrash as a foreshadowing of Exodus</w:t>
      </w:r>
      <w:r w:rsidR="00045C11">
        <w:rPr>
          <w:rStyle w:val="FootnoteReference"/>
          <w:rFonts w:ascii="Verdana" w:hAnsi="Verdana"/>
          <w:sz w:val="24"/>
          <w:szCs w:val="24"/>
        </w:rPr>
        <w:footnoteReference w:id="12"/>
      </w:r>
      <w:r w:rsidR="006A6CDF">
        <w:rPr>
          <w:rFonts w:ascii="Verdana" w:hAnsi="Verdana"/>
          <w:sz w:val="24"/>
          <w:szCs w:val="24"/>
        </w:rPr>
        <w:t xml:space="preserve">. </w:t>
      </w:r>
      <w:r w:rsidR="006A4239">
        <w:rPr>
          <w:rFonts w:ascii="Verdana" w:hAnsi="Verdana"/>
          <w:sz w:val="24"/>
          <w:szCs w:val="24"/>
        </w:rPr>
        <w:t>Abraham seemingly shows little concern for the promises of God that are carried down to Egypt by him</w:t>
      </w:r>
      <w:r w:rsidR="00045C11">
        <w:rPr>
          <w:rStyle w:val="FootnoteReference"/>
          <w:rFonts w:ascii="Verdana" w:hAnsi="Verdana"/>
          <w:sz w:val="24"/>
          <w:szCs w:val="24"/>
        </w:rPr>
        <w:footnoteReference w:id="13"/>
      </w:r>
      <w:r w:rsidR="006A4239">
        <w:rPr>
          <w:rFonts w:ascii="Verdana" w:hAnsi="Verdana"/>
          <w:sz w:val="24"/>
          <w:szCs w:val="24"/>
        </w:rPr>
        <w:t>. It may be that Sarah’s role in the fulfilment of this promise is not at first obvious that it is endangered</w:t>
      </w:r>
      <w:r w:rsidR="00045C11">
        <w:rPr>
          <w:rStyle w:val="FootnoteReference"/>
          <w:rFonts w:ascii="Verdana" w:hAnsi="Verdana"/>
          <w:sz w:val="24"/>
          <w:szCs w:val="24"/>
        </w:rPr>
        <w:footnoteReference w:id="14"/>
      </w:r>
      <w:r w:rsidR="006A4239">
        <w:rPr>
          <w:rFonts w:ascii="Verdana" w:hAnsi="Verdana"/>
          <w:sz w:val="24"/>
          <w:szCs w:val="24"/>
        </w:rPr>
        <w:t xml:space="preserve"> and of the many times that the fulfilment of the promise to Abraham is </w:t>
      </w:r>
      <w:r w:rsidR="009F1688">
        <w:rPr>
          <w:rFonts w:ascii="Verdana" w:hAnsi="Verdana"/>
          <w:sz w:val="24"/>
          <w:szCs w:val="24"/>
        </w:rPr>
        <w:t>in</w:t>
      </w:r>
      <w:r w:rsidR="006A4239">
        <w:rPr>
          <w:rFonts w:ascii="Verdana" w:hAnsi="Verdana"/>
          <w:sz w:val="24"/>
          <w:szCs w:val="24"/>
        </w:rPr>
        <w:t xml:space="preserve"> peril, this is the first</w:t>
      </w:r>
      <w:r w:rsidR="00045C11">
        <w:rPr>
          <w:rStyle w:val="FootnoteReference"/>
          <w:rFonts w:ascii="Verdana" w:hAnsi="Verdana"/>
          <w:sz w:val="24"/>
          <w:szCs w:val="24"/>
        </w:rPr>
        <w:footnoteReference w:id="15"/>
      </w:r>
      <w:r w:rsidR="006A4239">
        <w:rPr>
          <w:rFonts w:ascii="Verdana" w:hAnsi="Verdana"/>
          <w:sz w:val="24"/>
          <w:szCs w:val="24"/>
        </w:rPr>
        <w:t>.</w:t>
      </w:r>
      <w:r w:rsidR="00307F2A">
        <w:rPr>
          <w:rFonts w:ascii="Verdana" w:hAnsi="Verdana"/>
          <w:sz w:val="24"/>
          <w:szCs w:val="24"/>
        </w:rPr>
        <w:t xml:space="preserve"> </w:t>
      </w:r>
      <w:r w:rsidR="006A6CDF">
        <w:rPr>
          <w:rFonts w:ascii="Verdana" w:hAnsi="Verdana"/>
          <w:sz w:val="24"/>
          <w:szCs w:val="24"/>
        </w:rPr>
        <w:t xml:space="preserve">In asking Sarah to pose as his sister rather than his wife, </w:t>
      </w:r>
      <w:r w:rsidR="009F1688">
        <w:rPr>
          <w:rFonts w:ascii="Verdana" w:hAnsi="Verdana"/>
          <w:sz w:val="24"/>
          <w:szCs w:val="24"/>
        </w:rPr>
        <w:t xml:space="preserve">Sarah is not in any danger of her </w:t>
      </w:r>
      <w:r w:rsidR="00657AE8">
        <w:rPr>
          <w:rFonts w:ascii="Verdana" w:hAnsi="Verdana"/>
          <w:sz w:val="24"/>
          <w:szCs w:val="24"/>
        </w:rPr>
        <w:t>life;</w:t>
      </w:r>
      <w:r w:rsidR="009F1688">
        <w:rPr>
          <w:rFonts w:ascii="Verdana" w:hAnsi="Verdana"/>
          <w:sz w:val="24"/>
          <w:szCs w:val="24"/>
        </w:rPr>
        <w:t xml:space="preserve"> however, the reader knows that nascent Israel is in danger</w:t>
      </w:r>
      <w:r w:rsidR="00045C11" w:rsidRPr="00A5640E">
        <w:rPr>
          <w:rStyle w:val="FootnoteReference"/>
          <w:rFonts w:ascii="Verdana" w:hAnsi="Verdana"/>
          <w:sz w:val="24"/>
          <w:szCs w:val="24"/>
        </w:rPr>
        <w:footnoteReference w:id="16"/>
      </w:r>
      <w:r w:rsidR="009F1688" w:rsidRPr="00A5640E">
        <w:rPr>
          <w:rFonts w:ascii="Verdana" w:hAnsi="Verdana"/>
          <w:sz w:val="24"/>
          <w:szCs w:val="24"/>
        </w:rPr>
        <w:t>.</w:t>
      </w:r>
      <w:r w:rsidR="006A6CDF" w:rsidRPr="00A5640E">
        <w:rPr>
          <w:rFonts w:ascii="Verdana" w:hAnsi="Verdana"/>
          <w:sz w:val="24"/>
          <w:szCs w:val="24"/>
        </w:rPr>
        <w:t xml:space="preserve"> </w:t>
      </w:r>
      <w:r w:rsidR="009F1688" w:rsidRPr="00A5640E">
        <w:rPr>
          <w:rFonts w:ascii="Verdana" w:hAnsi="Verdana"/>
          <w:sz w:val="24"/>
          <w:szCs w:val="24"/>
        </w:rPr>
        <w:t>That Abraham appears to lack real understanding of God’s promises, suggests that he lacks moral vision and therefore is acting unethically</w:t>
      </w:r>
      <w:r w:rsidR="00045C11" w:rsidRPr="00A5640E">
        <w:rPr>
          <w:rStyle w:val="FootnoteReference"/>
          <w:rFonts w:ascii="Verdana" w:hAnsi="Verdana"/>
          <w:sz w:val="24"/>
          <w:szCs w:val="24"/>
        </w:rPr>
        <w:footnoteReference w:id="17"/>
      </w:r>
      <w:r w:rsidR="009F1688" w:rsidRPr="00A5640E">
        <w:rPr>
          <w:rFonts w:ascii="Verdana" w:hAnsi="Verdana"/>
          <w:sz w:val="24"/>
          <w:szCs w:val="24"/>
        </w:rPr>
        <w:t>.</w:t>
      </w:r>
      <w:r w:rsidR="004F633F" w:rsidRPr="00A5640E">
        <w:rPr>
          <w:rFonts w:ascii="Verdana" w:hAnsi="Verdana"/>
          <w:sz w:val="24"/>
          <w:szCs w:val="24"/>
        </w:rPr>
        <w:t xml:space="preserve"> </w:t>
      </w:r>
      <w:r w:rsidR="00962D50">
        <w:rPr>
          <w:rFonts w:ascii="Verdana" w:hAnsi="Verdana"/>
          <w:sz w:val="24"/>
          <w:szCs w:val="24"/>
        </w:rPr>
        <w:t>Abraham’s motives of fear and self-interest are clearly stated three times, and upheld at Sara</w:t>
      </w:r>
      <w:r w:rsidR="00FE0571">
        <w:rPr>
          <w:rFonts w:ascii="Verdana" w:hAnsi="Verdana"/>
          <w:sz w:val="24"/>
          <w:szCs w:val="24"/>
        </w:rPr>
        <w:t>h</w:t>
      </w:r>
      <w:r w:rsidR="00962D50">
        <w:rPr>
          <w:rFonts w:ascii="Verdana" w:hAnsi="Verdana"/>
          <w:sz w:val="24"/>
          <w:szCs w:val="24"/>
        </w:rPr>
        <w:t>’s expense: ‘…then they will kill me, but they will let you live… so that it may go well with me because of you and that my life may be spared on your account’</w:t>
      </w:r>
      <w:r w:rsidR="00045C11">
        <w:rPr>
          <w:rStyle w:val="FootnoteReference"/>
          <w:rFonts w:ascii="Verdana" w:hAnsi="Verdana"/>
          <w:sz w:val="24"/>
          <w:szCs w:val="24"/>
        </w:rPr>
        <w:footnoteReference w:id="18"/>
      </w:r>
      <w:r w:rsidR="00962D50">
        <w:rPr>
          <w:rFonts w:ascii="Verdana" w:hAnsi="Verdana"/>
          <w:sz w:val="24"/>
          <w:szCs w:val="24"/>
        </w:rPr>
        <w:t>.</w:t>
      </w:r>
      <w:r w:rsidR="004F633F">
        <w:rPr>
          <w:rFonts w:ascii="Verdana" w:hAnsi="Verdana"/>
          <w:sz w:val="24"/>
          <w:szCs w:val="24"/>
        </w:rPr>
        <w:t xml:space="preserve"> </w:t>
      </w:r>
      <w:r w:rsidR="009E1B04">
        <w:rPr>
          <w:rFonts w:ascii="Verdana" w:hAnsi="Verdana"/>
          <w:sz w:val="24"/>
          <w:szCs w:val="24"/>
        </w:rPr>
        <w:t>Although the story is told without making a</w:t>
      </w:r>
      <w:r w:rsidR="002321EC">
        <w:rPr>
          <w:rFonts w:ascii="Verdana" w:hAnsi="Verdana"/>
          <w:sz w:val="24"/>
          <w:szCs w:val="24"/>
        </w:rPr>
        <w:t>n obvious</w:t>
      </w:r>
      <w:r w:rsidR="009E1B04">
        <w:rPr>
          <w:rFonts w:ascii="Verdana" w:hAnsi="Verdana"/>
          <w:sz w:val="24"/>
          <w:szCs w:val="24"/>
        </w:rPr>
        <w:t xml:space="preserve"> moral judgement, the contrast between the Abraham of 12:1-9 who acts immediately on God’s command in leaving his home, and the Abraham of this story, is striking</w:t>
      </w:r>
      <w:r w:rsidR="00045C11">
        <w:rPr>
          <w:rStyle w:val="FootnoteReference"/>
          <w:rFonts w:ascii="Verdana" w:hAnsi="Verdana"/>
          <w:sz w:val="24"/>
          <w:szCs w:val="24"/>
        </w:rPr>
        <w:footnoteReference w:id="19"/>
      </w:r>
      <w:r w:rsidR="009E1B04">
        <w:rPr>
          <w:rFonts w:ascii="Verdana" w:hAnsi="Verdana"/>
          <w:sz w:val="24"/>
          <w:szCs w:val="24"/>
        </w:rPr>
        <w:t>. Striking too is that Abraham emerges from this incident not only physically unharmed but rewarded with great wealth (12:16;20)</w:t>
      </w:r>
      <w:r w:rsidR="00045C11">
        <w:rPr>
          <w:rStyle w:val="FootnoteReference"/>
          <w:rFonts w:ascii="Verdana" w:hAnsi="Verdana"/>
          <w:sz w:val="24"/>
          <w:szCs w:val="24"/>
        </w:rPr>
        <w:footnoteReference w:id="20"/>
      </w:r>
      <w:r w:rsidR="009E1B04">
        <w:rPr>
          <w:rFonts w:ascii="Verdana" w:hAnsi="Verdana"/>
          <w:sz w:val="24"/>
          <w:szCs w:val="24"/>
        </w:rPr>
        <w:t>.</w:t>
      </w:r>
      <w:r w:rsidR="004F633F">
        <w:rPr>
          <w:rFonts w:ascii="Verdana" w:hAnsi="Verdana"/>
          <w:sz w:val="24"/>
          <w:szCs w:val="24"/>
        </w:rPr>
        <w:t xml:space="preserve"> </w:t>
      </w:r>
      <w:r w:rsidR="004F0ED9">
        <w:rPr>
          <w:rFonts w:ascii="Verdana" w:hAnsi="Verdana"/>
          <w:sz w:val="24"/>
          <w:szCs w:val="24"/>
        </w:rPr>
        <w:t>It is</w:t>
      </w:r>
      <w:r w:rsidR="00874C0D">
        <w:rPr>
          <w:rFonts w:ascii="Verdana" w:hAnsi="Verdana"/>
          <w:sz w:val="24"/>
          <w:szCs w:val="24"/>
        </w:rPr>
        <w:t>, however,</w:t>
      </w:r>
      <w:r w:rsidR="004F0ED9">
        <w:rPr>
          <w:rFonts w:ascii="Verdana" w:hAnsi="Verdana"/>
          <w:sz w:val="24"/>
          <w:szCs w:val="24"/>
        </w:rPr>
        <w:t xml:space="preserve"> important to note that</w:t>
      </w:r>
      <w:r w:rsidR="006A4239">
        <w:rPr>
          <w:rFonts w:ascii="Verdana" w:hAnsi="Verdana"/>
          <w:sz w:val="24"/>
          <w:szCs w:val="24"/>
        </w:rPr>
        <w:t xml:space="preserve"> although he is a model of piety</w:t>
      </w:r>
      <w:r w:rsidR="00045C11">
        <w:rPr>
          <w:rStyle w:val="FootnoteReference"/>
          <w:rFonts w:ascii="Verdana" w:hAnsi="Verdana"/>
          <w:sz w:val="24"/>
          <w:szCs w:val="24"/>
        </w:rPr>
        <w:footnoteReference w:id="21"/>
      </w:r>
      <w:r w:rsidR="004F0ED9">
        <w:rPr>
          <w:rFonts w:ascii="Verdana" w:hAnsi="Verdana"/>
          <w:sz w:val="24"/>
          <w:szCs w:val="24"/>
        </w:rPr>
        <w:t xml:space="preserve"> it is not sai</w:t>
      </w:r>
      <w:r w:rsidR="006A4239">
        <w:rPr>
          <w:rFonts w:ascii="Verdana" w:hAnsi="Verdana"/>
          <w:sz w:val="24"/>
          <w:szCs w:val="24"/>
        </w:rPr>
        <w:t xml:space="preserve">d that Abraham is morally perfect, </w:t>
      </w:r>
      <w:r w:rsidR="004F0ED9">
        <w:rPr>
          <w:rFonts w:ascii="Verdana" w:hAnsi="Verdana"/>
          <w:sz w:val="24"/>
          <w:szCs w:val="24"/>
        </w:rPr>
        <w:t xml:space="preserve">as it is of Noah (6:9). </w:t>
      </w:r>
      <w:r w:rsidR="006A4239">
        <w:rPr>
          <w:rFonts w:ascii="Verdana" w:hAnsi="Verdana"/>
          <w:sz w:val="24"/>
          <w:szCs w:val="24"/>
        </w:rPr>
        <w:t>Abrahams’s moral character is thus not t</w:t>
      </w:r>
      <w:r w:rsidR="004F0ED9">
        <w:rPr>
          <w:rFonts w:ascii="Verdana" w:hAnsi="Verdana"/>
          <w:sz w:val="24"/>
          <w:szCs w:val="24"/>
        </w:rPr>
        <w:t xml:space="preserve">he point of the story </w:t>
      </w:r>
      <w:r w:rsidR="004F0ED9">
        <w:rPr>
          <w:rFonts w:ascii="Verdana" w:hAnsi="Verdana"/>
          <w:sz w:val="24"/>
          <w:szCs w:val="24"/>
        </w:rPr>
        <w:lastRenderedPageBreak/>
        <w:t xml:space="preserve">in its present context but </w:t>
      </w:r>
      <w:r w:rsidR="006A4239">
        <w:rPr>
          <w:rFonts w:ascii="Verdana" w:hAnsi="Verdana"/>
          <w:sz w:val="24"/>
          <w:szCs w:val="24"/>
        </w:rPr>
        <w:t xml:space="preserve">rather </w:t>
      </w:r>
      <w:r w:rsidR="004F0ED9">
        <w:rPr>
          <w:rFonts w:ascii="Verdana" w:hAnsi="Verdana"/>
          <w:sz w:val="24"/>
          <w:szCs w:val="24"/>
        </w:rPr>
        <w:t xml:space="preserve">that he </w:t>
      </w:r>
      <w:r w:rsidR="006A4239">
        <w:rPr>
          <w:rFonts w:ascii="Verdana" w:hAnsi="Verdana"/>
          <w:sz w:val="24"/>
          <w:szCs w:val="24"/>
        </w:rPr>
        <w:t>carries</w:t>
      </w:r>
      <w:r w:rsidR="004F0ED9">
        <w:rPr>
          <w:rFonts w:ascii="Verdana" w:hAnsi="Verdana"/>
          <w:sz w:val="24"/>
          <w:szCs w:val="24"/>
        </w:rPr>
        <w:t xml:space="preserve"> God’s promise to him and his descendants</w:t>
      </w:r>
      <w:r w:rsidR="00045C11">
        <w:rPr>
          <w:rStyle w:val="FootnoteReference"/>
          <w:rFonts w:ascii="Verdana" w:hAnsi="Verdana"/>
          <w:sz w:val="24"/>
          <w:szCs w:val="24"/>
        </w:rPr>
        <w:footnoteReference w:id="22"/>
      </w:r>
      <w:r w:rsidR="004F0ED9">
        <w:rPr>
          <w:rFonts w:ascii="Verdana" w:hAnsi="Verdana"/>
          <w:sz w:val="24"/>
          <w:szCs w:val="24"/>
        </w:rPr>
        <w:t>.</w:t>
      </w:r>
      <w:r w:rsidR="004F633F">
        <w:rPr>
          <w:rFonts w:ascii="Verdana" w:hAnsi="Verdana"/>
          <w:sz w:val="24"/>
          <w:szCs w:val="24"/>
        </w:rPr>
        <w:t xml:space="preserve"> </w:t>
      </w:r>
    </w:p>
    <w:p w:rsidR="00D22017" w:rsidRDefault="00D24476" w:rsidP="002C09DA">
      <w:pPr>
        <w:pStyle w:val="NoSpacing"/>
        <w:rPr>
          <w:rFonts w:ascii="Verdana" w:hAnsi="Verdana"/>
          <w:sz w:val="24"/>
          <w:szCs w:val="24"/>
        </w:rPr>
      </w:pPr>
      <w:r>
        <w:rPr>
          <w:rFonts w:ascii="Verdana" w:hAnsi="Verdana"/>
          <w:sz w:val="24"/>
          <w:szCs w:val="24"/>
        </w:rPr>
        <w:t xml:space="preserve">Although Abraham does not state his </w:t>
      </w:r>
      <w:r w:rsidR="009F1688">
        <w:rPr>
          <w:rFonts w:ascii="Verdana" w:hAnsi="Verdana"/>
          <w:sz w:val="24"/>
          <w:szCs w:val="24"/>
        </w:rPr>
        <w:t>blood</w:t>
      </w:r>
      <w:r>
        <w:rPr>
          <w:rFonts w:ascii="Verdana" w:hAnsi="Verdana"/>
          <w:sz w:val="24"/>
          <w:szCs w:val="24"/>
        </w:rPr>
        <w:t xml:space="preserve"> relationship to Sarah until the second sister-wife narrative, it seems that</w:t>
      </w:r>
      <w:r w:rsidR="009F1688">
        <w:rPr>
          <w:rFonts w:ascii="Verdana" w:hAnsi="Verdana"/>
          <w:sz w:val="24"/>
          <w:szCs w:val="24"/>
        </w:rPr>
        <w:t xml:space="preserve"> i</w:t>
      </w:r>
      <w:r w:rsidR="00D22017">
        <w:rPr>
          <w:rFonts w:ascii="Verdana" w:hAnsi="Verdana"/>
          <w:sz w:val="24"/>
          <w:szCs w:val="24"/>
        </w:rPr>
        <w:t xml:space="preserve">n an effort to save his life Abraham told a misleading truth </w:t>
      </w:r>
      <w:r w:rsidR="009F1688">
        <w:rPr>
          <w:rFonts w:ascii="Verdana" w:hAnsi="Verdana"/>
          <w:sz w:val="24"/>
          <w:szCs w:val="24"/>
        </w:rPr>
        <w:t>rather than a blatant</w:t>
      </w:r>
      <w:r w:rsidR="00D22017">
        <w:rPr>
          <w:rFonts w:ascii="Verdana" w:hAnsi="Verdana"/>
          <w:sz w:val="24"/>
          <w:szCs w:val="24"/>
        </w:rPr>
        <w:t xml:space="preserve"> lie since</w:t>
      </w:r>
      <w:r w:rsidR="00962D50">
        <w:rPr>
          <w:rFonts w:ascii="Verdana" w:hAnsi="Verdana"/>
          <w:sz w:val="24"/>
          <w:szCs w:val="24"/>
        </w:rPr>
        <w:t xml:space="preserve"> (it has been argued that)</w:t>
      </w:r>
      <w:r w:rsidR="00D22017">
        <w:rPr>
          <w:rFonts w:ascii="Verdana" w:hAnsi="Verdana"/>
          <w:sz w:val="24"/>
          <w:szCs w:val="24"/>
        </w:rPr>
        <w:t xml:space="preserve"> Sarah was Abraham’s </w:t>
      </w:r>
      <w:r w:rsidR="00DC7DCB">
        <w:rPr>
          <w:rFonts w:ascii="Verdana" w:hAnsi="Verdana"/>
          <w:sz w:val="24"/>
          <w:szCs w:val="24"/>
        </w:rPr>
        <w:t>niece (Abraham’s brother’s daughter)</w:t>
      </w:r>
      <w:r w:rsidR="009F1688">
        <w:rPr>
          <w:rFonts w:ascii="Verdana" w:hAnsi="Verdana"/>
          <w:sz w:val="24"/>
          <w:szCs w:val="24"/>
        </w:rPr>
        <w:t>. E</w:t>
      </w:r>
      <w:r w:rsidR="00DC7DCB">
        <w:rPr>
          <w:rFonts w:ascii="Verdana" w:hAnsi="Verdana"/>
          <w:sz w:val="24"/>
          <w:szCs w:val="24"/>
        </w:rPr>
        <w:t xml:space="preserve">ven distant relatives were described as brother/sister </w:t>
      </w:r>
      <w:r w:rsidR="009F1688">
        <w:rPr>
          <w:rFonts w:ascii="Verdana" w:hAnsi="Verdana"/>
          <w:sz w:val="24"/>
          <w:szCs w:val="24"/>
        </w:rPr>
        <w:t xml:space="preserve">in biblical language </w:t>
      </w:r>
      <w:r w:rsidR="00DC7DCB">
        <w:rPr>
          <w:rFonts w:ascii="Verdana" w:hAnsi="Verdana"/>
          <w:sz w:val="24"/>
          <w:szCs w:val="24"/>
        </w:rPr>
        <w:t>(for instance Lot, Abraham’s nephew, is called his brother (see also Song of Songs 4:9-10, 12 Proverbs 7:4)</w:t>
      </w:r>
      <w:r w:rsidR="0049201D">
        <w:rPr>
          <w:rStyle w:val="FootnoteReference"/>
          <w:rFonts w:ascii="Verdana" w:hAnsi="Verdana"/>
          <w:sz w:val="24"/>
          <w:szCs w:val="24"/>
        </w:rPr>
        <w:footnoteReference w:id="23"/>
      </w:r>
      <w:r w:rsidR="00DC7DCB">
        <w:rPr>
          <w:rFonts w:ascii="Verdana" w:hAnsi="Verdana"/>
          <w:sz w:val="24"/>
          <w:szCs w:val="24"/>
        </w:rPr>
        <w:t>.</w:t>
      </w:r>
    </w:p>
    <w:p w:rsidR="001570A2" w:rsidRDefault="009F1688" w:rsidP="002C09DA">
      <w:pPr>
        <w:pStyle w:val="NoSpacing"/>
        <w:rPr>
          <w:rFonts w:ascii="Verdana" w:hAnsi="Verdana"/>
          <w:sz w:val="24"/>
          <w:szCs w:val="24"/>
        </w:rPr>
      </w:pPr>
      <w:r>
        <w:rPr>
          <w:rFonts w:ascii="Verdana" w:hAnsi="Verdana"/>
          <w:sz w:val="24"/>
          <w:szCs w:val="24"/>
        </w:rPr>
        <w:t>However, s</w:t>
      </w:r>
      <w:r w:rsidR="001570A2">
        <w:rPr>
          <w:rFonts w:ascii="Verdana" w:hAnsi="Verdana"/>
          <w:sz w:val="24"/>
          <w:szCs w:val="24"/>
        </w:rPr>
        <w:t xml:space="preserve">istership in </w:t>
      </w:r>
      <w:r>
        <w:rPr>
          <w:rFonts w:ascii="Verdana" w:hAnsi="Verdana"/>
          <w:sz w:val="24"/>
          <w:szCs w:val="24"/>
        </w:rPr>
        <w:t>Hurrian society</w:t>
      </w:r>
      <w:r w:rsidR="001570A2">
        <w:rPr>
          <w:rFonts w:ascii="Verdana" w:hAnsi="Verdana"/>
          <w:sz w:val="24"/>
          <w:szCs w:val="24"/>
        </w:rPr>
        <w:t xml:space="preserve"> </w:t>
      </w:r>
      <w:r>
        <w:rPr>
          <w:rFonts w:ascii="Verdana" w:hAnsi="Verdana"/>
          <w:sz w:val="24"/>
          <w:szCs w:val="24"/>
        </w:rPr>
        <w:t>could indicate a purely legal status rather than a blood relationship</w:t>
      </w:r>
      <w:r w:rsidR="001570A2">
        <w:rPr>
          <w:rFonts w:ascii="Verdana" w:hAnsi="Verdana"/>
          <w:sz w:val="24"/>
          <w:szCs w:val="24"/>
        </w:rPr>
        <w:t xml:space="preserve">. </w:t>
      </w:r>
      <w:r>
        <w:rPr>
          <w:rFonts w:ascii="Verdana" w:hAnsi="Verdana"/>
          <w:sz w:val="24"/>
          <w:szCs w:val="24"/>
        </w:rPr>
        <w:t>Those endowed with d</w:t>
      </w:r>
      <w:r w:rsidR="001570A2">
        <w:rPr>
          <w:rFonts w:ascii="Verdana" w:hAnsi="Verdana"/>
          <w:sz w:val="24"/>
          <w:szCs w:val="24"/>
        </w:rPr>
        <w:t xml:space="preserve">ual status of wife-sistership </w:t>
      </w:r>
      <w:r>
        <w:rPr>
          <w:rFonts w:ascii="Verdana" w:hAnsi="Verdana"/>
          <w:sz w:val="24"/>
          <w:szCs w:val="24"/>
        </w:rPr>
        <w:t>had</w:t>
      </w:r>
      <w:r w:rsidR="001570A2">
        <w:rPr>
          <w:rFonts w:ascii="Verdana" w:hAnsi="Verdana"/>
          <w:sz w:val="24"/>
          <w:szCs w:val="24"/>
        </w:rPr>
        <w:t xml:space="preserve"> superior privileges and protection over and above those of an ordinary wife</w:t>
      </w:r>
      <w:r w:rsidR="0049201D">
        <w:rPr>
          <w:rStyle w:val="FootnoteReference"/>
          <w:rFonts w:ascii="Verdana" w:hAnsi="Verdana"/>
          <w:sz w:val="24"/>
          <w:szCs w:val="24"/>
        </w:rPr>
        <w:footnoteReference w:id="24"/>
      </w:r>
      <w:r w:rsidR="001570A2">
        <w:rPr>
          <w:rFonts w:ascii="Verdana" w:hAnsi="Verdana"/>
          <w:sz w:val="24"/>
          <w:szCs w:val="24"/>
        </w:rPr>
        <w:t>. Th</w:t>
      </w:r>
      <w:r>
        <w:rPr>
          <w:rFonts w:ascii="Verdana" w:hAnsi="Verdana"/>
          <w:sz w:val="24"/>
          <w:szCs w:val="24"/>
        </w:rPr>
        <w:t>is</w:t>
      </w:r>
      <w:r w:rsidR="001570A2">
        <w:rPr>
          <w:rFonts w:ascii="Verdana" w:hAnsi="Verdana"/>
          <w:sz w:val="24"/>
          <w:szCs w:val="24"/>
        </w:rPr>
        <w:t xml:space="preserve"> unique</w:t>
      </w:r>
      <w:r>
        <w:rPr>
          <w:rFonts w:ascii="Verdana" w:hAnsi="Verdana"/>
          <w:sz w:val="24"/>
          <w:szCs w:val="24"/>
        </w:rPr>
        <w:t xml:space="preserve"> aspect</w:t>
      </w:r>
      <w:r w:rsidR="001570A2">
        <w:rPr>
          <w:rFonts w:ascii="Verdana" w:hAnsi="Verdana"/>
          <w:sz w:val="24"/>
          <w:szCs w:val="24"/>
        </w:rPr>
        <w:t xml:space="preserve"> of </w:t>
      </w:r>
      <w:r>
        <w:rPr>
          <w:rFonts w:ascii="Verdana" w:hAnsi="Verdana"/>
          <w:sz w:val="24"/>
          <w:szCs w:val="24"/>
        </w:rPr>
        <w:t>‘</w:t>
      </w:r>
      <w:r w:rsidR="001570A2">
        <w:rPr>
          <w:rFonts w:ascii="Verdana" w:hAnsi="Verdana"/>
          <w:sz w:val="24"/>
          <w:szCs w:val="24"/>
        </w:rPr>
        <w:t>the socio-legal institute of wife sisterhood was bound to be misunderstood in the context of an entirely different civilization and the patriarchal events connected with it were completely reinterpreted and reused for a different purpose</w:t>
      </w:r>
      <w:r>
        <w:rPr>
          <w:rFonts w:ascii="Verdana" w:hAnsi="Verdana"/>
          <w:sz w:val="24"/>
          <w:szCs w:val="24"/>
        </w:rPr>
        <w:t>’</w:t>
      </w:r>
      <w:r w:rsidR="0049201D">
        <w:rPr>
          <w:rStyle w:val="FootnoteReference"/>
          <w:rFonts w:ascii="Verdana" w:hAnsi="Verdana"/>
          <w:sz w:val="24"/>
          <w:szCs w:val="24"/>
        </w:rPr>
        <w:footnoteReference w:id="25"/>
      </w:r>
      <w:r w:rsidR="001570A2">
        <w:rPr>
          <w:rFonts w:ascii="Verdana" w:hAnsi="Verdana"/>
          <w:sz w:val="24"/>
          <w:szCs w:val="24"/>
        </w:rPr>
        <w:t>. The</w:t>
      </w:r>
      <w:r>
        <w:rPr>
          <w:rFonts w:ascii="Verdana" w:hAnsi="Verdana"/>
          <w:sz w:val="24"/>
          <w:szCs w:val="24"/>
        </w:rPr>
        <w:t xml:space="preserve"> way that they</w:t>
      </w:r>
      <w:r w:rsidR="001570A2">
        <w:rPr>
          <w:rFonts w:ascii="Verdana" w:hAnsi="Verdana"/>
          <w:sz w:val="24"/>
          <w:szCs w:val="24"/>
        </w:rPr>
        <w:t xml:space="preserve"> have been worked into </w:t>
      </w:r>
      <w:r>
        <w:rPr>
          <w:rFonts w:ascii="Verdana" w:hAnsi="Verdana"/>
          <w:sz w:val="24"/>
          <w:szCs w:val="24"/>
        </w:rPr>
        <w:t>the</w:t>
      </w:r>
      <w:r w:rsidR="001570A2">
        <w:rPr>
          <w:rFonts w:ascii="Verdana" w:hAnsi="Verdana"/>
          <w:sz w:val="24"/>
          <w:szCs w:val="24"/>
        </w:rPr>
        <w:t xml:space="preserve"> narrative</w:t>
      </w:r>
      <w:r>
        <w:rPr>
          <w:rFonts w:ascii="Verdana" w:hAnsi="Verdana"/>
          <w:sz w:val="24"/>
          <w:szCs w:val="24"/>
        </w:rPr>
        <w:t xml:space="preserve"> casts </w:t>
      </w:r>
      <w:r w:rsidR="001570A2">
        <w:rPr>
          <w:rFonts w:ascii="Verdana" w:hAnsi="Verdana"/>
          <w:sz w:val="24"/>
          <w:szCs w:val="24"/>
        </w:rPr>
        <w:t>a critical judgement on Canaanite moral standards</w:t>
      </w:r>
      <w:r w:rsidR="0049201D">
        <w:rPr>
          <w:rStyle w:val="FootnoteReference"/>
          <w:rFonts w:ascii="Verdana" w:hAnsi="Verdana"/>
          <w:sz w:val="24"/>
          <w:szCs w:val="24"/>
        </w:rPr>
        <w:footnoteReference w:id="26"/>
      </w:r>
      <w:r w:rsidR="001570A2">
        <w:rPr>
          <w:rFonts w:ascii="Verdana" w:hAnsi="Verdana"/>
          <w:sz w:val="24"/>
          <w:szCs w:val="24"/>
        </w:rPr>
        <w:t>.</w:t>
      </w:r>
    </w:p>
    <w:p w:rsidR="000A3BD2" w:rsidRDefault="000A3BD2" w:rsidP="002C09DA">
      <w:pPr>
        <w:pStyle w:val="NoSpacing"/>
        <w:rPr>
          <w:rFonts w:ascii="Verdana" w:hAnsi="Verdana"/>
          <w:sz w:val="24"/>
          <w:szCs w:val="24"/>
        </w:rPr>
      </w:pPr>
    </w:p>
    <w:p w:rsidR="000A3BD2" w:rsidRDefault="004A6AA6" w:rsidP="002C09DA">
      <w:pPr>
        <w:pStyle w:val="NoSpacing"/>
        <w:rPr>
          <w:rFonts w:ascii="Verdana" w:hAnsi="Verdana"/>
          <w:sz w:val="24"/>
          <w:szCs w:val="24"/>
        </w:rPr>
      </w:pPr>
      <w:r>
        <w:rPr>
          <w:rFonts w:ascii="Verdana" w:hAnsi="Verdana"/>
          <w:sz w:val="24"/>
          <w:szCs w:val="24"/>
        </w:rPr>
        <w:t>Whether wife, sister or both</w:t>
      </w:r>
      <w:r w:rsidR="00E36AFA">
        <w:rPr>
          <w:rFonts w:ascii="Verdana" w:hAnsi="Verdana"/>
          <w:sz w:val="24"/>
          <w:szCs w:val="24"/>
        </w:rPr>
        <w:t>,</w:t>
      </w:r>
      <w:r w:rsidR="00750F1E">
        <w:rPr>
          <w:rFonts w:ascii="Verdana" w:hAnsi="Verdana"/>
          <w:sz w:val="24"/>
          <w:szCs w:val="24"/>
        </w:rPr>
        <w:t xml:space="preserve"> </w:t>
      </w:r>
      <w:r>
        <w:rPr>
          <w:rFonts w:ascii="Verdana" w:hAnsi="Verdana"/>
          <w:sz w:val="24"/>
          <w:szCs w:val="24"/>
        </w:rPr>
        <w:t>Sarah</w:t>
      </w:r>
      <w:r w:rsidR="00750F1E">
        <w:rPr>
          <w:rFonts w:ascii="Verdana" w:hAnsi="Verdana"/>
          <w:sz w:val="24"/>
          <w:szCs w:val="24"/>
        </w:rPr>
        <w:t xml:space="preserve"> is ‘taken’ into the pharaoh’s household. This is the third time since she has been introduced to us in 11:29 that Sara</w:t>
      </w:r>
      <w:r w:rsidR="00FE0571">
        <w:rPr>
          <w:rFonts w:ascii="Verdana" w:hAnsi="Verdana"/>
          <w:sz w:val="24"/>
          <w:szCs w:val="24"/>
        </w:rPr>
        <w:t>h</w:t>
      </w:r>
      <w:r w:rsidR="00750F1E">
        <w:rPr>
          <w:rFonts w:ascii="Verdana" w:hAnsi="Verdana"/>
          <w:sz w:val="24"/>
          <w:szCs w:val="24"/>
        </w:rPr>
        <w:t xml:space="preserve"> has been ‘taken’ and this ‘taken’ is particularly alarming not just because </w:t>
      </w:r>
      <w:r>
        <w:rPr>
          <w:rFonts w:ascii="Verdana" w:hAnsi="Verdana"/>
          <w:sz w:val="24"/>
          <w:szCs w:val="24"/>
        </w:rPr>
        <w:t>her powerlessness is</w:t>
      </w:r>
      <w:r w:rsidR="00750F1E">
        <w:rPr>
          <w:rFonts w:ascii="Verdana" w:hAnsi="Verdana"/>
          <w:sz w:val="24"/>
          <w:szCs w:val="24"/>
        </w:rPr>
        <w:t xml:space="preserve"> underline</w:t>
      </w:r>
      <w:r>
        <w:rPr>
          <w:rFonts w:ascii="Verdana" w:hAnsi="Verdana"/>
          <w:sz w:val="24"/>
          <w:szCs w:val="24"/>
        </w:rPr>
        <w:t>d</w:t>
      </w:r>
      <w:r w:rsidR="00750F1E">
        <w:rPr>
          <w:rFonts w:ascii="Verdana" w:hAnsi="Verdana"/>
          <w:sz w:val="24"/>
          <w:szCs w:val="24"/>
        </w:rPr>
        <w:t xml:space="preserve"> but because</w:t>
      </w:r>
      <w:r>
        <w:rPr>
          <w:rFonts w:ascii="Verdana" w:hAnsi="Verdana"/>
          <w:sz w:val="24"/>
          <w:szCs w:val="24"/>
        </w:rPr>
        <w:t xml:space="preserve"> the unexpected turn of events that </w:t>
      </w:r>
      <w:r w:rsidR="00750F1E">
        <w:rPr>
          <w:rFonts w:ascii="Verdana" w:hAnsi="Verdana"/>
          <w:sz w:val="24"/>
          <w:szCs w:val="24"/>
        </w:rPr>
        <w:t>Pharaoh has ‘taken’ her for his wife</w:t>
      </w:r>
      <w:r w:rsidR="0049201D">
        <w:rPr>
          <w:rStyle w:val="FootnoteReference"/>
          <w:rFonts w:ascii="Verdana" w:hAnsi="Verdana"/>
          <w:sz w:val="24"/>
          <w:szCs w:val="24"/>
        </w:rPr>
        <w:footnoteReference w:id="27"/>
      </w:r>
      <w:r w:rsidR="00750F1E">
        <w:rPr>
          <w:rFonts w:ascii="Verdana" w:hAnsi="Verdana"/>
          <w:sz w:val="24"/>
          <w:szCs w:val="24"/>
        </w:rPr>
        <w:t>.</w:t>
      </w:r>
      <w:r w:rsidR="004F633F">
        <w:rPr>
          <w:rFonts w:ascii="Verdana" w:hAnsi="Verdana"/>
          <w:sz w:val="24"/>
          <w:szCs w:val="24"/>
        </w:rPr>
        <w:t xml:space="preserve"> </w:t>
      </w:r>
      <w:r>
        <w:rPr>
          <w:rFonts w:ascii="Verdana" w:hAnsi="Verdana"/>
          <w:sz w:val="24"/>
          <w:szCs w:val="24"/>
        </w:rPr>
        <w:t xml:space="preserve">In the Israelite mind, </w:t>
      </w:r>
      <w:r w:rsidR="00E90A8D">
        <w:rPr>
          <w:rFonts w:ascii="Verdana" w:hAnsi="Verdana"/>
          <w:sz w:val="24"/>
          <w:szCs w:val="24"/>
        </w:rPr>
        <w:t>Egypt had a reputation for sexual impropriety</w:t>
      </w:r>
      <w:r>
        <w:rPr>
          <w:rFonts w:ascii="Verdana" w:hAnsi="Verdana"/>
          <w:sz w:val="24"/>
          <w:szCs w:val="24"/>
        </w:rPr>
        <w:t xml:space="preserve">. </w:t>
      </w:r>
      <w:r w:rsidR="00E90A8D">
        <w:rPr>
          <w:rFonts w:ascii="Verdana" w:hAnsi="Verdana"/>
          <w:sz w:val="24"/>
          <w:szCs w:val="24"/>
        </w:rPr>
        <w:t xml:space="preserve">Although Abraham </w:t>
      </w:r>
      <w:r>
        <w:rPr>
          <w:rFonts w:ascii="Verdana" w:hAnsi="Verdana"/>
          <w:sz w:val="24"/>
          <w:szCs w:val="24"/>
        </w:rPr>
        <w:t>can be criticised</w:t>
      </w:r>
      <w:r w:rsidR="00E90A8D">
        <w:rPr>
          <w:rFonts w:ascii="Verdana" w:hAnsi="Verdana"/>
          <w:sz w:val="24"/>
          <w:szCs w:val="24"/>
        </w:rPr>
        <w:t xml:space="preserve"> for passing his beautiful wife off as his sister it is hard to see how Sara</w:t>
      </w:r>
      <w:r w:rsidR="00FE0571">
        <w:rPr>
          <w:rFonts w:ascii="Verdana" w:hAnsi="Verdana"/>
          <w:sz w:val="24"/>
          <w:szCs w:val="24"/>
        </w:rPr>
        <w:t>h</w:t>
      </w:r>
      <w:r w:rsidR="00E90A8D">
        <w:rPr>
          <w:rFonts w:ascii="Verdana" w:hAnsi="Verdana"/>
          <w:sz w:val="24"/>
          <w:szCs w:val="24"/>
        </w:rPr>
        <w:t xml:space="preserve"> would have fared better if he died at the hands of the lecherous and adulterous Egyptian</w:t>
      </w:r>
      <w:r w:rsidR="0049201D">
        <w:rPr>
          <w:rStyle w:val="FootnoteReference"/>
          <w:rFonts w:ascii="Verdana" w:hAnsi="Verdana"/>
          <w:sz w:val="24"/>
          <w:szCs w:val="24"/>
        </w:rPr>
        <w:footnoteReference w:id="28"/>
      </w:r>
      <w:r w:rsidR="00E90A8D">
        <w:rPr>
          <w:rFonts w:ascii="Verdana" w:hAnsi="Verdana"/>
          <w:sz w:val="24"/>
          <w:szCs w:val="24"/>
        </w:rPr>
        <w:t>.</w:t>
      </w:r>
      <w:r w:rsidR="00E90A8D" w:rsidRPr="00A847EF">
        <w:rPr>
          <w:rFonts w:ascii="Verdana" w:hAnsi="Verdana"/>
          <w:sz w:val="24"/>
          <w:szCs w:val="24"/>
        </w:rPr>
        <w:t xml:space="preserve"> </w:t>
      </w:r>
      <w:r w:rsidR="00307F2A" w:rsidRPr="00307F2A">
        <w:rPr>
          <w:rFonts w:ascii="Verdana" w:hAnsi="Verdana"/>
          <w:sz w:val="24"/>
          <w:szCs w:val="24"/>
        </w:rPr>
        <w:t>Indeed, this ploy might have some advantage for Sarah for a brother could act as a protector, whereas a widow was completely exposed</w:t>
      </w:r>
      <w:r w:rsidR="0049201D">
        <w:rPr>
          <w:rStyle w:val="FootnoteReference"/>
          <w:rFonts w:ascii="Verdana" w:hAnsi="Verdana"/>
          <w:sz w:val="24"/>
          <w:szCs w:val="24"/>
        </w:rPr>
        <w:footnoteReference w:id="29"/>
      </w:r>
      <w:r w:rsidR="00307F2A" w:rsidRPr="00307F2A">
        <w:rPr>
          <w:rFonts w:ascii="Verdana" w:hAnsi="Verdana"/>
          <w:sz w:val="24"/>
          <w:szCs w:val="24"/>
        </w:rPr>
        <w:t>.</w:t>
      </w:r>
      <w:r w:rsidR="004F633F">
        <w:rPr>
          <w:rFonts w:ascii="Verdana" w:hAnsi="Verdana"/>
          <w:sz w:val="24"/>
          <w:szCs w:val="24"/>
        </w:rPr>
        <w:t xml:space="preserve"> </w:t>
      </w:r>
      <w:r w:rsidR="00307F2A">
        <w:rPr>
          <w:rFonts w:ascii="Verdana" w:hAnsi="Verdana"/>
          <w:sz w:val="24"/>
          <w:szCs w:val="24"/>
        </w:rPr>
        <w:t>Thus</w:t>
      </w:r>
      <w:r w:rsidR="006A6CDF">
        <w:rPr>
          <w:rFonts w:ascii="Verdana" w:hAnsi="Verdana"/>
          <w:sz w:val="24"/>
          <w:szCs w:val="24"/>
        </w:rPr>
        <w:t>,</w:t>
      </w:r>
      <w:r w:rsidR="00307F2A">
        <w:rPr>
          <w:rFonts w:ascii="Verdana" w:hAnsi="Verdana"/>
          <w:sz w:val="24"/>
          <w:szCs w:val="24"/>
        </w:rPr>
        <w:t xml:space="preserve"> i</w:t>
      </w:r>
      <w:r w:rsidR="00B17E74">
        <w:rPr>
          <w:rFonts w:ascii="Verdana" w:hAnsi="Verdana"/>
          <w:sz w:val="24"/>
          <w:szCs w:val="24"/>
        </w:rPr>
        <w:t>t has been argued that Abra</w:t>
      </w:r>
      <w:r w:rsidR="00FE0571">
        <w:rPr>
          <w:rFonts w:ascii="Verdana" w:hAnsi="Verdana"/>
          <w:sz w:val="24"/>
          <w:szCs w:val="24"/>
        </w:rPr>
        <w:t>ha</w:t>
      </w:r>
      <w:r w:rsidR="00B17E74">
        <w:rPr>
          <w:rFonts w:ascii="Verdana" w:hAnsi="Verdana"/>
          <w:sz w:val="24"/>
          <w:szCs w:val="24"/>
        </w:rPr>
        <w:t>m’s deceitful tactics may have been his effort to save his wife any violation; although the weakness of this argument are the sister-wife episodes which occur subsequently</w:t>
      </w:r>
      <w:r w:rsidR="0049201D">
        <w:rPr>
          <w:rStyle w:val="FootnoteReference"/>
          <w:rFonts w:ascii="Verdana" w:hAnsi="Verdana"/>
          <w:sz w:val="24"/>
          <w:szCs w:val="24"/>
        </w:rPr>
        <w:footnoteReference w:id="30"/>
      </w:r>
      <w:r w:rsidR="00307F2A">
        <w:rPr>
          <w:rFonts w:ascii="Verdana" w:hAnsi="Verdana"/>
          <w:sz w:val="24"/>
          <w:szCs w:val="24"/>
        </w:rPr>
        <w:t>.</w:t>
      </w:r>
      <w:r w:rsidR="004F633F">
        <w:rPr>
          <w:rFonts w:ascii="Verdana" w:hAnsi="Verdana"/>
          <w:sz w:val="24"/>
          <w:szCs w:val="24"/>
        </w:rPr>
        <w:t xml:space="preserve"> </w:t>
      </w:r>
      <w:proofErr w:type="spellStart"/>
      <w:r w:rsidRPr="00A847EF">
        <w:rPr>
          <w:rFonts w:ascii="Verdana" w:hAnsi="Verdana"/>
          <w:sz w:val="24"/>
          <w:szCs w:val="24"/>
        </w:rPr>
        <w:t>Nachmanides</w:t>
      </w:r>
      <w:proofErr w:type="spellEnd"/>
      <w:r w:rsidR="00E90A8D" w:rsidRPr="00A847EF">
        <w:rPr>
          <w:rFonts w:ascii="Verdana" w:hAnsi="Verdana"/>
          <w:sz w:val="24"/>
          <w:szCs w:val="24"/>
        </w:rPr>
        <w:t>, however, makes a theological criticism of Abra</w:t>
      </w:r>
      <w:r w:rsidRPr="00A847EF">
        <w:rPr>
          <w:rFonts w:ascii="Verdana" w:hAnsi="Verdana"/>
          <w:sz w:val="24"/>
          <w:szCs w:val="24"/>
        </w:rPr>
        <w:t>ha</w:t>
      </w:r>
      <w:r w:rsidR="00E90A8D" w:rsidRPr="00A847EF">
        <w:rPr>
          <w:rFonts w:ascii="Verdana" w:hAnsi="Verdana"/>
          <w:sz w:val="24"/>
          <w:szCs w:val="24"/>
        </w:rPr>
        <w:t xml:space="preserve">m observing that </w:t>
      </w:r>
      <w:r w:rsidRPr="00A847EF">
        <w:rPr>
          <w:rFonts w:ascii="Verdana" w:hAnsi="Verdana"/>
          <w:sz w:val="24"/>
          <w:szCs w:val="24"/>
        </w:rPr>
        <w:t>he</w:t>
      </w:r>
      <w:r w:rsidR="00E90A8D" w:rsidRPr="00A847EF">
        <w:rPr>
          <w:rFonts w:ascii="Verdana" w:hAnsi="Verdana"/>
          <w:sz w:val="24"/>
          <w:szCs w:val="24"/>
        </w:rPr>
        <w:t xml:space="preserve"> ‘committed a great sin inadvertently’ by not trusting in God’s protection</w:t>
      </w:r>
      <w:r w:rsidR="00A847EF" w:rsidRPr="00A847EF">
        <w:rPr>
          <w:rFonts w:ascii="Verdana" w:hAnsi="Verdana"/>
          <w:sz w:val="24"/>
          <w:szCs w:val="24"/>
        </w:rPr>
        <w:t>; he left</w:t>
      </w:r>
      <w:r w:rsidR="00E90A8D" w:rsidRPr="00A847EF">
        <w:rPr>
          <w:rFonts w:ascii="Verdana" w:hAnsi="Verdana"/>
          <w:sz w:val="24"/>
          <w:szCs w:val="24"/>
        </w:rPr>
        <w:t xml:space="preserve"> the pro</w:t>
      </w:r>
      <w:r w:rsidR="00962D50" w:rsidRPr="00A847EF">
        <w:rPr>
          <w:rFonts w:ascii="Verdana" w:hAnsi="Verdana"/>
          <w:sz w:val="24"/>
          <w:szCs w:val="24"/>
        </w:rPr>
        <w:t>m</w:t>
      </w:r>
      <w:r w:rsidR="00E90A8D" w:rsidRPr="00A847EF">
        <w:rPr>
          <w:rFonts w:ascii="Verdana" w:hAnsi="Verdana"/>
          <w:sz w:val="24"/>
          <w:szCs w:val="24"/>
        </w:rPr>
        <w:t>ised land and subject</w:t>
      </w:r>
      <w:r w:rsidR="00A847EF" w:rsidRPr="00A847EF">
        <w:rPr>
          <w:rFonts w:ascii="Verdana" w:hAnsi="Verdana"/>
          <w:sz w:val="24"/>
          <w:szCs w:val="24"/>
        </w:rPr>
        <w:t>ed</w:t>
      </w:r>
      <w:r w:rsidR="00E90A8D" w:rsidRPr="00A847EF">
        <w:rPr>
          <w:rFonts w:ascii="Verdana" w:hAnsi="Verdana"/>
          <w:sz w:val="24"/>
          <w:szCs w:val="24"/>
        </w:rPr>
        <w:t xml:space="preserve"> his wife to the possibility of sexual </w:t>
      </w:r>
      <w:r w:rsidR="00A847EF" w:rsidRPr="00A847EF">
        <w:rPr>
          <w:rFonts w:ascii="Verdana" w:hAnsi="Verdana"/>
          <w:sz w:val="24"/>
          <w:szCs w:val="24"/>
        </w:rPr>
        <w:t>exploitation</w:t>
      </w:r>
      <w:r w:rsidR="0049201D">
        <w:rPr>
          <w:rStyle w:val="FootnoteReference"/>
          <w:rFonts w:ascii="Verdana" w:hAnsi="Verdana"/>
          <w:sz w:val="24"/>
          <w:szCs w:val="24"/>
        </w:rPr>
        <w:footnoteReference w:id="31"/>
      </w:r>
      <w:r w:rsidR="004F633F">
        <w:rPr>
          <w:rFonts w:ascii="Verdana" w:hAnsi="Verdana"/>
          <w:sz w:val="24"/>
          <w:szCs w:val="24"/>
        </w:rPr>
        <w:t>.</w:t>
      </w:r>
      <w:r w:rsidR="00E90A8D" w:rsidRPr="00A847EF">
        <w:rPr>
          <w:rFonts w:ascii="Verdana" w:hAnsi="Verdana"/>
          <w:sz w:val="24"/>
          <w:szCs w:val="24"/>
        </w:rPr>
        <w:t xml:space="preserve"> </w:t>
      </w:r>
      <w:r w:rsidR="00307F2A">
        <w:rPr>
          <w:rFonts w:ascii="Verdana" w:hAnsi="Verdana"/>
          <w:sz w:val="24"/>
          <w:szCs w:val="24"/>
        </w:rPr>
        <w:t>C</w:t>
      </w:r>
      <w:r w:rsidR="002234A6">
        <w:rPr>
          <w:rFonts w:ascii="Verdana" w:hAnsi="Verdana"/>
          <w:sz w:val="24"/>
          <w:szCs w:val="24"/>
        </w:rPr>
        <w:t>riticisms of Abra</w:t>
      </w:r>
      <w:r w:rsidR="00FE0571">
        <w:rPr>
          <w:rFonts w:ascii="Verdana" w:hAnsi="Verdana"/>
          <w:sz w:val="24"/>
          <w:szCs w:val="24"/>
        </w:rPr>
        <w:t>ha</w:t>
      </w:r>
      <w:r w:rsidR="002234A6">
        <w:rPr>
          <w:rFonts w:ascii="Verdana" w:hAnsi="Verdana"/>
          <w:sz w:val="24"/>
          <w:szCs w:val="24"/>
        </w:rPr>
        <w:t xml:space="preserve">m for lacking faith in divine protection can be </w:t>
      </w:r>
      <w:r w:rsidR="00162BE8">
        <w:rPr>
          <w:rFonts w:ascii="Verdana" w:hAnsi="Verdana"/>
          <w:sz w:val="24"/>
          <w:szCs w:val="24"/>
        </w:rPr>
        <w:lastRenderedPageBreak/>
        <w:t>countered</w:t>
      </w:r>
      <w:r w:rsidR="002234A6">
        <w:rPr>
          <w:rFonts w:ascii="Verdana" w:hAnsi="Verdana"/>
          <w:sz w:val="24"/>
          <w:szCs w:val="24"/>
        </w:rPr>
        <w:t xml:space="preserve"> since one is not permitted to rely on a miracle in order to save one’s life</w:t>
      </w:r>
      <w:r w:rsidR="00162BE8">
        <w:rPr>
          <w:rFonts w:ascii="Verdana" w:hAnsi="Verdana"/>
          <w:sz w:val="24"/>
          <w:szCs w:val="24"/>
        </w:rPr>
        <w:t>; furthermore, given the choice,</w:t>
      </w:r>
      <w:r w:rsidR="002234A6">
        <w:rPr>
          <w:rFonts w:ascii="Verdana" w:hAnsi="Verdana"/>
          <w:sz w:val="24"/>
          <w:szCs w:val="24"/>
        </w:rPr>
        <w:t xml:space="preserve"> the preservation of life prevails over </w:t>
      </w:r>
      <w:r w:rsidR="00162BE8">
        <w:rPr>
          <w:rFonts w:ascii="Verdana" w:hAnsi="Verdana"/>
          <w:sz w:val="24"/>
          <w:szCs w:val="24"/>
        </w:rPr>
        <w:t>all other moral imperatives including lying</w:t>
      </w:r>
      <w:r w:rsidR="0053631F">
        <w:rPr>
          <w:rStyle w:val="FootnoteReference"/>
          <w:rFonts w:ascii="Verdana" w:hAnsi="Verdana"/>
          <w:sz w:val="24"/>
          <w:szCs w:val="24"/>
        </w:rPr>
        <w:footnoteReference w:id="32"/>
      </w:r>
      <w:r w:rsidR="002234A6">
        <w:rPr>
          <w:rFonts w:ascii="Verdana" w:hAnsi="Verdana"/>
          <w:sz w:val="24"/>
          <w:szCs w:val="24"/>
        </w:rPr>
        <w:t>.</w:t>
      </w:r>
      <w:r w:rsidR="00624FE0">
        <w:rPr>
          <w:rFonts w:ascii="Verdana" w:hAnsi="Verdana"/>
          <w:sz w:val="24"/>
          <w:szCs w:val="24"/>
        </w:rPr>
        <w:t xml:space="preserve"> </w:t>
      </w:r>
      <w:r>
        <w:rPr>
          <w:rFonts w:ascii="Verdana" w:hAnsi="Verdana"/>
          <w:sz w:val="24"/>
          <w:szCs w:val="24"/>
        </w:rPr>
        <w:t>It is made clear to Pharaoh by God that Sarah is Abraham’s wife; Pharaoh’s response is endorsed by the text which leaves Abraham speechless</w:t>
      </w:r>
      <w:r w:rsidR="0053631F">
        <w:rPr>
          <w:rStyle w:val="FootnoteReference"/>
          <w:rFonts w:ascii="Verdana" w:hAnsi="Verdana"/>
          <w:sz w:val="24"/>
          <w:szCs w:val="24"/>
        </w:rPr>
        <w:footnoteReference w:id="33"/>
      </w:r>
      <w:r w:rsidR="00A847EF">
        <w:rPr>
          <w:rFonts w:ascii="Verdana" w:hAnsi="Verdana"/>
          <w:sz w:val="24"/>
          <w:szCs w:val="24"/>
        </w:rPr>
        <w:t>.</w:t>
      </w:r>
      <w:r w:rsidR="004F633F">
        <w:rPr>
          <w:rFonts w:ascii="Verdana" w:hAnsi="Verdana"/>
          <w:sz w:val="24"/>
          <w:szCs w:val="24"/>
        </w:rPr>
        <w:t xml:space="preserve"> </w:t>
      </w:r>
      <w:r>
        <w:rPr>
          <w:rFonts w:ascii="Verdana" w:hAnsi="Verdana"/>
          <w:sz w:val="24"/>
          <w:szCs w:val="24"/>
        </w:rPr>
        <w:t xml:space="preserve">In a similar parallel, as </w:t>
      </w:r>
      <w:r w:rsidR="000A3BD2">
        <w:rPr>
          <w:rFonts w:ascii="Verdana" w:hAnsi="Verdana"/>
          <w:sz w:val="24"/>
          <w:szCs w:val="24"/>
        </w:rPr>
        <w:t>Abraham</w:t>
      </w:r>
      <w:r>
        <w:rPr>
          <w:rFonts w:ascii="Verdana" w:hAnsi="Verdana"/>
          <w:sz w:val="24"/>
          <w:szCs w:val="24"/>
        </w:rPr>
        <w:t xml:space="preserve">, </w:t>
      </w:r>
      <w:r w:rsidR="000A3BD2">
        <w:rPr>
          <w:rFonts w:ascii="Verdana" w:hAnsi="Verdana"/>
          <w:sz w:val="24"/>
          <w:szCs w:val="24"/>
        </w:rPr>
        <w:t>Sara</w:t>
      </w:r>
      <w:r w:rsidR="00FE0571">
        <w:rPr>
          <w:rFonts w:ascii="Verdana" w:hAnsi="Verdana"/>
          <w:sz w:val="24"/>
          <w:szCs w:val="24"/>
        </w:rPr>
        <w:t>h</w:t>
      </w:r>
      <w:r w:rsidR="000A3BD2">
        <w:rPr>
          <w:rFonts w:ascii="Verdana" w:hAnsi="Verdana"/>
          <w:sz w:val="24"/>
          <w:szCs w:val="24"/>
        </w:rPr>
        <w:t xml:space="preserve"> and </w:t>
      </w:r>
      <w:r>
        <w:rPr>
          <w:rFonts w:ascii="Verdana" w:hAnsi="Verdana"/>
          <w:sz w:val="24"/>
          <w:szCs w:val="24"/>
        </w:rPr>
        <w:t>their</w:t>
      </w:r>
      <w:r w:rsidR="000A3BD2">
        <w:rPr>
          <w:rFonts w:ascii="Verdana" w:hAnsi="Verdana"/>
          <w:sz w:val="24"/>
          <w:szCs w:val="24"/>
        </w:rPr>
        <w:t xml:space="preserve"> entourage are expelled from Egypt, </w:t>
      </w:r>
      <w:r>
        <w:rPr>
          <w:rFonts w:ascii="Verdana" w:hAnsi="Verdana"/>
          <w:sz w:val="24"/>
          <w:szCs w:val="24"/>
        </w:rPr>
        <w:t>so too</w:t>
      </w:r>
      <w:r w:rsidR="000A3BD2">
        <w:rPr>
          <w:rFonts w:ascii="Verdana" w:hAnsi="Verdana"/>
          <w:sz w:val="24"/>
          <w:szCs w:val="24"/>
        </w:rPr>
        <w:t xml:space="preserve"> the Israelites will later be ordered out a</w:t>
      </w:r>
      <w:r w:rsidR="00757F95">
        <w:rPr>
          <w:rFonts w:ascii="Verdana" w:hAnsi="Verdana"/>
          <w:sz w:val="24"/>
          <w:szCs w:val="24"/>
        </w:rPr>
        <w:t>t</w:t>
      </w:r>
      <w:r w:rsidR="000A3BD2">
        <w:rPr>
          <w:rFonts w:ascii="Verdana" w:hAnsi="Verdana"/>
          <w:sz w:val="24"/>
          <w:szCs w:val="24"/>
        </w:rPr>
        <w:t xml:space="preserve"> the Exodus (Ex 12:31-2) </w:t>
      </w:r>
      <w:r>
        <w:rPr>
          <w:rFonts w:ascii="Verdana" w:hAnsi="Verdana"/>
          <w:sz w:val="24"/>
          <w:szCs w:val="24"/>
        </w:rPr>
        <w:t>just</w:t>
      </w:r>
      <w:r w:rsidR="000A3BD2">
        <w:rPr>
          <w:rFonts w:ascii="Verdana" w:hAnsi="Verdana"/>
          <w:sz w:val="24"/>
          <w:szCs w:val="24"/>
        </w:rPr>
        <w:t xml:space="preserve"> as the man and woman were expelled from Eden</w:t>
      </w:r>
      <w:r w:rsidR="0053631F">
        <w:rPr>
          <w:rStyle w:val="FootnoteReference"/>
          <w:rFonts w:ascii="Verdana" w:hAnsi="Verdana"/>
          <w:sz w:val="24"/>
          <w:szCs w:val="24"/>
        </w:rPr>
        <w:footnoteReference w:id="34"/>
      </w:r>
      <w:r w:rsidR="000A3BD2">
        <w:rPr>
          <w:rFonts w:ascii="Verdana" w:hAnsi="Verdana"/>
          <w:sz w:val="24"/>
          <w:szCs w:val="24"/>
        </w:rPr>
        <w:t>.</w:t>
      </w:r>
    </w:p>
    <w:p w:rsidR="00B17E74" w:rsidRPr="00B17E74" w:rsidRDefault="004A6AA6" w:rsidP="002C09DA">
      <w:pPr>
        <w:pStyle w:val="NoSpacing"/>
        <w:rPr>
          <w:rFonts w:ascii="Verdana" w:hAnsi="Verdana"/>
          <w:sz w:val="24"/>
          <w:szCs w:val="24"/>
        </w:rPr>
      </w:pPr>
      <w:r>
        <w:rPr>
          <w:rFonts w:ascii="Verdana" w:hAnsi="Verdana"/>
          <w:sz w:val="24"/>
          <w:szCs w:val="24"/>
        </w:rPr>
        <w:t>As a result of Abraham’s responses</w:t>
      </w:r>
      <w:r w:rsidR="003D22E6">
        <w:rPr>
          <w:rFonts w:ascii="Verdana" w:hAnsi="Verdana"/>
          <w:sz w:val="24"/>
          <w:szCs w:val="24"/>
        </w:rPr>
        <w:t>,</w:t>
      </w:r>
      <w:r>
        <w:rPr>
          <w:rFonts w:ascii="Verdana" w:hAnsi="Verdana"/>
          <w:sz w:val="24"/>
          <w:szCs w:val="24"/>
        </w:rPr>
        <w:t xml:space="preserve"> he emerges</w:t>
      </w:r>
      <w:r w:rsidR="003D22E6">
        <w:rPr>
          <w:rFonts w:ascii="Verdana" w:hAnsi="Verdana"/>
          <w:sz w:val="24"/>
          <w:szCs w:val="24"/>
        </w:rPr>
        <w:t xml:space="preserve"> </w:t>
      </w:r>
      <w:r w:rsidR="00A847EF">
        <w:rPr>
          <w:rFonts w:ascii="Verdana" w:hAnsi="Verdana"/>
          <w:sz w:val="24"/>
          <w:szCs w:val="24"/>
        </w:rPr>
        <w:t>at one end of the scale</w:t>
      </w:r>
      <w:r w:rsidR="003D22E6">
        <w:rPr>
          <w:rFonts w:ascii="Verdana" w:hAnsi="Verdana"/>
          <w:sz w:val="24"/>
          <w:szCs w:val="24"/>
        </w:rPr>
        <w:t xml:space="preserve"> as ambiguous in terms of moral evaluation</w:t>
      </w:r>
      <w:r w:rsidR="00A847EF">
        <w:rPr>
          <w:rFonts w:ascii="Verdana" w:hAnsi="Verdana"/>
          <w:sz w:val="24"/>
          <w:szCs w:val="24"/>
        </w:rPr>
        <w:t>;</w:t>
      </w:r>
      <w:r w:rsidR="003D22E6">
        <w:rPr>
          <w:rFonts w:ascii="Verdana" w:hAnsi="Verdana"/>
          <w:sz w:val="24"/>
          <w:szCs w:val="24"/>
        </w:rPr>
        <w:t xml:space="preserve"> </w:t>
      </w:r>
      <w:r w:rsidR="003D22E6" w:rsidRPr="00A847EF">
        <w:rPr>
          <w:rFonts w:ascii="Verdana" w:hAnsi="Verdana"/>
          <w:sz w:val="24"/>
          <w:szCs w:val="24"/>
        </w:rPr>
        <w:t xml:space="preserve">at </w:t>
      </w:r>
      <w:r w:rsidR="00A847EF" w:rsidRPr="00A847EF">
        <w:rPr>
          <w:rFonts w:ascii="Verdana" w:hAnsi="Verdana"/>
          <w:sz w:val="24"/>
          <w:szCs w:val="24"/>
        </w:rPr>
        <w:t>the other end of the scale</w:t>
      </w:r>
      <w:r w:rsidR="003D22E6" w:rsidRPr="00A847EF">
        <w:rPr>
          <w:rFonts w:ascii="Verdana" w:hAnsi="Verdana"/>
          <w:sz w:val="24"/>
          <w:szCs w:val="24"/>
        </w:rPr>
        <w:t xml:space="preserve"> he can be judged to be a man of false values </w:t>
      </w:r>
      <w:r w:rsidR="00A847EF" w:rsidRPr="00A847EF">
        <w:rPr>
          <w:rFonts w:ascii="Verdana" w:hAnsi="Verdana"/>
          <w:sz w:val="24"/>
          <w:szCs w:val="24"/>
        </w:rPr>
        <w:t>who is</w:t>
      </w:r>
      <w:r w:rsidR="003D22E6" w:rsidRPr="00A847EF">
        <w:rPr>
          <w:rFonts w:ascii="Verdana" w:hAnsi="Verdana"/>
          <w:sz w:val="24"/>
          <w:szCs w:val="24"/>
        </w:rPr>
        <w:t xml:space="preserve"> uncaring towards others </w:t>
      </w:r>
      <w:r w:rsidR="00A847EF" w:rsidRPr="00A847EF">
        <w:rPr>
          <w:rFonts w:ascii="Verdana" w:hAnsi="Verdana"/>
          <w:sz w:val="24"/>
          <w:szCs w:val="24"/>
        </w:rPr>
        <w:t>in his family</w:t>
      </w:r>
      <w:r w:rsidR="0053631F">
        <w:rPr>
          <w:rStyle w:val="FootnoteReference"/>
          <w:rFonts w:ascii="Verdana" w:hAnsi="Verdana"/>
          <w:sz w:val="24"/>
          <w:szCs w:val="24"/>
        </w:rPr>
        <w:footnoteReference w:id="35"/>
      </w:r>
      <w:r w:rsidR="003D22E6" w:rsidRPr="00A847EF">
        <w:rPr>
          <w:rFonts w:ascii="Verdana" w:hAnsi="Verdana"/>
          <w:sz w:val="24"/>
          <w:szCs w:val="24"/>
        </w:rPr>
        <w:t>.</w:t>
      </w:r>
      <w:r w:rsidR="004F633F">
        <w:rPr>
          <w:rFonts w:ascii="Verdana" w:hAnsi="Verdana"/>
          <w:sz w:val="24"/>
          <w:szCs w:val="24"/>
        </w:rPr>
        <w:t xml:space="preserve"> </w:t>
      </w:r>
      <w:r w:rsidR="00B17E74" w:rsidRPr="00B17E74">
        <w:rPr>
          <w:rFonts w:ascii="Verdana" w:hAnsi="Verdana"/>
          <w:sz w:val="24"/>
          <w:szCs w:val="24"/>
        </w:rPr>
        <w:t>Abraham</w:t>
      </w:r>
      <w:r w:rsidR="00B17E74">
        <w:rPr>
          <w:rFonts w:ascii="Verdana" w:hAnsi="Verdana"/>
          <w:sz w:val="24"/>
          <w:szCs w:val="24"/>
        </w:rPr>
        <w:t xml:space="preserve"> has been portrayed as having a courageous character and selfless demeanour in his efforts to rescue Lot from captivity and his refusal of spoils from the King of Sodom (Gen</w:t>
      </w:r>
      <w:r w:rsidR="0053631F">
        <w:rPr>
          <w:rFonts w:ascii="Verdana" w:hAnsi="Verdana"/>
          <w:sz w:val="24"/>
          <w:szCs w:val="24"/>
        </w:rPr>
        <w:t>esis</w:t>
      </w:r>
      <w:r w:rsidR="00B17E74">
        <w:rPr>
          <w:rFonts w:ascii="Verdana" w:hAnsi="Verdana"/>
          <w:sz w:val="24"/>
          <w:szCs w:val="24"/>
        </w:rPr>
        <w:t xml:space="preserve"> 14:12-23) which counters the depiction of his seemingly deceptive, fearful and greedy character. In this particular narrative he may have seen his predicament as a moral dilemma in which he was at pains to choose the lesser of two evils</w:t>
      </w:r>
      <w:r w:rsidR="0053631F">
        <w:rPr>
          <w:rStyle w:val="FootnoteReference"/>
          <w:rFonts w:ascii="Verdana" w:hAnsi="Verdana"/>
          <w:sz w:val="24"/>
          <w:szCs w:val="24"/>
        </w:rPr>
        <w:footnoteReference w:id="36"/>
      </w:r>
      <w:r w:rsidR="00B17E74">
        <w:rPr>
          <w:rFonts w:ascii="Verdana" w:hAnsi="Verdana"/>
          <w:sz w:val="24"/>
          <w:szCs w:val="24"/>
        </w:rPr>
        <w:t>.</w:t>
      </w:r>
    </w:p>
    <w:p w:rsidR="0053631F" w:rsidRDefault="0053631F" w:rsidP="002C09DA">
      <w:pPr>
        <w:pStyle w:val="NoSpacing"/>
        <w:rPr>
          <w:rFonts w:ascii="Verdana" w:hAnsi="Verdana"/>
          <w:b/>
          <w:sz w:val="24"/>
          <w:szCs w:val="24"/>
        </w:rPr>
      </w:pPr>
    </w:p>
    <w:p w:rsidR="00405328" w:rsidRDefault="00405328" w:rsidP="002C09DA">
      <w:pPr>
        <w:pStyle w:val="NoSpacing"/>
        <w:rPr>
          <w:rFonts w:ascii="Verdana" w:hAnsi="Verdana"/>
          <w:sz w:val="24"/>
          <w:szCs w:val="24"/>
        </w:rPr>
      </w:pPr>
      <w:r>
        <w:rPr>
          <w:rFonts w:ascii="Verdana" w:hAnsi="Verdana"/>
          <w:b/>
          <w:sz w:val="24"/>
          <w:szCs w:val="24"/>
        </w:rPr>
        <w:t>Jacob</w:t>
      </w:r>
    </w:p>
    <w:p w:rsidR="0053631F" w:rsidRDefault="0053631F" w:rsidP="00307F2A">
      <w:pPr>
        <w:pStyle w:val="NoSpacing"/>
        <w:rPr>
          <w:rFonts w:ascii="Verdana" w:hAnsi="Verdana"/>
          <w:color w:val="00B050"/>
          <w:sz w:val="24"/>
          <w:szCs w:val="24"/>
        </w:rPr>
      </w:pPr>
    </w:p>
    <w:p w:rsidR="00307F2A" w:rsidRPr="00A037A0" w:rsidRDefault="00307F2A" w:rsidP="00307F2A">
      <w:pPr>
        <w:pStyle w:val="NoSpacing"/>
        <w:rPr>
          <w:rFonts w:ascii="Verdana" w:hAnsi="Verdana"/>
          <w:sz w:val="24"/>
          <w:szCs w:val="24"/>
        </w:rPr>
      </w:pPr>
      <w:r w:rsidRPr="00A037A0">
        <w:rPr>
          <w:rFonts w:ascii="Verdana" w:hAnsi="Verdana"/>
          <w:sz w:val="24"/>
          <w:szCs w:val="24"/>
        </w:rPr>
        <w:t>The narrative of Genesis affords a number of occasions where the behaviour of Jacob can elicit moral reflection from the reader. The first of these involves price gouging and the second deceit, however, these are inextricably linked. The theme of God’s promise and its continuity is the driving force of the narrative. To set the scene, Rebekah, wife of Isaac, who has conceived after twenty years, is troubled by the struggle of her unborn children in the womb. God reveals a divine promise to Rebekah that the elder shall serve the younger (Gen 25:22-23)</w:t>
      </w:r>
      <w:r w:rsidR="005F445C" w:rsidRPr="00A037A0">
        <w:rPr>
          <w:rStyle w:val="FootnoteReference"/>
          <w:rFonts w:ascii="Verdana" w:hAnsi="Verdana"/>
          <w:sz w:val="24"/>
          <w:szCs w:val="24"/>
        </w:rPr>
        <w:footnoteReference w:id="37"/>
      </w:r>
      <w:r w:rsidRPr="00A037A0">
        <w:rPr>
          <w:rFonts w:ascii="Verdana" w:hAnsi="Verdana"/>
          <w:sz w:val="24"/>
          <w:szCs w:val="24"/>
        </w:rPr>
        <w:t>. This is remarkable as in the Bible the firstborn has preferential status; the firstborn male is considered sacred and God’s exclusive possession. Weiss states that biblical law asserts the rights of the firstborn forbidding the father from transferring his rights to another</w:t>
      </w:r>
      <w:r w:rsidR="005F445C" w:rsidRPr="00A037A0">
        <w:rPr>
          <w:rStyle w:val="FootnoteReference"/>
          <w:rFonts w:ascii="Verdana" w:hAnsi="Verdana"/>
          <w:sz w:val="24"/>
          <w:szCs w:val="24"/>
        </w:rPr>
        <w:footnoteReference w:id="38"/>
      </w:r>
      <w:r w:rsidRPr="00A037A0">
        <w:rPr>
          <w:rFonts w:ascii="Verdana" w:hAnsi="Verdana"/>
          <w:sz w:val="24"/>
          <w:szCs w:val="24"/>
        </w:rPr>
        <w:t>. Although the translation ‘the elder, the younger’s slave’ is given</w:t>
      </w:r>
      <w:r w:rsidR="005F445C" w:rsidRPr="00A037A0">
        <w:rPr>
          <w:rStyle w:val="FootnoteReference"/>
          <w:rFonts w:ascii="Verdana" w:hAnsi="Verdana"/>
          <w:sz w:val="24"/>
          <w:szCs w:val="24"/>
        </w:rPr>
        <w:footnoteReference w:id="39"/>
      </w:r>
      <w:r w:rsidRPr="00A037A0">
        <w:rPr>
          <w:rFonts w:ascii="Verdana" w:hAnsi="Verdana"/>
          <w:sz w:val="24"/>
          <w:szCs w:val="24"/>
        </w:rPr>
        <w:t>, the Hebrew syntax could lead to ambiguity</w:t>
      </w:r>
      <w:r w:rsidR="005F445C" w:rsidRPr="00A037A0">
        <w:rPr>
          <w:rStyle w:val="FootnoteReference"/>
          <w:rFonts w:ascii="Verdana" w:hAnsi="Verdana"/>
          <w:sz w:val="24"/>
          <w:szCs w:val="24"/>
        </w:rPr>
        <w:footnoteReference w:id="40"/>
      </w:r>
      <w:r w:rsidRPr="00A037A0">
        <w:rPr>
          <w:rFonts w:ascii="Verdana" w:hAnsi="Verdana"/>
          <w:sz w:val="24"/>
          <w:szCs w:val="24"/>
        </w:rPr>
        <w:t>. The turmoil within Rebekah’s womb is an indication of the struggle that the younger will encounter to attain superiority as the firstborn will not voluntarily cede his superior status</w:t>
      </w:r>
      <w:r w:rsidR="005F445C" w:rsidRPr="00A037A0">
        <w:rPr>
          <w:rStyle w:val="FootnoteReference"/>
          <w:rFonts w:ascii="Verdana" w:hAnsi="Verdana"/>
          <w:sz w:val="24"/>
          <w:szCs w:val="24"/>
        </w:rPr>
        <w:footnoteReference w:id="41"/>
      </w:r>
      <w:r w:rsidRPr="00A037A0">
        <w:rPr>
          <w:rFonts w:ascii="Verdana" w:hAnsi="Verdana"/>
          <w:sz w:val="24"/>
          <w:szCs w:val="24"/>
        </w:rPr>
        <w:t xml:space="preserve">. The divine promise is followed in the text by a juxtaposition of the brothers’ appearances at </w:t>
      </w:r>
      <w:r w:rsidRPr="00A037A0">
        <w:rPr>
          <w:rFonts w:ascii="Verdana" w:hAnsi="Verdana"/>
          <w:sz w:val="24"/>
          <w:szCs w:val="24"/>
        </w:rPr>
        <w:lastRenderedPageBreak/>
        <w:t>birth and they are named accordingly (Gen 25:25-26). The episode continues with a descriptive contrast between Esau the hunter and sedentary Jacob</w:t>
      </w:r>
      <w:r w:rsidR="005F445C" w:rsidRPr="00A037A0">
        <w:rPr>
          <w:rStyle w:val="FootnoteReference"/>
          <w:rFonts w:ascii="Verdana" w:hAnsi="Verdana"/>
          <w:sz w:val="24"/>
          <w:szCs w:val="24"/>
        </w:rPr>
        <w:footnoteReference w:id="42"/>
      </w:r>
      <w:r w:rsidRPr="00A037A0">
        <w:rPr>
          <w:rFonts w:ascii="Verdana" w:hAnsi="Verdana"/>
          <w:sz w:val="24"/>
          <w:szCs w:val="24"/>
        </w:rPr>
        <w:t>. To the ancient Israelite, Esau’s hunting, like his hairiness</w:t>
      </w:r>
      <w:r w:rsidR="00624FE0" w:rsidRPr="00A037A0">
        <w:rPr>
          <w:rFonts w:ascii="Verdana" w:hAnsi="Verdana"/>
          <w:sz w:val="24"/>
          <w:szCs w:val="24"/>
        </w:rPr>
        <w:t>,</w:t>
      </w:r>
      <w:r w:rsidRPr="00A037A0">
        <w:rPr>
          <w:rFonts w:ascii="Verdana" w:hAnsi="Verdana"/>
          <w:sz w:val="24"/>
          <w:szCs w:val="24"/>
        </w:rPr>
        <w:t xml:space="preserve"> suggested uncouthness and edginess. The element of uncouthness is further accentuated in his blunt use of speech and impulsive behaviour as the tale unfolds</w:t>
      </w:r>
      <w:r w:rsidR="005F445C" w:rsidRPr="00A037A0">
        <w:rPr>
          <w:rStyle w:val="FootnoteReference"/>
          <w:rFonts w:ascii="Verdana" w:hAnsi="Verdana"/>
          <w:sz w:val="24"/>
          <w:szCs w:val="24"/>
        </w:rPr>
        <w:footnoteReference w:id="43"/>
      </w:r>
      <w:r w:rsidRPr="00A037A0">
        <w:rPr>
          <w:rFonts w:ascii="Verdana" w:hAnsi="Verdana"/>
          <w:sz w:val="24"/>
          <w:szCs w:val="24"/>
        </w:rPr>
        <w:t>. This neatness of the contrast between the brothers, however, contains a possible irony in the odd use of ‘tam’ attached to Jacob v27. (</w:t>
      </w:r>
      <w:r w:rsidRPr="00A037A0">
        <w:rPr>
          <w:rFonts w:ascii="Verdana" w:hAnsi="Verdana" w:cs="Segoe UI"/>
          <w:b/>
          <w:bCs/>
          <w:sz w:val="24"/>
          <w:szCs w:val="24"/>
          <w:shd w:val="clear" w:color="auto" w:fill="FFFFFF"/>
          <w:vertAlign w:val="superscript"/>
        </w:rPr>
        <w:t>27 </w:t>
      </w:r>
      <w:r w:rsidRPr="00A037A0">
        <w:rPr>
          <w:rFonts w:ascii="Verdana" w:hAnsi="Verdana" w:cs="Segoe UI"/>
          <w:sz w:val="24"/>
          <w:szCs w:val="24"/>
          <w:shd w:val="clear" w:color="auto" w:fill="FFFFFF"/>
        </w:rPr>
        <w:t xml:space="preserve">And the </w:t>
      </w:r>
      <w:proofErr w:type="spellStart"/>
      <w:r w:rsidRPr="00A037A0">
        <w:rPr>
          <w:rFonts w:ascii="Verdana" w:hAnsi="Verdana" w:cs="Segoe UI"/>
          <w:sz w:val="24"/>
          <w:szCs w:val="24"/>
          <w:shd w:val="clear" w:color="auto" w:fill="FFFFFF"/>
        </w:rPr>
        <w:t>nearim</w:t>
      </w:r>
      <w:proofErr w:type="spellEnd"/>
      <w:r w:rsidRPr="00A037A0">
        <w:rPr>
          <w:rFonts w:ascii="Verdana" w:hAnsi="Verdana" w:cs="Segoe UI"/>
          <w:sz w:val="24"/>
          <w:szCs w:val="24"/>
          <w:shd w:val="clear" w:color="auto" w:fill="FFFFFF"/>
        </w:rPr>
        <w:t xml:space="preserve"> grew: and </w:t>
      </w:r>
      <w:proofErr w:type="spellStart"/>
      <w:r w:rsidRPr="00A037A0">
        <w:rPr>
          <w:rFonts w:ascii="Verdana" w:hAnsi="Verdana" w:cs="Segoe UI"/>
          <w:sz w:val="24"/>
          <w:szCs w:val="24"/>
          <w:shd w:val="clear" w:color="auto" w:fill="FFFFFF"/>
        </w:rPr>
        <w:t>Esav</w:t>
      </w:r>
      <w:proofErr w:type="spellEnd"/>
      <w:r w:rsidRPr="00A037A0">
        <w:rPr>
          <w:rFonts w:ascii="Verdana" w:hAnsi="Verdana" w:cs="Segoe UI"/>
          <w:sz w:val="24"/>
          <w:szCs w:val="24"/>
          <w:shd w:val="clear" w:color="auto" w:fill="FFFFFF"/>
        </w:rPr>
        <w:t xml:space="preserve"> was a skilled hunter, an </w:t>
      </w:r>
      <w:proofErr w:type="spellStart"/>
      <w:r w:rsidRPr="00A037A0">
        <w:rPr>
          <w:rFonts w:ascii="Verdana" w:hAnsi="Verdana" w:cs="Segoe UI"/>
          <w:sz w:val="24"/>
          <w:szCs w:val="24"/>
          <w:shd w:val="clear" w:color="auto" w:fill="FFFFFF"/>
        </w:rPr>
        <w:t>ish</w:t>
      </w:r>
      <w:proofErr w:type="spellEnd"/>
      <w:r w:rsidRPr="00A037A0">
        <w:rPr>
          <w:rFonts w:ascii="Verdana" w:hAnsi="Verdana" w:cs="Segoe UI"/>
          <w:sz w:val="24"/>
          <w:szCs w:val="24"/>
          <w:shd w:val="clear" w:color="auto" w:fill="FFFFFF"/>
        </w:rPr>
        <w:t xml:space="preserve"> </w:t>
      </w:r>
      <w:proofErr w:type="spellStart"/>
      <w:r w:rsidRPr="00A037A0">
        <w:rPr>
          <w:rFonts w:ascii="Verdana" w:hAnsi="Verdana" w:cs="Segoe UI"/>
          <w:sz w:val="24"/>
          <w:szCs w:val="24"/>
          <w:shd w:val="clear" w:color="auto" w:fill="FFFFFF"/>
        </w:rPr>
        <w:t>sadeh</w:t>
      </w:r>
      <w:proofErr w:type="spellEnd"/>
      <w:r w:rsidRPr="00A037A0">
        <w:rPr>
          <w:rFonts w:ascii="Verdana" w:hAnsi="Verdana" w:cs="Segoe UI"/>
          <w:sz w:val="24"/>
          <w:szCs w:val="24"/>
          <w:shd w:val="clear" w:color="auto" w:fill="FFFFFF"/>
        </w:rPr>
        <w:t xml:space="preserve">; and </w:t>
      </w:r>
      <w:proofErr w:type="spellStart"/>
      <w:r w:rsidRPr="00A037A0">
        <w:rPr>
          <w:rFonts w:ascii="Verdana" w:hAnsi="Verdana" w:cs="Segoe UI"/>
          <w:sz w:val="24"/>
          <w:szCs w:val="24"/>
          <w:shd w:val="clear" w:color="auto" w:fill="FFFFFF"/>
        </w:rPr>
        <w:t>Ya’akov</w:t>
      </w:r>
      <w:proofErr w:type="spellEnd"/>
      <w:r w:rsidRPr="00A037A0">
        <w:rPr>
          <w:rFonts w:ascii="Verdana" w:hAnsi="Verdana" w:cs="Segoe UI"/>
          <w:sz w:val="24"/>
          <w:szCs w:val="24"/>
          <w:shd w:val="clear" w:color="auto" w:fill="FFFFFF"/>
        </w:rPr>
        <w:t xml:space="preserve"> was an </w:t>
      </w:r>
      <w:proofErr w:type="spellStart"/>
      <w:r w:rsidRPr="00A037A0">
        <w:rPr>
          <w:rFonts w:ascii="Verdana" w:hAnsi="Verdana" w:cs="Segoe UI"/>
          <w:sz w:val="24"/>
          <w:szCs w:val="24"/>
          <w:shd w:val="clear" w:color="auto" w:fill="FFFFFF"/>
        </w:rPr>
        <w:t>ish</w:t>
      </w:r>
      <w:proofErr w:type="spellEnd"/>
      <w:r w:rsidRPr="00A037A0">
        <w:rPr>
          <w:rFonts w:ascii="Verdana" w:hAnsi="Verdana" w:cs="Segoe UI"/>
          <w:sz w:val="24"/>
          <w:szCs w:val="24"/>
          <w:shd w:val="clear" w:color="auto" w:fill="FFFFFF"/>
        </w:rPr>
        <w:t xml:space="preserve"> tam (quiet man), dwelling in </w:t>
      </w:r>
      <w:proofErr w:type="spellStart"/>
      <w:r w:rsidRPr="00A037A0">
        <w:rPr>
          <w:rFonts w:ascii="Verdana" w:hAnsi="Verdana" w:cs="Segoe UI"/>
          <w:sz w:val="24"/>
          <w:szCs w:val="24"/>
          <w:shd w:val="clear" w:color="auto" w:fill="FFFFFF"/>
        </w:rPr>
        <w:t>ohalim</w:t>
      </w:r>
      <w:proofErr w:type="spellEnd"/>
      <w:r w:rsidRPr="00A037A0">
        <w:rPr>
          <w:rFonts w:ascii="Verdana" w:hAnsi="Verdana" w:cs="Segoe UI"/>
          <w:sz w:val="24"/>
          <w:szCs w:val="24"/>
          <w:shd w:val="clear" w:color="auto" w:fill="FFFFFF"/>
        </w:rPr>
        <w:t xml:space="preserve">. (Orthodox Study Bible)). Wherever this occurs in Bible it is used with reference to innocence or moral integrity. Given the nature of the of the two incidents considered here, this choice of epithet makes the reader pause and ponder over the moral nature of </w:t>
      </w:r>
      <w:r w:rsidRPr="00A037A0">
        <w:rPr>
          <w:rFonts w:ascii="Verdana" w:hAnsi="Verdana"/>
          <w:sz w:val="24"/>
          <w:szCs w:val="24"/>
        </w:rPr>
        <w:t>Jacob</w:t>
      </w:r>
      <w:r w:rsidR="005F445C" w:rsidRPr="00A037A0">
        <w:rPr>
          <w:rStyle w:val="FootnoteReference"/>
          <w:rFonts w:ascii="Verdana" w:hAnsi="Verdana"/>
          <w:sz w:val="24"/>
          <w:szCs w:val="24"/>
        </w:rPr>
        <w:footnoteReference w:id="44"/>
      </w:r>
      <w:r w:rsidRPr="00A037A0">
        <w:rPr>
          <w:rFonts w:ascii="Verdana" w:hAnsi="Verdana"/>
          <w:sz w:val="24"/>
          <w:szCs w:val="24"/>
        </w:rPr>
        <w:t>.</w:t>
      </w:r>
    </w:p>
    <w:p w:rsidR="00307F2A" w:rsidRPr="00A037A0" w:rsidRDefault="00307F2A" w:rsidP="00EC7D2F">
      <w:pPr>
        <w:pStyle w:val="NoSpacing"/>
        <w:rPr>
          <w:rFonts w:ascii="Verdana" w:hAnsi="Verdana"/>
          <w:sz w:val="24"/>
          <w:szCs w:val="24"/>
        </w:rPr>
      </w:pPr>
      <w:r w:rsidRPr="00A037A0">
        <w:rPr>
          <w:rFonts w:ascii="Verdana" w:hAnsi="Verdana"/>
          <w:sz w:val="24"/>
          <w:szCs w:val="24"/>
        </w:rPr>
        <w:t>The first scene to be considered (Gen 25:27-34) describes the procurement of Esau’s birthright by the younger twin Jacob. It is not explicitly stated in the biblical text what Esau’s birthright entailed nor exactly what Jacob desired or achieved from his purchase</w:t>
      </w:r>
      <w:r w:rsidR="005F445C" w:rsidRPr="00A037A0">
        <w:rPr>
          <w:rStyle w:val="FootnoteReference"/>
          <w:rFonts w:ascii="Verdana" w:hAnsi="Verdana"/>
          <w:sz w:val="24"/>
          <w:szCs w:val="24"/>
        </w:rPr>
        <w:footnoteReference w:id="45"/>
      </w:r>
      <w:r w:rsidRPr="00A037A0">
        <w:rPr>
          <w:rFonts w:ascii="Verdana" w:hAnsi="Verdana"/>
          <w:sz w:val="24"/>
          <w:szCs w:val="24"/>
        </w:rPr>
        <w:t>. Regardless of this, however, the seeming lack of virtue evidenced by Jacob’s exploitation of his brother’s baser instincts would seem hard to justify</w:t>
      </w:r>
      <w:r w:rsidR="005F445C" w:rsidRPr="00A037A0">
        <w:rPr>
          <w:rStyle w:val="FootnoteReference"/>
          <w:rFonts w:ascii="Verdana" w:hAnsi="Verdana"/>
          <w:sz w:val="24"/>
          <w:szCs w:val="24"/>
        </w:rPr>
        <w:footnoteReference w:id="46"/>
      </w:r>
      <w:r w:rsidRPr="00A037A0">
        <w:rPr>
          <w:rFonts w:ascii="Verdana" w:hAnsi="Verdana"/>
          <w:sz w:val="24"/>
          <w:szCs w:val="24"/>
        </w:rPr>
        <w:t>. The contrast between the brothers - Esau impetuous and starving, Jacob shrewd and calculating - does not show Jacob necessarily to his advantage especially given the connotation of ‘innocence’ attributed to him in v27</w:t>
      </w:r>
      <w:r w:rsidR="005F445C" w:rsidRPr="00A037A0">
        <w:rPr>
          <w:rStyle w:val="FootnoteReference"/>
          <w:rFonts w:ascii="Verdana" w:hAnsi="Verdana"/>
          <w:sz w:val="24"/>
          <w:szCs w:val="24"/>
        </w:rPr>
        <w:footnoteReference w:id="47"/>
      </w:r>
      <w:r w:rsidRPr="00A037A0">
        <w:rPr>
          <w:rFonts w:ascii="Verdana" w:hAnsi="Verdana"/>
          <w:sz w:val="24"/>
          <w:szCs w:val="24"/>
        </w:rPr>
        <w:t>. Given the unknown quantity of the birthright, the reader has difficulty attributing an ethical value to the transaction</w:t>
      </w:r>
      <w:r w:rsidR="00BD10DA" w:rsidRPr="00A037A0">
        <w:rPr>
          <w:rStyle w:val="FootnoteReference"/>
          <w:rFonts w:ascii="Verdana" w:hAnsi="Verdana"/>
          <w:sz w:val="24"/>
          <w:szCs w:val="24"/>
        </w:rPr>
        <w:footnoteReference w:id="48"/>
      </w:r>
      <w:r w:rsidRPr="00A037A0">
        <w:rPr>
          <w:rFonts w:ascii="Verdana" w:hAnsi="Verdana"/>
          <w:sz w:val="24"/>
          <w:szCs w:val="24"/>
        </w:rPr>
        <w:t>. Neither is the reader given any indication in the text prior to the transaction whether Esau has proved himself unworthy of his birthright</w:t>
      </w:r>
      <w:r w:rsidR="00BD10DA" w:rsidRPr="00A037A0">
        <w:rPr>
          <w:rStyle w:val="FootnoteReference"/>
          <w:rFonts w:ascii="Verdana" w:hAnsi="Verdana"/>
          <w:sz w:val="24"/>
          <w:szCs w:val="24"/>
        </w:rPr>
        <w:footnoteReference w:id="49"/>
      </w:r>
      <w:r w:rsidRPr="00A037A0">
        <w:rPr>
          <w:rFonts w:ascii="Verdana" w:hAnsi="Verdana"/>
          <w:sz w:val="24"/>
          <w:szCs w:val="24"/>
        </w:rPr>
        <w:t xml:space="preserve">. </w:t>
      </w:r>
      <w:r w:rsidR="00E2112A" w:rsidRPr="00A037A0">
        <w:rPr>
          <w:rFonts w:ascii="Verdana" w:hAnsi="Verdana"/>
          <w:sz w:val="24"/>
          <w:szCs w:val="24"/>
        </w:rPr>
        <w:t xml:space="preserve">Genesis 25:28 is an excellent example of the way in which the </w:t>
      </w:r>
      <w:proofErr w:type="gramStart"/>
      <w:r w:rsidR="00E2112A" w:rsidRPr="00A037A0">
        <w:rPr>
          <w:rFonts w:ascii="Verdana" w:hAnsi="Verdana"/>
          <w:sz w:val="24"/>
          <w:szCs w:val="24"/>
        </w:rPr>
        <w:t>Bible  either</w:t>
      </w:r>
      <w:proofErr w:type="gramEnd"/>
      <w:r w:rsidR="00E2112A" w:rsidRPr="00A037A0">
        <w:rPr>
          <w:rFonts w:ascii="Verdana" w:hAnsi="Verdana"/>
          <w:sz w:val="24"/>
          <w:szCs w:val="24"/>
        </w:rPr>
        <w:t xml:space="preserve"> dictates or withholds motive in order to suggest moral arguments to the reader and infer certain ambiguities</w:t>
      </w:r>
      <w:r w:rsidR="00BD10DA" w:rsidRPr="00A037A0">
        <w:rPr>
          <w:rStyle w:val="FootnoteReference"/>
          <w:rFonts w:ascii="Verdana" w:hAnsi="Verdana"/>
          <w:sz w:val="24"/>
          <w:szCs w:val="24"/>
        </w:rPr>
        <w:footnoteReference w:id="50"/>
      </w:r>
      <w:r w:rsidRPr="00A037A0">
        <w:rPr>
          <w:rFonts w:ascii="Verdana" w:hAnsi="Verdana"/>
          <w:sz w:val="24"/>
          <w:szCs w:val="24"/>
        </w:rPr>
        <w:t>.</w:t>
      </w:r>
    </w:p>
    <w:p w:rsidR="00307F2A" w:rsidRPr="00A037A0" w:rsidRDefault="00307F2A" w:rsidP="00307F2A">
      <w:pPr>
        <w:pStyle w:val="NoSpacing"/>
        <w:rPr>
          <w:rFonts w:ascii="Verdana" w:hAnsi="Verdana"/>
          <w:sz w:val="24"/>
          <w:szCs w:val="24"/>
        </w:rPr>
      </w:pPr>
      <w:r w:rsidRPr="00A037A0">
        <w:rPr>
          <w:rFonts w:ascii="Verdana" w:hAnsi="Verdana"/>
          <w:sz w:val="24"/>
          <w:szCs w:val="24"/>
        </w:rPr>
        <w:t>In addition to the questionable purchase of his brother’s status as firstborn, the second scene to be considered (Genesis 27:1-45) sees Jacob proceeding to acquire Esau’s paternal blessing. This is done in a fashion which advances the divine plan, however, Jacob’s deceitful actions are destined to bring hardship to all</w:t>
      </w:r>
      <w:r w:rsidR="00BD10DA" w:rsidRPr="00A037A0">
        <w:rPr>
          <w:rStyle w:val="FootnoteReference"/>
          <w:rFonts w:ascii="Verdana" w:hAnsi="Verdana"/>
          <w:sz w:val="24"/>
          <w:szCs w:val="24"/>
        </w:rPr>
        <w:footnoteReference w:id="51"/>
      </w:r>
      <w:r w:rsidRPr="00A037A0">
        <w:rPr>
          <w:rFonts w:ascii="Verdana" w:hAnsi="Verdana"/>
          <w:sz w:val="24"/>
          <w:szCs w:val="24"/>
        </w:rPr>
        <w:t xml:space="preserve">. Rebekah arranges the fulfilment of the divine plan to the benefit of the second-born son and in a manner that could be considered to a high degree morally offensive. Despite Jacob voicing concerns regarding the enterprise, Rebekah does not mention the oracle announcing the divine preference for the younger twin (vv11-13). </w:t>
      </w:r>
      <w:r w:rsidRPr="00A037A0">
        <w:rPr>
          <w:rFonts w:ascii="Verdana" w:hAnsi="Verdana"/>
          <w:sz w:val="24"/>
          <w:szCs w:val="24"/>
        </w:rPr>
        <w:lastRenderedPageBreak/>
        <w:t>Midrashic thought reflects that it is trust in the oracle that allows Rebekah to discount the paternal curse that Jacob fears</w:t>
      </w:r>
      <w:r w:rsidR="00BD10DA" w:rsidRPr="00A037A0">
        <w:rPr>
          <w:rStyle w:val="FootnoteReference"/>
          <w:rFonts w:ascii="Verdana" w:hAnsi="Verdana"/>
          <w:sz w:val="24"/>
          <w:szCs w:val="24"/>
        </w:rPr>
        <w:footnoteReference w:id="52"/>
      </w:r>
      <w:r w:rsidRPr="00A037A0">
        <w:rPr>
          <w:rFonts w:ascii="Verdana" w:hAnsi="Verdana"/>
          <w:sz w:val="24"/>
          <w:szCs w:val="24"/>
        </w:rPr>
        <w:t>. However, Rebekah’s preference for Jacob (v11) and consequent desire for him to attain his father’s blessing at the expense of Esau, can be interpreted as impetus enough for her to risk her husband’s curse. It is she who proposes the deception, yet in agreeing to her proposal, Jacob is equally culpable</w:t>
      </w:r>
      <w:r w:rsidR="00BD10DA" w:rsidRPr="00A037A0">
        <w:rPr>
          <w:rStyle w:val="FootnoteReference"/>
          <w:rFonts w:ascii="Verdana" w:hAnsi="Verdana"/>
          <w:sz w:val="24"/>
          <w:szCs w:val="24"/>
        </w:rPr>
        <w:footnoteReference w:id="53"/>
      </w:r>
      <w:r w:rsidRPr="00A037A0">
        <w:rPr>
          <w:rFonts w:ascii="Verdana" w:hAnsi="Verdana"/>
          <w:sz w:val="24"/>
          <w:szCs w:val="24"/>
        </w:rPr>
        <w:t>. Indeed, he immediately expresses reluctance regarding his mother’s deceitful plan, however, this reticence is not on grounds of morality but rather out of fear that his deception will not be successful</w:t>
      </w:r>
      <w:r w:rsidR="00BD10DA" w:rsidRPr="00A037A0">
        <w:rPr>
          <w:rStyle w:val="FootnoteReference"/>
          <w:rFonts w:ascii="Verdana" w:hAnsi="Verdana"/>
          <w:sz w:val="24"/>
          <w:szCs w:val="24"/>
        </w:rPr>
        <w:footnoteReference w:id="54"/>
      </w:r>
      <w:r w:rsidRPr="00A037A0">
        <w:rPr>
          <w:rFonts w:ascii="Verdana" w:hAnsi="Verdana"/>
          <w:sz w:val="24"/>
          <w:szCs w:val="24"/>
        </w:rPr>
        <w:t xml:space="preserve"> and therefore potentially expose him to his father’s curse. </w:t>
      </w:r>
      <w:r w:rsidR="00EC7D2F" w:rsidRPr="00A037A0">
        <w:rPr>
          <w:rFonts w:ascii="Verdana" w:hAnsi="Verdana"/>
          <w:sz w:val="24"/>
          <w:szCs w:val="24"/>
        </w:rPr>
        <w:t>A</w:t>
      </w:r>
      <w:r w:rsidRPr="00A037A0">
        <w:rPr>
          <w:rFonts w:ascii="Verdana" w:hAnsi="Verdana"/>
          <w:sz w:val="24"/>
          <w:szCs w:val="24"/>
        </w:rPr>
        <w:t>n absolutist position</w:t>
      </w:r>
      <w:r w:rsidR="00EC7D2F" w:rsidRPr="00A037A0">
        <w:rPr>
          <w:rFonts w:ascii="Verdana" w:hAnsi="Verdana"/>
          <w:sz w:val="24"/>
          <w:szCs w:val="24"/>
        </w:rPr>
        <w:t xml:space="preserve"> would propose that</w:t>
      </w:r>
      <w:r w:rsidRPr="00A037A0">
        <w:rPr>
          <w:rFonts w:ascii="Verdana" w:hAnsi="Verdana"/>
          <w:sz w:val="24"/>
          <w:szCs w:val="24"/>
        </w:rPr>
        <w:t xml:space="preserve"> </w:t>
      </w:r>
      <w:r w:rsidR="00EC7D2F" w:rsidRPr="00A037A0">
        <w:rPr>
          <w:rFonts w:ascii="Verdana" w:hAnsi="Verdana"/>
          <w:sz w:val="24"/>
          <w:szCs w:val="24"/>
        </w:rPr>
        <w:t xml:space="preserve">both </w:t>
      </w:r>
      <w:r w:rsidRPr="00A037A0">
        <w:rPr>
          <w:rFonts w:ascii="Verdana" w:hAnsi="Verdana"/>
          <w:sz w:val="24"/>
          <w:szCs w:val="24"/>
        </w:rPr>
        <w:t xml:space="preserve">Jacob </w:t>
      </w:r>
      <w:r w:rsidR="00EC7D2F" w:rsidRPr="00A037A0">
        <w:rPr>
          <w:rFonts w:ascii="Verdana" w:hAnsi="Verdana"/>
          <w:sz w:val="24"/>
          <w:szCs w:val="24"/>
        </w:rPr>
        <w:t xml:space="preserve">and Rebekah </w:t>
      </w:r>
      <w:r w:rsidRPr="00A037A0">
        <w:rPr>
          <w:rFonts w:ascii="Verdana" w:hAnsi="Verdana"/>
          <w:sz w:val="24"/>
          <w:szCs w:val="24"/>
        </w:rPr>
        <w:t>acted unethically</w:t>
      </w:r>
      <w:r w:rsidR="00EC7D2F" w:rsidRPr="00A037A0">
        <w:rPr>
          <w:rFonts w:ascii="Verdana" w:hAnsi="Verdana"/>
          <w:sz w:val="24"/>
          <w:szCs w:val="24"/>
        </w:rPr>
        <w:t>,</w:t>
      </w:r>
      <w:r w:rsidRPr="00A037A0">
        <w:rPr>
          <w:rFonts w:ascii="Verdana" w:hAnsi="Verdana"/>
          <w:sz w:val="24"/>
          <w:szCs w:val="24"/>
        </w:rPr>
        <w:t xml:space="preserve"> since moral actions do not derive their worth from expected consequences</w:t>
      </w:r>
      <w:r w:rsidR="00BD10DA" w:rsidRPr="00A037A0">
        <w:rPr>
          <w:rStyle w:val="FootnoteReference"/>
          <w:rFonts w:ascii="Verdana" w:hAnsi="Verdana"/>
          <w:sz w:val="24"/>
          <w:szCs w:val="24"/>
        </w:rPr>
        <w:footnoteReference w:id="55"/>
      </w:r>
      <w:r w:rsidRPr="00A037A0">
        <w:rPr>
          <w:rFonts w:ascii="Verdana" w:hAnsi="Verdana"/>
          <w:sz w:val="24"/>
          <w:szCs w:val="24"/>
        </w:rPr>
        <w:t>.</w:t>
      </w:r>
    </w:p>
    <w:p w:rsidR="00307F2A" w:rsidRPr="00A037A0" w:rsidRDefault="00307F2A" w:rsidP="00307F2A">
      <w:pPr>
        <w:pStyle w:val="NoSpacing"/>
        <w:rPr>
          <w:rFonts w:ascii="Verdana" w:hAnsi="Verdana"/>
          <w:sz w:val="24"/>
          <w:szCs w:val="24"/>
        </w:rPr>
      </w:pPr>
      <w:r w:rsidRPr="00A037A0">
        <w:rPr>
          <w:rFonts w:ascii="Verdana" w:hAnsi="Verdana"/>
          <w:sz w:val="24"/>
          <w:szCs w:val="24"/>
        </w:rPr>
        <w:t>Jacob’s apparent disgraceful behaviour in deceiving his aged and blind father, can be seen to be presented in a way that arouses the reader’s support for Jacob, though the depiction of his brother’s distress (vv34-8) is intended to elicit sympathy for Esau</w:t>
      </w:r>
      <w:r w:rsidR="00BD10DA" w:rsidRPr="00A037A0">
        <w:rPr>
          <w:rStyle w:val="FootnoteReference"/>
          <w:rFonts w:ascii="Verdana" w:hAnsi="Verdana"/>
          <w:sz w:val="24"/>
          <w:szCs w:val="24"/>
        </w:rPr>
        <w:footnoteReference w:id="56"/>
      </w:r>
      <w:r w:rsidRPr="00A037A0">
        <w:rPr>
          <w:rFonts w:ascii="Verdana" w:hAnsi="Verdana"/>
          <w:sz w:val="24"/>
          <w:szCs w:val="24"/>
        </w:rPr>
        <w:t>. Indeed, Esau’s response to Isaac’s summons ‘Here I am’ (v1) recalls the refrain of the Akedah (22:1, 7, 11)</w:t>
      </w:r>
      <w:r w:rsidR="00BD10DA" w:rsidRPr="00A037A0">
        <w:rPr>
          <w:rStyle w:val="FootnoteReference"/>
          <w:rFonts w:ascii="Verdana" w:hAnsi="Verdana"/>
          <w:sz w:val="24"/>
          <w:szCs w:val="24"/>
        </w:rPr>
        <w:footnoteReference w:id="57"/>
      </w:r>
      <w:r w:rsidRPr="00A037A0">
        <w:rPr>
          <w:rFonts w:ascii="Verdana" w:hAnsi="Verdana"/>
          <w:sz w:val="24"/>
          <w:szCs w:val="24"/>
        </w:rPr>
        <w:t xml:space="preserve">. </w:t>
      </w:r>
    </w:p>
    <w:p w:rsidR="00307F2A" w:rsidRPr="00A037A0" w:rsidRDefault="00307F2A" w:rsidP="00307F2A">
      <w:pPr>
        <w:pStyle w:val="NoSpacing"/>
        <w:rPr>
          <w:rFonts w:ascii="Verdana" w:hAnsi="Verdana"/>
          <w:sz w:val="24"/>
          <w:szCs w:val="24"/>
        </w:rPr>
      </w:pPr>
      <w:r w:rsidRPr="00A037A0">
        <w:rPr>
          <w:rFonts w:ascii="Verdana" w:hAnsi="Verdana"/>
          <w:sz w:val="24"/>
          <w:szCs w:val="24"/>
        </w:rPr>
        <w:t>As previously noted, the narrative is driven by dual causation aptly illustrated in v20. Jacob is indeed deceiving his father; however, he is expressing, albeit unwittingly, divine preference, rather than his father’s, which ensures his success</w:t>
      </w:r>
      <w:r w:rsidR="00B36DA9" w:rsidRPr="00A037A0">
        <w:rPr>
          <w:rStyle w:val="FootnoteReference"/>
          <w:rFonts w:ascii="Verdana" w:hAnsi="Verdana"/>
          <w:sz w:val="24"/>
          <w:szCs w:val="24"/>
        </w:rPr>
        <w:footnoteReference w:id="58"/>
      </w:r>
      <w:r w:rsidRPr="00A037A0">
        <w:rPr>
          <w:rFonts w:ascii="Verdana" w:hAnsi="Verdana"/>
          <w:sz w:val="24"/>
          <w:szCs w:val="24"/>
        </w:rPr>
        <w:t>. At this point it may be well to refer again to the covenantal promises and that the introduction of ambiguities in the behaviour of the protagonist who carries these promises can be of theological value; moral perfection is not automatically conferred and the reader is reminded of Israel’s hopes and failings</w:t>
      </w:r>
      <w:r w:rsidR="00B36DA9" w:rsidRPr="00A037A0">
        <w:rPr>
          <w:rStyle w:val="FootnoteReference"/>
          <w:rFonts w:ascii="Verdana" w:hAnsi="Verdana"/>
          <w:sz w:val="24"/>
          <w:szCs w:val="24"/>
        </w:rPr>
        <w:footnoteReference w:id="59"/>
      </w:r>
      <w:r w:rsidRPr="00A037A0">
        <w:rPr>
          <w:rFonts w:ascii="Verdana" w:hAnsi="Verdana"/>
          <w:sz w:val="24"/>
          <w:szCs w:val="24"/>
        </w:rPr>
        <w:t>. Indeed, this sentiment is echoed in Jeremiah (Jer. 9:3-8); in Hebrew, birthright and blessing share the same three consonants. The prophet Jeremiah, though continuing to believe in the status of Jacob/Israel as ‘chosen’, sees in Jacob’s deceit a reflection of the chosen people at their worst and just cause for God’s impending punishment</w:t>
      </w:r>
      <w:r w:rsidR="00B36DA9" w:rsidRPr="00A037A0">
        <w:rPr>
          <w:rStyle w:val="FootnoteReference"/>
          <w:rFonts w:ascii="Verdana" w:hAnsi="Verdana"/>
          <w:sz w:val="24"/>
          <w:szCs w:val="24"/>
        </w:rPr>
        <w:footnoteReference w:id="60"/>
      </w:r>
      <w:r w:rsidRPr="00A037A0">
        <w:rPr>
          <w:rFonts w:ascii="Verdana" w:hAnsi="Verdana"/>
          <w:sz w:val="24"/>
          <w:szCs w:val="24"/>
        </w:rPr>
        <w:t>. Jacob would appear to become the victim of symmetrical poetic justice, this is most explicit in Laban’s action of deceiving Jacob in the blindness of the night by passing off Leah on him as Rachel. Subsequently, Jacob endures Laban’s rebuke the following morning, ‘it is not done thus in our region to give the younger daughter before the firstborn’ (Gen 29:26)</w:t>
      </w:r>
      <w:r w:rsidR="00B36DA9" w:rsidRPr="00A037A0">
        <w:rPr>
          <w:rStyle w:val="FootnoteReference"/>
          <w:rFonts w:ascii="Verdana" w:hAnsi="Verdana"/>
          <w:sz w:val="24"/>
          <w:szCs w:val="24"/>
        </w:rPr>
        <w:footnoteReference w:id="61"/>
      </w:r>
      <w:r w:rsidRPr="00A037A0">
        <w:rPr>
          <w:rFonts w:ascii="Verdana" w:hAnsi="Verdana"/>
          <w:sz w:val="24"/>
          <w:szCs w:val="24"/>
        </w:rPr>
        <w:t>.</w:t>
      </w:r>
    </w:p>
    <w:p w:rsidR="00307F2A" w:rsidRPr="00A037A0" w:rsidRDefault="00307F2A" w:rsidP="00307F2A">
      <w:pPr>
        <w:pStyle w:val="NoSpacing"/>
        <w:rPr>
          <w:rFonts w:ascii="Verdana" w:hAnsi="Verdana"/>
          <w:sz w:val="24"/>
          <w:szCs w:val="24"/>
        </w:rPr>
      </w:pPr>
      <w:r w:rsidRPr="00A037A0">
        <w:rPr>
          <w:rFonts w:ascii="Verdana" w:hAnsi="Verdana"/>
          <w:sz w:val="24"/>
          <w:szCs w:val="24"/>
        </w:rPr>
        <w:t xml:space="preserve">At the end of his life Jacob states to Pharaoh that ‘few and evil have been the days of the years of my life’ (47:9). He has endured an unrelieved </w:t>
      </w:r>
      <w:r w:rsidRPr="00A037A0">
        <w:rPr>
          <w:rFonts w:ascii="Verdana" w:hAnsi="Verdana"/>
          <w:sz w:val="24"/>
          <w:szCs w:val="24"/>
        </w:rPr>
        <w:lastRenderedPageBreak/>
        <w:t>series of trials and tribulations from the day he tricked his father until his death</w:t>
      </w:r>
      <w:r w:rsidR="004D6516" w:rsidRPr="00A037A0">
        <w:rPr>
          <w:rStyle w:val="FootnoteReference"/>
          <w:rFonts w:ascii="Verdana" w:hAnsi="Verdana"/>
          <w:sz w:val="24"/>
          <w:szCs w:val="24"/>
        </w:rPr>
        <w:footnoteReference w:id="62"/>
      </w:r>
      <w:r w:rsidRPr="00A037A0">
        <w:rPr>
          <w:rFonts w:ascii="Verdana" w:hAnsi="Verdana"/>
          <w:sz w:val="24"/>
          <w:szCs w:val="24"/>
        </w:rPr>
        <w:t>. There is a profound moral realism to the life of Jacob in that even though he achieved everything he aspired to, it did not happen in a way that he would have wanted</w:t>
      </w:r>
      <w:r w:rsidR="004D6516" w:rsidRPr="00A037A0">
        <w:rPr>
          <w:rStyle w:val="FootnoteReference"/>
          <w:rFonts w:ascii="Verdana" w:hAnsi="Verdana"/>
          <w:sz w:val="24"/>
          <w:szCs w:val="24"/>
        </w:rPr>
        <w:footnoteReference w:id="63"/>
      </w:r>
      <w:r w:rsidRPr="00A037A0">
        <w:rPr>
          <w:rFonts w:ascii="Verdana" w:hAnsi="Verdana"/>
          <w:sz w:val="24"/>
          <w:szCs w:val="24"/>
        </w:rPr>
        <w:t xml:space="preserve">. </w:t>
      </w:r>
    </w:p>
    <w:p w:rsidR="00307F2A" w:rsidRPr="00924024" w:rsidRDefault="00307F2A" w:rsidP="00307F2A">
      <w:pPr>
        <w:pStyle w:val="NoSpacing"/>
        <w:rPr>
          <w:rFonts w:ascii="Verdana" w:hAnsi="Verdana"/>
          <w:sz w:val="24"/>
          <w:szCs w:val="24"/>
        </w:rPr>
      </w:pPr>
      <w:r w:rsidRPr="00A037A0">
        <w:rPr>
          <w:rFonts w:ascii="Verdana" w:hAnsi="Verdana"/>
          <w:sz w:val="24"/>
          <w:szCs w:val="24"/>
        </w:rPr>
        <w:t xml:space="preserve">Sarna states that </w:t>
      </w:r>
      <w:r w:rsidR="00EC7D2F" w:rsidRPr="00A037A0">
        <w:rPr>
          <w:rFonts w:ascii="Verdana" w:hAnsi="Verdana"/>
          <w:sz w:val="24"/>
          <w:szCs w:val="24"/>
        </w:rPr>
        <w:t>‘</w:t>
      </w:r>
      <w:r w:rsidRPr="00A037A0">
        <w:rPr>
          <w:rFonts w:ascii="Verdana" w:hAnsi="Verdana"/>
          <w:sz w:val="24"/>
          <w:szCs w:val="24"/>
        </w:rPr>
        <w:t>there is reason to believe that Jacob’s dealings with Esau and his father represent a stage of morality in which the successful application of shrewd optimism was highly respected</w:t>
      </w:r>
      <w:r w:rsidR="00EC7D2F" w:rsidRPr="00A037A0">
        <w:rPr>
          <w:rFonts w:ascii="Verdana" w:hAnsi="Verdana"/>
          <w:sz w:val="24"/>
          <w:szCs w:val="24"/>
        </w:rPr>
        <w:t>’</w:t>
      </w:r>
      <w:r w:rsidR="004D6516" w:rsidRPr="00A037A0">
        <w:rPr>
          <w:rStyle w:val="FootnoteReference"/>
          <w:rFonts w:ascii="Verdana" w:hAnsi="Verdana"/>
          <w:sz w:val="24"/>
          <w:szCs w:val="24"/>
        </w:rPr>
        <w:footnoteReference w:id="64"/>
      </w:r>
      <w:r w:rsidRPr="00A037A0">
        <w:rPr>
          <w:rFonts w:ascii="Verdana" w:hAnsi="Verdana"/>
          <w:sz w:val="24"/>
          <w:szCs w:val="24"/>
        </w:rPr>
        <w:t xml:space="preserve">. Further to this, Ora Horn </w:t>
      </w:r>
      <w:proofErr w:type="spellStart"/>
      <w:r w:rsidRPr="00A037A0">
        <w:rPr>
          <w:rFonts w:ascii="Verdana" w:hAnsi="Verdana"/>
          <w:sz w:val="24"/>
          <w:szCs w:val="24"/>
        </w:rPr>
        <w:t>Prouser</w:t>
      </w:r>
      <w:proofErr w:type="spellEnd"/>
      <w:r w:rsidRPr="00A037A0">
        <w:rPr>
          <w:rFonts w:ascii="Verdana" w:hAnsi="Verdana"/>
          <w:sz w:val="24"/>
          <w:szCs w:val="24"/>
        </w:rPr>
        <w:t xml:space="preserve"> (</w:t>
      </w:r>
      <w:r w:rsidRPr="00A037A0">
        <w:rPr>
          <w:rFonts w:ascii="Verdana" w:hAnsi="Verdana"/>
          <w:i/>
          <w:sz w:val="24"/>
          <w:szCs w:val="24"/>
        </w:rPr>
        <w:t>The Phenomenology of the Lie</w:t>
      </w:r>
      <w:r w:rsidRPr="00A037A0">
        <w:rPr>
          <w:rFonts w:ascii="Verdana" w:hAnsi="Verdana"/>
          <w:sz w:val="24"/>
          <w:szCs w:val="24"/>
        </w:rPr>
        <w:t xml:space="preserve"> 183) explains that </w:t>
      </w:r>
      <w:r w:rsidR="00EC7D2F" w:rsidRPr="00A037A0">
        <w:rPr>
          <w:rFonts w:ascii="Verdana" w:hAnsi="Verdana"/>
          <w:sz w:val="24"/>
          <w:szCs w:val="24"/>
        </w:rPr>
        <w:t xml:space="preserve">rather than a sign of moral weakness, </w:t>
      </w:r>
      <w:r w:rsidRPr="00A037A0">
        <w:rPr>
          <w:rFonts w:ascii="Verdana" w:hAnsi="Verdana"/>
          <w:sz w:val="24"/>
          <w:szCs w:val="24"/>
        </w:rPr>
        <w:t xml:space="preserve">deception </w:t>
      </w:r>
      <w:r w:rsidR="00EC7D2F" w:rsidRPr="00A037A0">
        <w:rPr>
          <w:rFonts w:ascii="Verdana" w:hAnsi="Verdana"/>
          <w:sz w:val="24"/>
          <w:szCs w:val="24"/>
        </w:rPr>
        <w:t>was</w:t>
      </w:r>
      <w:r w:rsidRPr="00A037A0">
        <w:rPr>
          <w:rFonts w:ascii="Verdana" w:hAnsi="Verdana"/>
          <w:sz w:val="24"/>
          <w:szCs w:val="24"/>
        </w:rPr>
        <w:t xml:space="preserve"> a tool of those who were in a weaker social situation</w:t>
      </w:r>
      <w:r w:rsidR="004D6516" w:rsidRPr="00A037A0">
        <w:rPr>
          <w:rStyle w:val="FootnoteReference"/>
          <w:rFonts w:ascii="Verdana" w:hAnsi="Verdana"/>
          <w:sz w:val="24"/>
          <w:szCs w:val="24"/>
        </w:rPr>
        <w:footnoteReference w:id="65"/>
      </w:r>
      <w:r w:rsidRPr="00A037A0">
        <w:rPr>
          <w:rFonts w:ascii="Verdana" w:hAnsi="Verdana"/>
          <w:sz w:val="24"/>
          <w:szCs w:val="24"/>
        </w:rPr>
        <w:t xml:space="preserve">. </w:t>
      </w:r>
      <w:r w:rsidR="003B6DAA" w:rsidRPr="00924024">
        <w:rPr>
          <w:rFonts w:ascii="Verdana" w:hAnsi="Verdana"/>
          <w:sz w:val="24"/>
          <w:szCs w:val="24"/>
        </w:rPr>
        <w:t>Genesis 28:12-15 provides divine confirmation of the blessing of Abraham in a message from God which affirms that Jacob was the rightful beneficiary despite the dubious tactics used in obtaining the blessing</w:t>
      </w:r>
      <w:r w:rsidR="004D6516" w:rsidRPr="00924024">
        <w:rPr>
          <w:rStyle w:val="FootnoteReference"/>
          <w:rFonts w:ascii="Verdana" w:hAnsi="Verdana"/>
          <w:sz w:val="24"/>
          <w:szCs w:val="24"/>
        </w:rPr>
        <w:footnoteReference w:id="66"/>
      </w:r>
      <w:r w:rsidRPr="00924024">
        <w:rPr>
          <w:rFonts w:ascii="Verdana" w:hAnsi="Verdana"/>
          <w:sz w:val="24"/>
          <w:szCs w:val="24"/>
        </w:rPr>
        <w:t>.</w:t>
      </w:r>
    </w:p>
    <w:p w:rsidR="00307F2A" w:rsidRPr="00A037A0" w:rsidRDefault="00307F2A" w:rsidP="00307F2A">
      <w:pPr>
        <w:pStyle w:val="NoSpacing"/>
        <w:rPr>
          <w:rFonts w:ascii="Verdana" w:hAnsi="Verdana"/>
          <w:sz w:val="24"/>
          <w:szCs w:val="24"/>
        </w:rPr>
      </w:pPr>
      <w:r w:rsidRPr="00A037A0">
        <w:rPr>
          <w:rFonts w:ascii="Verdana" w:hAnsi="Verdana"/>
          <w:sz w:val="24"/>
          <w:szCs w:val="24"/>
        </w:rPr>
        <w:t>Therefore, one can but wonder that Scripture has framed the story in such a morally reproving tone, suggesting that the unbroken chain of Jacob’s woes is a result of actions not considered reprehensible according to contemporary standards</w:t>
      </w:r>
      <w:r w:rsidR="005B143B" w:rsidRPr="00A037A0">
        <w:rPr>
          <w:rStyle w:val="FootnoteReference"/>
          <w:rFonts w:ascii="Verdana" w:hAnsi="Verdana"/>
          <w:sz w:val="24"/>
          <w:szCs w:val="24"/>
        </w:rPr>
        <w:footnoteReference w:id="67"/>
      </w:r>
      <w:r w:rsidRPr="00A037A0">
        <w:rPr>
          <w:rFonts w:ascii="Verdana" w:hAnsi="Verdana"/>
          <w:sz w:val="24"/>
          <w:szCs w:val="24"/>
        </w:rPr>
        <w:t>. Moral judgements upon deceivers, though not cast explicitly in the Bible, are implied by the later consequences of such lies</w:t>
      </w:r>
      <w:r w:rsidR="005B143B" w:rsidRPr="00A037A0">
        <w:rPr>
          <w:rStyle w:val="FootnoteReference"/>
          <w:rFonts w:ascii="Verdana" w:hAnsi="Verdana"/>
          <w:sz w:val="24"/>
          <w:szCs w:val="24"/>
        </w:rPr>
        <w:footnoteReference w:id="68"/>
      </w:r>
      <w:r w:rsidRPr="00A037A0">
        <w:rPr>
          <w:rFonts w:ascii="Verdana" w:hAnsi="Verdana"/>
          <w:sz w:val="24"/>
          <w:szCs w:val="24"/>
        </w:rPr>
        <w:t>. As Nahum Sarna expresses, ‘an explicit denunciation could hardly be more effective or more scathing than Jacob’s ‘unhappy biography’</w:t>
      </w:r>
      <w:r w:rsidR="005B143B" w:rsidRPr="00A037A0">
        <w:rPr>
          <w:rStyle w:val="FootnoteReference"/>
          <w:rFonts w:ascii="Verdana" w:hAnsi="Verdana"/>
          <w:sz w:val="24"/>
          <w:szCs w:val="24"/>
        </w:rPr>
        <w:footnoteReference w:id="69"/>
      </w:r>
      <w:r w:rsidRPr="00A037A0">
        <w:rPr>
          <w:rFonts w:ascii="Verdana" w:hAnsi="Verdana"/>
          <w:sz w:val="24"/>
          <w:szCs w:val="24"/>
        </w:rPr>
        <w:t>.</w:t>
      </w:r>
    </w:p>
    <w:p w:rsidR="00405328" w:rsidRDefault="00405328" w:rsidP="002C09DA">
      <w:pPr>
        <w:pStyle w:val="NoSpacing"/>
        <w:rPr>
          <w:rFonts w:ascii="Verdana" w:hAnsi="Verdana"/>
          <w:sz w:val="24"/>
          <w:szCs w:val="24"/>
        </w:rPr>
      </w:pPr>
    </w:p>
    <w:p w:rsidR="00606625" w:rsidRPr="00606625" w:rsidRDefault="00606625" w:rsidP="00606625">
      <w:pPr>
        <w:pStyle w:val="NoSpacing"/>
        <w:rPr>
          <w:rFonts w:ascii="Verdana" w:hAnsi="Verdana"/>
          <w:sz w:val="24"/>
          <w:szCs w:val="24"/>
        </w:rPr>
      </w:pPr>
      <w:r w:rsidRPr="00606625">
        <w:rPr>
          <w:rFonts w:ascii="Verdana" w:hAnsi="Verdana"/>
          <w:sz w:val="24"/>
          <w:szCs w:val="24"/>
        </w:rPr>
        <w:t>Moral evaluation is not an obvious element in the Bible, indeed the term ‘morality’ does not appear in the Hebrew Scriptures at all</w:t>
      </w:r>
      <w:r>
        <w:rPr>
          <w:rStyle w:val="FootnoteReference"/>
          <w:rFonts w:ascii="Verdana" w:hAnsi="Verdana"/>
          <w:sz w:val="24"/>
          <w:szCs w:val="24"/>
        </w:rPr>
        <w:footnoteReference w:id="70"/>
      </w:r>
      <w:r>
        <w:rPr>
          <w:rFonts w:ascii="Verdana" w:hAnsi="Verdana"/>
          <w:sz w:val="24"/>
          <w:szCs w:val="24"/>
        </w:rPr>
        <w:t xml:space="preserve">. </w:t>
      </w:r>
      <w:r w:rsidRPr="00606625">
        <w:rPr>
          <w:rFonts w:ascii="Verdana" w:hAnsi="Verdana"/>
          <w:sz w:val="24"/>
          <w:szCs w:val="24"/>
        </w:rPr>
        <w:t>Despite this, biblical morality as a concept can be observed in the discussions of the nature of right and wrong behaviour</w:t>
      </w:r>
      <w:r>
        <w:rPr>
          <w:rStyle w:val="FootnoteReference"/>
          <w:rFonts w:ascii="Verdana" w:hAnsi="Verdana"/>
          <w:sz w:val="24"/>
          <w:szCs w:val="24"/>
        </w:rPr>
        <w:footnoteReference w:id="71"/>
      </w:r>
      <w:r w:rsidRPr="00606625">
        <w:rPr>
          <w:rFonts w:ascii="Verdana" w:hAnsi="Verdana"/>
          <w:sz w:val="24"/>
          <w:szCs w:val="24"/>
        </w:rPr>
        <w:t>. Whilst the actions of central characters in the Book of Genesis may not be ideal, consideration and discussion of their behaviours, together with explanations and justifications, can serve to foster reflection on morality.</w:t>
      </w:r>
    </w:p>
    <w:p w:rsidR="00606625" w:rsidRDefault="00606625" w:rsidP="002C09DA">
      <w:pPr>
        <w:pStyle w:val="NoSpacing"/>
        <w:rPr>
          <w:rFonts w:ascii="Verdana" w:hAnsi="Verdana"/>
          <w:sz w:val="24"/>
          <w:szCs w:val="24"/>
        </w:rPr>
      </w:pPr>
    </w:p>
    <w:p w:rsidR="00B113F8" w:rsidRDefault="00B113F8" w:rsidP="002C09DA">
      <w:pPr>
        <w:pStyle w:val="NoSpacing"/>
        <w:rPr>
          <w:rFonts w:ascii="Verdana" w:hAnsi="Verdana"/>
          <w:sz w:val="24"/>
          <w:szCs w:val="24"/>
        </w:rPr>
      </w:pPr>
    </w:p>
    <w:p w:rsidR="00B113F8" w:rsidRPr="001104E1" w:rsidRDefault="00B113F8" w:rsidP="002C09DA">
      <w:pPr>
        <w:pStyle w:val="NoSpacing"/>
        <w:rPr>
          <w:rFonts w:ascii="Verdana" w:hAnsi="Verdana"/>
          <w:sz w:val="24"/>
          <w:szCs w:val="24"/>
        </w:rPr>
      </w:pPr>
    </w:p>
    <w:p w:rsidR="00491F09" w:rsidRDefault="00491F09" w:rsidP="002C09DA">
      <w:pPr>
        <w:pStyle w:val="NoSpacing"/>
        <w:rPr>
          <w:rFonts w:ascii="Verdana" w:hAnsi="Verdana"/>
          <w:b/>
          <w:sz w:val="24"/>
          <w:szCs w:val="24"/>
        </w:rPr>
      </w:pPr>
    </w:p>
    <w:p w:rsidR="00491F09" w:rsidRDefault="00491F09" w:rsidP="002C09DA">
      <w:pPr>
        <w:pStyle w:val="NoSpacing"/>
        <w:rPr>
          <w:rFonts w:ascii="Verdana" w:hAnsi="Verdana"/>
          <w:b/>
          <w:sz w:val="24"/>
          <w:szCs w:val="24"/>
        </w:rPr>
      </w:pPr>
    </w:p>
    <w:p w:rsidR="00491F09" w:rsidRDefault="00491F09" w:rsidP="002C09DA">
      <w:pPr>
        <w:pStyle w:val="NoSpacing"/>
        <w:rPr>
          <w:rFonts w:ascii="Verdana" w:hAnsi="Verdana"/>
          <w:b/>
          <w:sz w:val="24"/>
          <w:szCs w:val="24"/>
        </w:rPr>
      </w:pPr>
    </w:p>
    <w:p w:rsidR="00491F09" w:rsidRDefault="00491F09" w:rsidP="002C09DA">
      <w:pPr>
        <w:pStyle w:val="NoSpacing"/>
        <w:rPr>
          <w:rFonts w:ascii="Verdana" w:hAnsi="Verdana"/>
          <w:b/>
          <w:sz w:val="24"/>
          <w:szCs w:val="24"/>
        </w:rPr>
      </w:pPr>
    </w:p>
    <w:p w:rsidR="00491F09" w:rsidRDefault="00491F09" w:rsidP="002C09DA">
      <w:pPr>
        <w:pStyle w:val="NoSpacing"/>
        <w:rPr>
          <w:rFonts w:ascii="Verdana" w:hAnsi="Verdana"/>
          <w:b/>
          <w:sz w:val="24"/>
          <w:szCs w:val="24"/>
        </w:rPr>
      </w:pPr>
    </w:p>
    <w:p w:rsidR="00491F09" w:rsidRDefault="00491F09" w:rsidP="002C09DA">
      <w:pPr>
        <w:pStyle w:val="NoSpacing"/>
        <w:rPr>
          <w:rFonts w:ascii="Verdana" w:hAnsi="Verdana"/>
          <w:b/>
          <w:sz w:val="24"/>
          <w:szCs w:val="24"/>
        </w:rPr>
      </w:pPr>
    </w:p>
    <w:p w:rsidR="001F5741" w:rsidRDefault="001F5741" w:rsidP="002C09DA">
      <w:pPr>
        <w:pStyle w:val="NoSpacing"/>
        <w:rPr>
          <w:rFonts w:ascii="Verdana" w:hAnsi="Verdana"/>
          <w:b/>
          <w:sz w:val="24"/>
          <w:szCs w:val="24"/>
        </w:rPr>
      </w:pPr>
      <w:bookmarkStart w:id="0" w:name="_GoBack"/>
      <w:bookmarkEnd w:id="0"/>
      <w:r w:rsidRPr="001104E1">
        <w:rPr>
          <w:rFonts w:ascii="Verdana" w:hAnsi="Verdana"/>
          <w:b/>
          <w:sz w:val="24"/>
          <w:szCs w:val="24"/>
        </w:rPr>
        <w:lastRenderedPageBreak/>
        <w:t>Bibliography</w:t>
      </w:r>
    </w:p>
    <w:p w:rsidR="00045C11" w:rsidRPr="001104E1" w:rsidRDefault="00045C11" w:rsidP="002C09DA">
      <w:pPr>
        <w:pStyle w:val="NoSpacing"/>
        <w:rPr>
          <w:rFonts w:ascii="Verdana" w:hAnsi="Verdana"/>
          <w:b/>
          <w:sz w:val="24"/>
          <w:szCs w:val="24"/>
        </w:rPr>
      </w:pPr>
    </w:p>
    <w:p w:rsidR="0071687A" w:rsidRPr="00DF7251" w:rsidRDefault="0071687A" w:rsidP="00DF7251">
      <w:pPr>
        <w:pStyle w:val="NoSpacing"/>
        <w:rPr>
          <w:b/>
          <w:sz w:val="24"/>
          <w:szCs w:val="24"/>
        </w:rPr>
      </w:pPr>
      <w:bookmarkStart w:id="1" w:name="_Hlk48913147"/>
      <w:r w:rsidRPr="00DF7251">
        <w:rPr>
          <w:rFonts w:ascii="Verdana" w:hAnsi="Verdana"/>
          <w:color w:val="000000"/>
          <w:sz w:val="24"/>
          <w:szCs w:val="24"/>
        </w:rPr>
        <w:t>Alter, R (1997). </w:t>
      </w:r>
      <w:r w:rsidRPr="00DF7251">
        <w:rPr>
          <w:rFonts w:ascii="Verdana" w:hAnsi="Verdana"/>
          <w:i/>
          <w:iCs/>
          <w:color w:val="000000"/>
          <w:sz w:val="24"/>
          <w:szCs w:val="24"/>
        </w:rPr>
        <w:t>Genesis</w:t>
      </w:r>
      <w:r w:rsidRPr="00DF7251">
        <w:rPr>
          <w:rFonts w:ascii="Verdana" w:hAnsi="Verdana"/>
          <w:color w:val="000000"/>
          <w:sz w:val="24"/>
          <w:szCs w:val="24"/>
        </w:rPr>
        <w:t>. New York, USA: W. W. Norton &amp; Company Inc.</w:t>
      </w:r>
    </w:p>
    <w:p w:rsidR="00DF7251" w:rsidRDefault="00DF7251" w:rsidP="00DF7251">
      <w:pPr>
        <w:pStyle w:val="NoSpacing"/>
        <w:rPr>
          <w:rFonts w:ascii="Verdana" w:hAnsi="Verdana"/>
          <w:color w:val="000000"/>
          <w:sz w:val="24"/>
          <w:szCs w:val="24"/>
        </w:rPr>
      </w:pPr>
    </w:p>
    <w:p w:rsidR="00412DC5" w:rsidRPr="00DF7251" w:rsidRDefault="00412DC5" w:rsidP="00DF7251">
      <w:pPr>
        <w:pStyle w:val="NoSpacing"/>
        <w:rPr>
          <w:rFonts w:ascii="Verdana" w:hAnsi="Verdana"/>
          <w:color w:val="000000"/>
          <w:sz w:val="24"/>
          <w:szCs w:val="24"/>
        </w:rPr>
      </w:pPr>
      <w:r w:rsidRPr="00DF7251">
        <w:rPr>
          <w:rFonts w:ascii="Verdana" w:hAnsi="Verdana"/>
          <w:color w:val="000000"/>
          <w:sz w:val="24"/>
          <w:szCs w:val="24"/>
        </w:rPr>
        <w:t>Alter, R (1983). </w:t>
      </w:r>
      <w:r w:rsidRPr="00DF7251">
        <w:rPr>
          <w:rFonts w:ascii="Verdana" w:hAnsi="Verdana"/>
          <w:i/>
          <w:iCs/>
          <w:color w:val="000000"/>
          <w:sz w:val="24"/>
          <w:szCs w:val="24"/>
        </w:rPr>
        <w:t>The Art of Biblical Literature</w:t>
      </w:r>
      <w:r w:rsidRPr="00DF7251">
        <w:rPr>
          <w:rFonts w:ascii="Verdana" w:hAnsi="Verdana"/>
          <w:color w:val="000000"/>
          <w:sz w:val="24"/>
          <w:szCs w:val="24"/>
        </w:rPr>
        <w:t>. New York, USA: Basic Books</w:t>
      </w:r>
    </w:p>
    <w:p w:rsidR="00DF7251" w:rsidRDefault="00DF7251" w:rsidP="00DF7251">
      <w:pPr>
        <w:pStyle w:val="NoSpacing"/>
        <w:rPr>
          <w:rFonts w:ascii="Verdana" w:hAnsi="Verdana"/>
          <w:color w:val="000000"/>
          <w:sz w:val="24"/>
          <w:szCs w:val="24"/>
        </w:rPr>
      </w:pPr>
    </w:p>
    <w:p w:rsidR="001D64F5" w:rsidRPr="00DF7251" w:rsidRDefault="001D64F5" w:rsidP="00DF7251">
      <w:pPr>
        <w:pStyle w:val="NoSpacing"/>
        <w:rPr>
          <w:rFonts w:ascii="Verdana" w:hAnsi="Verdana"/>
          <w:color w:val="000000"/>
          <w:sz w:val="24"/>
          <w:szCs w:val="24"/>
        </w:rPr>
      </w:pPr>
      <w:r w:rsidRPr="00DF7251">
        <w:rPr>
          <w:rFonts w:ascii="Verdana" w:hAnsi="Verdana"/>
          <w:color w:val="000000"/>
          <w:sz w:val="24"/>
          <w:szCs w:val="24"/>
        </w:rPr>
        <w:t>Dennis, T (2010). </w:t>
      </w:r>
      <w:r w:rsidRPr="00DF7251">
        <w:rPr>
          <w:rFonts w:ascii="Verdana" w:hAnsi="Verdana"/>
          <w:i/>
          <w:iCs/>
          <w:color w:val="000000"/>
          <w:sz w:val="24"/>
          <w:szCs w:val="24"/>
        </w:rPr>
        <w:t>Sarah Laughed - Women</w:t>
      </w:r>
      <w:r w:rsidR="008F2894" w:rsidRPr="00DF7251">
        <w:rPr>
          <w:rFonts w:ascii="Verdana" w:hAnsi="Verdana"/>
          <w:i/>
          <w:iCs/>
          <w:color w:val="000000"/>
          <w:sz w:val="24"/>
          <w:szCs w:val="24"/>
        </w:rPr>
        <w:t>’</w:t>
      </w:r>
      <w:r w:rsidRPr="00DF7251">
        <w:rPr>
          <w:rFonts w:ascii="Verdana" w:hAnsi="Verdana"/>
          <w:i/>
          <w:iCs/>
          <w:color w:val="000000"/>
          <w:sz w:val="24"/>
          <w:szCs w:val="24"/>
        </w:rPr>
        <w:t>s voices in the Old Testament</w:t>
      </w:r>
      <w:r w:rsidRPr="00DF7251">
        <w:rPr>
          <w:rFonts w:ascii="Verdana" w:hAnsi="Verdana"/>
          <w:color w:val="000000"/>
          <w:sz w:val="24"/>
          <w:szCs w:val="24"/>
        </w:rPr>
        <w:t>. 3</w:t>
      </w:r>
      <w:r w:rsidRPr="00DF7251">
        <w:rPr>
          <w:rFonts w:ascii="Verdana" w:hAnsi="Verdana"/>
          <w:color w:val="000000"/>
          <w:sz w:val="24"/>
          <w:szCs w:val="24"/>
          <w:vertAlign w:val="superscript"/>
        </w:rPr>
        <w:t>rd</w:t>
      </w:r>
      <w:r w:rsidRPr="00DF7251">
        <w:rPr>
          <w:rFonts w:ascii="Verdana" w:hAnsi="Verdana"/>
          <w:color w:val="000000"/>
          <w:sz w:val="24"/>
          <w:szCs w:val="24"/>
        </w:rPr>
        <w:t xml:space="preserve"> ed. London: Society for Promoting Christian Knowledge</w:t>
      </w:r>
    </w:p>
    <w:p w:rsidR="00DF7251" w:rsidRDefault="00DF7251" w:rsidP="00DF7251">
      <w:pPr>
        <w:pStyle w:val="NoSpacing"/>
        <w:rPr>
          <w:rFonts w:ascii="Verdana" w:hAnsi="Verdana"/>
          <w:color w:val="000000"/>
          <w:sz w:val="24"/>
          <w:szCs w:val="24"/>
        </w:rPr>
      </w:pPr>
    </w:p>
    <w:p w:rsidR="006A4B16" w:rsidRPr="00DF7251" w:rsidRDefault="006A4B16" w:rsidP="00DF7251">
      <w:pPr>
        <w:pStyle w:val="NoSpacing"/>
        <w:rPr>
          <w:rFonts w:ascii="Verdana" w:hAnsi="Verdana"/>
          <w:color w:val="000000"/>
          <w:sz w:val="24"/>
          <w:szCs w:val="24"/>
        </w:rPr>
      </w:pPr>
      <w:proofErr w:type="spellStart"/>
      <w:r w:rsidRPr="00DF7251">
        <w:rPr>
          <w:rFonts w:ascii="Verdana" w:hAnsi="Verdana"/>
          <w:color w:val="000000"/>
          <w:sz w:val="24"/>
          <w:szCs w:val="24"/>
        </w:rPr>
        <w:t>Frymer</w:t>
      </w:r>
      <w:proofErr w:type="spellEnd"/>
      <w:r w:rsidRPr="00DF7251">
        <w:rPr>
          <w:rFonts w:ascii="Verdana" w:hAnsi="Verdana"/>
          <w:color w:val="000000"/>
          <w:sz w:val="24"/>
          <w:szCs w:val="24"/>
        </w:rPr>
        <w:t>-Kensky, T. (2000). Sarah 1/Sarai. In: Meyers, C </w:t>
      </w:r>
      <w:r w:rsidRPr="00DF7251">
        <w:rPr>
          <w:rFonts w:ascii="Verdana" w:hAnsi="Verdana"/>
          <w:i/>
          <w:iCs/>
          <w:color w:val="000000"/>
          <w:sz w:val="24"/>
          <w:szCs w:val="24"/>
        </w:rPr>
        <w:t>Women in Scripture: A Dictionary of Named and Unnamed Women in the Hebrew Bible, the Apocryphal/Deuterocanonical Books, and the New Testament</w:t>
      </w:r>
      <w:r w:rsidRPr="00DF7251">
        <w:rPr>
          <w:rFonts w:ascii="Verdana" w:hAnsi="Verdana"/>
          <w:color w:val="000000"/>
          <w:sz w:val="24"/>
          <w:szCs w:val="24"/>
        </w:rPr>
        <w:t xml:space="preserve">. Michigan: William B. Eerdmans Publishing Company. </w:t>
      </w:r>
      <w:r w:rsidR="001D64F5" w:rsidRPr="00DF7251">
        <w:rPr>
          <w:rFonts w:ascii="Verdana" w:hAnsi="Verdana"/>
          <w:color w:val="000000"/>
          <w:sz w:val="24"/>
          <w:szCs w:val="24"/>
        </w:rPr>
        <w:t>p</w:t>
      </w:r>
      <w:r w:rsidRPr="00DF7251">
        <w:rPr>
          <w:rFonts w:ascii="Verdana" w:hAnsi="Verdana"/>
          <w:color w:val="000000"/>
          <w:sz w:val="24"/>
          <w:szCs w:val="24"/>
        </w:rPr>
        <w:t>150-151.</w:t>
      </w:r>
    </w:p>
    <w:p w:rsidR="00DF7251" w:rsidRDefault="00DF7251" w:rsidP="00DF7251">
      <w:pPr>
        <w:pStyle w:val="NoSpacing"/>
        <w:rPr>
          <w:rFonts w:ascii="Verdana" w:hAnsi="Verdana"/>
          <w:color w:val="000000"/>
          <w:sz w:val="24"/>
          <w:szCs w:val="24"/>
        </w:rPr>
      </w:pPr>
    </w:p>
    <w:p w:rsidR="00C81512" w:rsidRPr="00DF7251" w:rsidRDefault="00C81512" w:rsidP="00DF7251">
      <w:pPr>
        <w:pStyle w:val="NoSpacing"/>
        <w:rPr>
          <w:rFonts w:ascii="Verdana" w:hAnsi="Verdana"/>
          <w:color w:val="000000"/>
          <w:sz w:val="24"/>
          <w:szCs w:val="24"/>
        </w:rPr>
      </w:pPr>
      <w:r w:rsidRPr="00DF7251">
        <w:rPr>
          <w:rFonts w:ascii="Verdana" w:hAnsi="Verdana"/>
          <w:color w:val="000000"/>
          <w:sz w:val="24"/>
          <w:szCs w:val="24"/>
        </w:rPr>
        <w:t xml:space="preserve">Levenson, J. </w:t>
      </w:r>
      <w:proofErr w:type="gramStart"/>
      <w:r w:rsidRPr="00DF7251">
        <w:rPr>
          <w:rFonts w:ascii="Verdana" w:hAnsi="Verdana"/>
          <w:color w:val="000000"/>
          <w:sz w:val="24"/>
          <w:szCs w:val="24"/>
        </w:rPr>
        <w:t>D..</w:t>
      </w:r>
      <w:proofErr w:type="gramEnd"/>
      <w:r w:rsidRPr="00DF7251">
        <w:rPr>
          <w:rFonts w:ascii="Verdana" w:hAnsi="Verdana"/>
          <w:color w:val="000000"/>
          <w:sz w:val="24"/>
          <w:szCs w:val="24"/>
        </w:rPr>
        <w:t xml:space="preserve"> (2014). Genesis. In: Berlin, A. and </w:t>
      </w:r>
      <w:proofErr w:type="spellStart"/>
      <w:r w:rsidRPr="00DF7251">
        <w:rPr>
          <w:rFonts w:ascii="Verdana" w:hAnsi="Verdana"/>
          <w:color w:val="000000"/>
          <w:sz w:val="24"/>
          <w:szCs w:val="24"/>
        </w:rPr>
        <w:t>Brettler</w:t>
      </w:r>
      <w:proofErr w:type="spellEnd"/>
      <w:r w:rsidRPr="00DF7251">
        <w:rPr>
          <w:rFonts w:ascii="Verdana" w:hAnsi="Verdana"/>
          <w:color w:val="000000"/>
          <w:sz w:val="24"/>
          <w:szCs w:val="24"/>
        </w:rPr>
        <w:t>, M. Z. </w:t>
      </w:r>
      <w:r w:rsidRPr="00DF7251">
        <w:rPr>
          <w:rFonts w:ascii="Verdana" w:hAnsi="Verdana"/>
          <w:i/>
          <w:iCs/>
          <w:color w:val="000000"/>
          <w:sz w:val="24"/>
          <w:szCs w:val="24"/>
        </w:rPr>
        <w:t>The Jewish Study Bible</w:t>
      </w:r>
      <w:r w:rsidRPr="00DF7251">
        <w:rPr>
          <w:rFonts w:ascii="Verdana" w:hAnsi="Verdana"/>
          <w:color w:val="000000"/>
          <w:sz w:val="24"/>
          <w:szCs w:val="24"/>
        </w:rPr>
        <w:t>. 2</w:t>
      </w:r>
      <w:r w:rsidRPr="00DF7251">
        <w:rPr>
          <w:rFonts w:ascii="Verdana" w:hAnsi="Verdana"/>
          <w:color w:val="000000"/>
          <w:sz w:val="24"/>
          <w:szCs w:val="24"/>
          <w:vertAlign w:val="superscript"/>
        </w:rPr>
        <w:t>nd</w:t>
      </w:r>
      <w:r w:rsidRPr="00DF7251">
        <w:rPr>
          <w:rFonts w:ascii="Verdana" w:hAnsi="Verdana"/>
          <w:color w:val="000000"/>
          <w:sz w:val="24"/>
          <w:szCs w:val="24"/>
        </w:rPr>
        <w:t xml:space="preserve"> ed. New York, USA: Oxford University Press USA. </w:t>
      </w:r>
      <w:r w:rsidR="001D64F5" w:rsidRPr="00DF7251">
        <w:rPr>
          <w:rFonts w:ascii="Verdana" w:hAnsi="Verdana"/>
          <w:color w:val="000000"/>
          <w:sz w:val="24"/>
          <w:szCs w:val="24"/>
        </w:rPr>
        <w:t>p</w:t>
      </w:r>
      <w:r w:rsidRPr="00DF7251">
        <w:rPr>
          <w:rFonts w:ascii="Verdana" w:hAnsi="Verdana"/>
          <w:color w:val="000000"/>
          <w:sz w:val="24"/>
          <w:szCs w:val="24"/>
        </w:rPr>
        <w:t>7-94.</w:t>
      </w:r>
    </w:p>
    <w:p w:rsidR="00DF7251" w:rsidRDefault="00DF7251" w:rsidP="00DF7251">
      <w:pPr>
        <w:pStyle w:val="NoSpacing"/>
        <w:rPr>
          <w:rFonts w:ascii="Verdana" w:hAnsi="Verdana"/>
          <w:color w:val="000000"/>
          <w:sz w:val="24"/>
          <w:szCs w:val="24"/>
        </w:rPr>
      </w:pPr>
    </w:p>
    <w:p w:rsidR="0071687A" w:rsidRPr="00DF7251" w:rsidRDefault="0071687A" w:rsidP="00DF7251">
      <w:pPr>
        <w:pStyle w:val="NoSpacing"/>
        <w:rPr>
          <w:rFonts w:ascii="Verdana" w:hAnsi="Verdana"/>
          <w:color w:val="000000"/>
          <w:sz w:val="24"/>
          <w:szCs w:val="24"/>
        </w:rPr>
      </w:pPr>
      <w:r w:rsidRPr="00DF7251">
        <w:rPr>
          <w:rFonts w:ascii="Verdana" w:hAnsi="Verdana"/>
          <w:color w:val="000000"/>
          <w:sz w:val="24"/>
          <w:szCs w:val="24"/>
        </w:rPr>
        <w:t>Mills, M. A. (2001). </w:t>
      </w:r>
      <w:r w:rsidRPr="00DF7251">
        <w:rPr>
          <w:rFonts w:ascii="Verdana" w:hAnsi="Verdana"/>
          <w:i/>
          <w:iCs/>
          <w:color w:val="000000"/>
          <w:sz w:val="24"/>
          <w:szCs w:val="24"/>
        </w:rPr>
        <w:t>Biblical Morality: Moral perspectives in Old Testament narratives</w:t>
      </w:r>
      <w:r w:rsidRPr="00DF7251">
        <w:rPr>
          <w:rFonts w:ascii="Verdana" w:hAnsi="Verdana"/>
          <w:color w:val="000000"/>
          <w:sz w:val="24"/>
          <w:szCs w:val="24"/>
        </w:rPr>
        <w:t>. Aldershot: Ashgate Publishing Limited</w:t>
      </w:r>
    </w:p>
    <w:p w:rsidR="00DF7251" w:rsidRDefault="00DF7251" w:rsidP="00DF7251">
      <w:pPr>
        <w:pStyle w:val="NoSpacing"/>
        <w:rPr>
          <w:rFonts w:ascii="Verdana" w:hAnsi="Verdana"/>
          <w:color w:val="000000"/>
          <w:sz w:val="24"/>
          <w:szCs w:val="24"/>
        </w:rPr>
      </w:pPr>
    </w:p>
    <w:p w:rsidR="00412DC5" w:rsidRPr="00DF7251" w:rsidRDefault="00412DC5" w:rsidP="00DF7251">
      <w:pPr>
        <w:pStyle w:val="NoSpacing"/>
        <w:rPr>
          <w:rFonts w:ascii="Verdana" w:hAnsi="Verdana"/>
          <w:color w:val="000000"/>
          <w:sz w:val="24"/>
          <w:szCs w:val="24"/>
        </w:rPr>
      </w:pPr>
      <w:r w:rsidRPr="00DF7251">
        <w:rPr>
          <w:rFonts w:ascii="Verdana" w:hAnsi="Verdana"/>
          <w:color w:val="000000"/>
          <w:sz w:val="24"/>
          <w:szCs w:val="24"/>
        </w:rPr>
        <w:t>Sarna, N (1970). </w:t>
      </w:r>
      <w:r w:rsidRPr="00DF7251">
        <w:rPr>
          <w:rFonts w:ascii="Verdana" w:hAnsi="Verdana"/>
          <w:i/>
          <w:iCs/>
          <w:color w:val="000000"/>
          <w:sz w:val="24"/>
          <w:szCs w:val="24"/>
        </w:rPr>
        <w:t>Understanding Genesis - The World of the Bible in the Light of History</w:t>
      </w:r>
      <w:r w:rsidRPr="00DF7251">
        <w:rPr>
          <w:rFonts w:ascii="Verdana" w:hAnsi="Verdana"/>
          <w:color w:val="000000"/>
          <w:sz w:val="24"/>
          <w:szCs w:val="24"/>
        </w:rPr>
        <w:t xml:space="preserve">. New York, USA: </w:t>
      </w:r>
      <w:proofErr w:type="spellStart"/>
      <w:r w:rsidRPr="00DF7251">
        <w:rPr>
          <w:rFonts w:ascii="Verdana" w:hAnsi="Verdana"/>
          <w:color w:val="000000"/>
          <w:sz w:val="24"/>
          <w:szCs w:val="24"/>
        </w:rPr>
        <w:t>Schocken</w:t>
      </w:r>
      <w:proofErr w:type="spellEnd"/>
      <w:r w:rsidRPr="00DF7251">
        <w:rPr>
          <w:rFonts w:ascii="Verdana" w:hAnsi="Verdana"/>
          <w:color w:val="000000"/>
          <w:sz w:val="24"/>
          <w:szCs w:val="24"/>
        </w:rPr>
        <w:t xml:space="preserve"> Books Inc.</w:t>
      </w:r>
    </w:p>
    <w:p w:rsidR="00DF7251" w:rsidRDefault="00DF7251" w:rsidP="00DF7251">
      <w:pPr>
        <w:pStyle w:val="NoSpacing"/>
        <w:rPr>
          <w:rFonts w:ascii="Verdana" w:hAnsi="Verdana"/>
          <w:color w:val="000000"/>
          <w:sz w:val="24"/>
          <w:szCs w:val="24"/>
        </w:rPr>
      </w:pPr>
    </w:p>
    <w:p w:rsidR="0071687A" w:rsidRPr="00DF7251" w:rsidRDefault="0071687A" w:rsidP="00DF7251">
      <w:pPr>
        <w:pStyle w:val="NoSpacing"/>
        <w:rPr>
          <w:b/>
          <w:sz w:val="24"/>
          <w:szCs w:val="24"/>
        </w:rPr>
      </w:pPr>
      <w:r w:rsidRPr="00DF7251">
        <w:rPr>
          <w:rFonts w:ascii="Verdana" w:hAnsi="Verdana"/>
          <w:color w:val="000000"/>
          <w:sz w:val="24"/>
          <w:szCs w:val="24"/>
        </w:rPr>
        <w:t>Turner, L. A. (2009). </w:t>
      </w:r>
      <w:r w:rsidRPr="00DF7251">
        <w:rPr>
          <w:rFonts w:ascii="Verdana" w:hAnsi="Verdana"/>
          <w:i/>
          <w:iCs/>
          <w:color w:val="000000"/>
          <w:sz w:val="24"/>
          <w:szCs w:val="24"/>
        </w:rPr>
        <w:t>Genesis</w:t>
      </w:r>
      <w:r w:rsidRPr="00DF7251">
        <w:rPr>
          <w:rFonts w:ascii="Verdana" w:hAnsi="Verdana"/>
          <w:color w:val="000000"/>
          <w:sz w:val="24"/>
          <w:szCs w:val="24"/>
        </w:rPr>
        <w:t>. 2</w:t>
      </w:r>
      <w:r w:rsidRPr="00DF7251">
        <w:rPr>
          <w:rFonts w:ascii="Verdana" w:hAnsi="Verdana"/>
          <w:color w:val="000000"/>
          <w:sz w:val="24"/>
          <w:szCs w:val="24"/>
          <w:vertAlign w:val="superscript"/>
        </w:rPr>
        <w:t>nd</w:t>
      </w:r>
      <w:r w:rsidRPr="00DF7251">
        <w:rPr>
          <w:rFonts w:ascii="Verdana" w:hAnsi="Verdana"/>
          <w:color w:val="000000"/>
          <w:sz w:val="24"/>
          <w:szCs w:val="24"/>
        </w:rPr>
        <w:t xml:space="preserve"> ed. Sheffield: Sheffield Phoenix Press.</w:t>
      </w:r>
    </w:p>
    <w:p w:rsidR="00DF7251" w:rsidRDefault="00DF7251" w:rsidP="00DF7251">
      <w:pPr>
        <w:pStyle w:val="NoSpacing"/>
        <w:rPr>
          <w:rFonts w:ascii="Verdana" w:hAnsi="Verdana"/>
          <w:color w:val="000000"/>
          <w:sz w:val="24"/>
          <w:szCs w:val="24"/>
        </w:rPr>
      </w:pPr>
    </w:p>
    <w:p w:rsidR="0071687A" w:rsidRPr="00DF7251" w:rsidRDefault="0071687A" w:rsidP="00DF7251">
      <w:pPr>
        <w:pStyle w:val="NoSpacing"/>
        <w:rPr>
          <w:rFonts w:ascii="Verdana" w:hAnsi="Verdana"/>
          <w:color w:val="000000"/>
          <w:sz w:val="24"/>
          <w:szCs w:val="24"/>
        </w:rPr>
      </w:pPr>
      <w:r w:rsidRPr="00DF7251">
        <w:rPr>
          <w:rFonts w:ascii="Verdana" w:hAnsi="Verdana"/>
          <w:color w:val="000000"/>
          <w:sz w:val="24"/>
          <w:szCs w:val="24"/>
        </w:rPr>
        <w:t>Weiss, S (2018). </w:t>
      </w:r>
      <w:r w:rsidRPr="00DF7251">
        <w:rPr>
          <w:rFonts w:ascii="Verdana" w:hAnsi="Verdana"/>
          <w:i/>
          <w:iCs/>
          <w:color w:val="000000"/>
          <w:sz w:val="24"/>
          <w:szCs w:val="24"/>
        </w:rPr>
        <w:t>Ethical Ambiguity in the Hebrew Bible - Philosophical Analysis of Scriptural Narrative</w:t>
      </w:r>
      <w:r w:rsidRPr="00DF7251">
        <w:rPr>
          <w:rFonts w:ascii="Verdana" w:hAnsi="Verdana"/>
          <w:color w:val="000000"/>
          <w:sz w:val="24"/>
          <w:szCs w:val="24"/>
        </w:rPr>
        <w:t>. Cambridge: Cambridge University Press</w:t>
      </w:r>
    </w:p>
    <w:p w:rsidR="00DF7251" w:rsidRDefault="00DF7251" w:rsidP="00DF7251">
      <w:pPr>
        <w:pStyle w:val="NoSpacing"/>
        <w:rPr>
          <w:rFonts w:ascii="Verdana" w:hAnsi="Verdana"/>
          <w:color w:val="000000"/>
          <w:sz w:val="24"/>
          <w:szCs w:val="24"/>
        </w:rPr>
      </w:pPr>
    </w:p>
    <w:p w:rsidR="006A4B16" w:rsidRPr="00DF7251" w:rsidRDefault="006A4B16" w:rsidP="00DF7251">
      <w:pPr>
        <w:pStyle w:val="NoSpacing"/>
        <w:rPr>
          <w:sz w:val="24"/>
          <w:szCs w:val="24"/>
        </w:rPr>
      </w:pPr>
      <w:proofErr w:type="spellStart"/>
      <w:r w:rsidRPr="00DF7251">
        <w:rPr>
          <w:rFonts w:ascii="Verdana" w:hAnsi="Verdana"/>
          <w:color w:val="000000"/>
          <w:sz w:val="24"/>
          <w:szCs w:val="24"/>
        </w:rPr>
        <w:t>Whybray</w:t>
      </w:r>
      <w:proofErr w:type="spellEnd"/>
      <w:r w:rsidRPr="00DF7251">
        <w:rPr>
          <w:rFonts w:ascii="Verdana" w:hAnsi="Verdana"/>
          <w:color w:val="000000"/>
          <w:sz w:val="24"/>
          <w:szCs w:val="24"/>
        </w:rPr>
        <w:t xml:space="preserve">, R., N. (2007). Genesis. In: Barton, J. and </w:t>
      </w:r>
      <w:proofErr w:type="spellStart"/>
      <w:r w:rsidRPr="00DF7251">
        <w:rPr>
          <w:rFonts w:ascii="Verdana" w:hAnsi="Verdana"/>
          <w:color w:val="000000"/>
          <w:sz w:val="24"/>
          <w:szCs w:val="24"/>
        </w:rPr>
        <w:t>Muddiman</w:t>
      </w:r>
      <w:proofErr w:type="spellEnd"/>
      <w:r w:rsidRPr="00DF7251">
        <w:rPr>
          <w:rFonts w:ascii="Verdana" w:hAnsi="Verdana"/>
          <w:color w:val="000000"/>
          <w:sz w:val="24"/>
          <w:szCs w:val="24"/>
        </w:rPr>
        <w:t>, J. </w:t>
      </w:r>
      <w:r w:rsidRPr="00DF7251">
        <w:rPr>
          <w:rFonts w:ascii="Verdana" w:hAnsi="Verdana"/>
          <w:i/>
          <w:iCs/>
          <w:color w:val="000000"/>
          <w:sz w:val="24"/>
          <w:szCs w:val="24"/>
        </w:rPr>
        <w:t>The Oxford Bible Commentary</w:t>
      </w:r>
      <w:r w:rsidRPr="00DF7251">
        <w:rPr>
          <w:rFonts w:ascii="Verdana" w:hAnsi="Verdana"/>
          <w:color w:val="000000"/>
          <w:sz w:val="24"/>
          <w:szCs w:val="24"/>
        </w:rPr>
        <w:t>. New York, USA: Oxford University Press</w:t>
      </w:r>
      <w:bookmarkEnd w:id="1"/>
    </w:p>
    <w:sectPr w:rsidR="006A4B16" w:rsidRPr="00DF725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14FF" w:rsidRDefault="007214FF" w:rsidP="001F5741">
      <w:pPr>
        <w:spacing w:after="0" w:line="240" w:lineRule="auto"/>
      </w:pPr>
      <w:r>
        <w:separator/>
      </w:r>
    </w:p>
  </w:endnote>
  <w:endnote w:type="continuationSeparator" w:id="0">
    <w:p w:rsidR="007214FF" w:rsidRDefault="007214FF" w:rsidP="001F5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14FF" w:rsidRDefault="007214FF" w:rsidP="001F5741">
      <w:pPr>
        <w:spacing w:after="0" w:line="240" w:lineRule="auto"/>
      </w:pPr>
      <w:r>
        <w:separator/>
      </w:r>
    </w:p>
  </w:footnote>
  <w:footnote w:type="continuationSeparator" w:id="0">
    <w:p w:rsidR="007214FF" w:rsidRDefault="007214FF" w:rsidP="001F5741">
      <w:pPr>
        <w:spacing w:after="0" w:line="240" w:lineRule="auto"/>
      </w:pPr>
      <w:r>
        <w:continuationSeparator/>
      </w:r>
    </w:p>
  </w:footnote>
  <w:footnote w:id="1">
    <w:p w:rsidR="00D37717" w:rsidRPr="00D37717" w:rsidRDefault="00D37717">
      <w:pPr>
        <w:pStyle w:val="FootnoteText"/>
        <w:rPr>
          <w:lang w:val="en-GB"/>
        </w:rPr>
      </w:pPr>
      <w:r>
        <w:rPr>
          <w:rStyle w:val="FootnoteReference"/>
        </w:rPr>
        <w:footnoteRef/>
      </w:r>
      <w:r>
        <w:t xml:space="preserve"> </w:t>
      </w:r>
      <w:r w:rsidRPr="008F2894">
        <w:rPr>
          <w:rFonts w:ascii="Verdana" w:hAnsi="Verdana"/>
          <w:color w:val="000000"/>
          <w:sz w:val="18"/>
          <w:szCs w:val="18"/>
        </w:rPr>
        <w:t>Alter, R (1983). </w:t>
      </w:r>
      <w:r w:rsidRPr="008F2894">
        <w:rPr>
          <w:rFonts w:ascii="Verdana" w:hAnsi="Verdana"/>
          <w:i/>
          <w:iCs/>
          <w:color w:val="000000"/>
          <w:sz w:val="18"/>
          <w:szCs w:val="18"/>
        </w:rPr>
        <w:t>The Art of Biblical Literature</w:t>
      </w:r>
      <w:r w:rsidRPr="008F2894">
        <w:rPr>
          <w:rFonts w:ascii="Verdana" w:hAnsi="Verdana"/>
          <w:color w:val="000000"/>
          <w:sz w:val="18"/>
          <w:szCs w:val="18"/>
        </w:rPr>
        <w:t>.</w:t>
      </w:r>
      <w:r>
        <w:rPr>
          <w:rFonts w:ascii="Verdana" w:hAnsi="Verdana"/>
          <w:color w:val="000000"/>
          <w:sz w:val="18"/>
          <w:szCs w:val="18"/>
        </w:rPr>
        <w:t xml:space="preserve"> p. 115</w:t>
      </w:r>
    </w:p>
  </w:footnote>
  <w:footnote w:id="2">
    <w:p w:rsidR="008F2894" w:rsidRPr="008F2894" w:rsidRDefault="008F2894">
      <w:pPr>
        <w:pStyle w:val="FootnoteText"/>
        <w:rPr>
          <w:lang w:val="en-GB"/>
        </w:rPr>
      </w:pPr>
      <w:r>
        <w:rPr>
          <w:rStyle w:val="FootnoteReference"/>
        </w:rPr>
        <w:footnoteRef/>
      </w:r>
      <w:r>
        <w:t xml:space="preserve"> </w:t>
      </w:r>
      <w:r w:rsidRPr="008F2894">
        <w:rPr>
          <w:rFonts w:ascii="Verdana" w:hAnsi="Verdana"/>
          <w:color w:val="000000"/>
          <w:sz w:val="18"/>
          <w:szCs w:val="18"/>
        </w:rPr>
        <w:t>Mills, M. A. (2001). </w:t>
      </w:r>
      <w:r w:rsidRPr="008F2894">
        <w:rPr>
          <w:rFonts w:ascii="Verdana" w:hAnsi="Verdana"/>
          <w:i/>
          <w:iCs/>
          <w:color w:val="000000"/>
          <w:sz w:val="18"/>
          <w:szCs w:val="18"/>
        </w:rPr>
        <w:t>Biblical Morality: Moral perspectives in Old Testament narratives</w:t>
      </w:r>
      <w:r w:rsidRPr="008F2894">
        <w:rPr>
          <w:rFonts w:ascii="Verdana" w:hAnsi="Verdana"/>
          <w:color w:val="000000"/>
          <w:sz w:val="18"/>
          <w:szCs w:val="18"/>
        </w:rPr>
        <w:t>.</w:t>
      </w:r>
      <w:r>
        <w:rPr>
          <w:rFonts w:ascii="Verdana" w:hAnsi="Verdana"/>
          <w:color w:val="000000"/>
          <w:sz w:val="18"/>
          <w:szCs w:val="18"/>
        </w:rPr>
        <w:t xml:space="preserve"> p. 33</w:t>
      </w:r>
    </w:p>
  </w:footnote>
  <w:footnote w:id="3">
    <w:p w:rsidR="008F2894" w:rsidRPr="008F2894" w:rsidRDefault="008F2894">
      <w:pPr>
        <w:pStyle w:val="FootnoteText"/>
        <w:rPr>
          <w:lang w:val="en-GB"/>
        </w:rPr>
      </w:pPr>
      <w:r>
        <w:rPr>
          <w:rStyle w:val="FootnoteReference"/>
        </w:rPr>
        <w:footnoteRef/>
      </w:r>
      <w:r>
        <w:t xml:space="preserve"> </w:t>
      </w:r>
      <w:proofErr w:type="spellStart"/>
      <w:r w:rsidRPr="008F2894">
        <w:rPr>
          <w:rFonts w:ascii="Verdana" w:hAnsi="Verdana"/>
          <w:color w:val="000000"/>
          <w:sz w:val="18"/>
          <w:szCs w:val="18"/>
        </w:rPr>
        <w:t>Whybray</w:t>
      </w:r>
      <w:proofErr w:type="spellEnd"/>
      <w:r w:rsidRPr="008F2894">
        <w:rPr>
          <w:rFonts w:ascii="Verdana" w:hAnsi="Verdana"/>
          <w:color w:val="000000"/>
          <w:sz w:val="18"/>
          <w:szCs w:val="18"/>
        </w:rPr>
        <w:t xml:space="preserve">, R., N. (2007). Genesis. In: Barton, J. and </w:t>
      </w:r>
      <w:proofErr w:type="spellStart"/>
      <w:r w:rsidRPr="008F2894">
        <w:rPr>
          <w:rFonts w:ascii="Verdana" w:hAnsi="Verdana"/>
          <w:color w:val="000000"/>
          <w:sz w:val="18"/>
          <w:szCs w:val="18"/>
        </w:rPr>
        <w:t>Muddiman</w:t>
      </w:r>
      <w:proofErr w:type="spellEnd"/>
      <w:r w:rsidRPr="008F2894">
        <w:rPr>
          <w:rFonts w:ascii="Verdana" w:hAnsi="Verdana"/>
          <w:color w:val="000000"/>
          <w:sz w:val="18"/>
          <w:szCs w:val="18"/>
        </w:rPr>
        <w:t>, J. </w:t>
      </w:r>
      <w:r w:rsidRPr="008F2894">
        <w:rPr>
          <w:rFonts w:ascii="Verdana" w:hAnsi="Verdana"/>
          <w:i/>
          <w:iCs/>
          <w:color w:val="000000"/>
          <w:sz w:val="18"/>
          <w:szCs w:val="18"/>
        </w:rPr>
        <w:t>The Oxford Bible Commentary</w:t>
      </w:r>
      <w:r w:rsidRPr="008F2894">
        <w:rPr>
          <w:rFonts w:ascii="Verdana" w:hAnsi="Verdana"/>
          <w:color w:val="000000"/>
          <w:sz w:val="18"/>
          <w:szCs w:val="18"/>
        </w:rPr>
        <w:t xml:space="preserve">. </w:t>
      </w:r>
      <w:r>
        <w:rPr>
          <w:rFonts w:ascii="Verdana" w:hAnsi="Verdana"/>
          <w:color w:val="000000"/>
          <w:sz w:val="18"/>
          <w:szCs w:val="18"/>
        </w:rPr>
        <w:t>p. 49</w:t>
      </w:r>
    </w:p>
  </w:footnote>
  <w:footnote w:id="4">
    <w:p w:rsidR="008F2894" w:rsidRPr="008F2894" w:rsidRDefault="008F2894">
      <w:pPr>
        <w:pStyle w:val="FootnoteText"/>
        <w:rPr>
          <w:rFonts w:ascii="Verdana" w:hAnsi="Verdana"/>
          <w:sz w:val="18"/>
          <w:szCs w:val="18"/>
          <w:lang w:val="en-GB"/>
        </w:rPr>
      </w:pPr>
      <w:r>
        <w:rPr>
          <w:rStyle w:val="FootnoteReference"/>
        </w:rPr>
        <w:footnoteRef/>
      </w:r>
      <w:r>
        <w:t xml:space="preserve"> </w:t>
      </w:r>
      <w:r>
        <w:rPr>
          <w:rFonts w:ascii="Verdana" w:hAnsi="Verdana"/>
          <w:sz w:val="18"/>
          <w:szCs w:val="18"/>
          <w:lang w:val="en-GB"/>
        </w:rPr>
        <w:t>ibid p. 50</w:t>
      </w:r>
    </w:p>
  </w:footnote>
  <w:footnote w:id="5">
    <w:p w:rsidR="008F2894" w:rsidRPr="008F2894" w:rsidRDefault="008F2894">
      <w:pPr>
        <w:pStyle w:val="FootnoteText"/>
        <w:rPr>
          <w:lang w:val="en-GB"/>
        </w:rPr>
      </w:pPr>
      <w:r>
        <w:rPr>
          <w:rStyle w:val="FootnoteReference"/>
        </w:rPr>
        <w:footnoteRef/>
      </w:r>
      <w:r>
        <w:t xml:space="preserve"> </w:t>
      </w:r>
      <w:r w:rsidRPr="008F2894">
        <w:rPr>
          <w:rFonts w:ascii="Verdana" w:hAnsi="Verdana"/>
          <w:color w:val="000000"/>
          <w:sz w:val="18"/>
          <w:szCs w:val="18"/>
        </w:rPr>
        <w:t>Sarna, N (1970). </w:t>
      </w:r>
      <w:r w:rsidRPr="008F2894">
        <w:rPr>
          <w:rFonts w:ascii="Verdana" w:hAnsi="Verdana"/>
          <w:i/>
          <w:iCs/>
          <w:color w:val="000000"/>
          <w:sz w:val="18"/>
          <w:szCs w:val="18"/>
        </w:rPr>
        <w:t>Understanding Genesis - The World of the Bible in the Light of History</w:t>
      </w:r>
      <w:r>
        <w:rPr>
          <w:rFonts w:ascii="Verdana" w:hAnsi="Verdana"/>
          <w:i/>
          <w:iCs/>
          <w:color w:val="000000"/>
          <w:sz w:val="18"/>
          <w:szCs w:val="18"/>
        </w:rPr>
        <w:t xml:space="preserve">. </w:t>
      </w:r>
      <w:r>
        <w:rPr>
          <w:rFonts w:ascii="Verdana" w:hAnsi="Verdana"/>
          <w:iCs/>
          <w:color w:val="000000"/>
          <w:sz w:val="18"/>
          <w:szCs w:val="18"/>
        </w:rPr>
        <w:t>p.103</w:t>
      </w:r>
    </w:p>
  </w:footnote>
  <w:footnote w:id="6">
    <w:p w:rsidR="008F2894" w:rsidRPr="008F2894" w:rsidRDefault="008F2894">
      <w:pPr>
        <w:pStyle w:val="FootnoteText"/>
        <w:rPr>
          <w:lang w:val="en-GB"/>
        </w:rPr>
      </w:pPr>
      <w:r>
        <w:rPr>
          <w:rStyle w:val="FootnoteReference"/>
        </w:rPr>
        <w:footnoteRef/>
      </w:r>
      <w:r>
        <w:t xml:space="preserve"> </w:t>
      </w:r>
      <w:r w:rsidRPr="008F2894">
        <w:rPr>
          <w:rFonts w:ascii="Verdana" w:hAnsi="Verdana"/>
          <w:color w:val="000000"/>
          <w:sz w:val="18"/>
          <w:szCs w:val="18"/>
        </w:rPr>
        <w:t>Alter, R (1983). </w:t>
      </w:r>
      <w:r w:rsidRPr="008F2894">
        <w:rPr>
          <w:rFonts w:ascii="Verdana" w:hAnsi="Verdana"/>
          <w:i/>
          <w:iCs/>
          <w:color w:val="000000"/>
          <w:sz w:val="18"/>
          <w:szCs w:val="18"/>
        </w:rPr>
        <w:t>The Art of Biblical Literature</w:t>
      </w:r>
      <w:r w:rsidRPr="008F2894">
        <w:rPr>
          <w:rFonts w:ascii="Verdana" w:hAnsi="Verdana"/>
          <w:color w:val="000000"/>
          <w:sz w:val="18"/>
          <w:szCs w:val="18"/>
        </w:rPr>
        <w:t>.</w:t>
      </w:r>
      <w:r>
        <w:rPr>
          <w:rFonts w:ascii="Verdana" w:hAnsi="Verdana"/>
          <w:color w:val="000000"/>
          <w:sz w:val="18"/>
          <w:szCs w:val="18"/>
        </w:rPr>
        <w:t xml:space="preserve"> p. 50</w:t>
      </w:r>
    </w:p>
  </w:footnote>
  <w:footnote w:id="7">
    <w:p w:rsidR="008F2894" w:rsidRPr="008F2894" w:rsidRDefault="008F2894">
      <w:pPr>
        <w:pStyle w:val="FootnoteText"/>
        <w:rPr>
          <w:lang w:val="en-GB"/>
        </w:rPr>
      </w:pPr>
      <w:r>
        <w:rPr>
          <w:rStyle w:val="FootnoteReference"/>
        </w:rPr>
        <w:footnoteRef/>
      </w:r>
      <w:r>
        <w:t xml:space="preserve"> </w:t>
      </w:r>
      <w:r w:rsidRPr="008F2894">
        <w:rPr>
          <w:rFonts w:ascii="Verdana" w:hAnsi="Verdana"/>
          <w:color w:val="000000"/>
          <w:sz w:val="18"/>
          <w:szCs w:val="18"/>
        </w:rPr>
        <w:t>Alter, R (1997). </w:t>
      </w:r>
      <w:r w:rsidRPr="008F2894">
        <w:rPr>
          <w:rFonts w:ascii="Verdana" w:hAnsi="Verdana"/>
          <w:i/>
          <w:iCs/>
          <w:color w:val="000000"/>
          <w:sz w:val="18"/>
          <w:szCs w:val="18"/>
        </w:rPr>
        <w:t>Genesis</w:t>
      </w:r>
      <w:r w:rsidRPr="008F2894">
        <w:rPr>
          <w:rFonts w:ascii="Verdana" w:hAnsi="Verdana"/>
          <w:color w:val="000000"/>
          <w:sz w:val="18"/>
          <w:szCs w:val="18"/>
        </w:rPr>
        <w:t>.</w:t>
      </w:r>
      <w:r>
        <w:rPr>
          <w:rFonts w:ascii="Verdana" w:hAnsi="Verdana"/>
          <w:color w:val="000000"/>
          <w:sz w:val="18"/>
          <w:szCs w:val="18"/>
        </w:rPr>
        <w:t xml:space="preserve"> p. 52</w:t>
      </w:r>
    </w:p>
  </w:footnote>
  <w:footnote w:id="8">
    <w:p w:rsidR="008F2894" w:rsidRPr="008F2894" w:rsidRDefault="008F2894">
      <w:pPr>
        <w:pStyle w:val="FootnoteText"/>
        <w:rPr>
          <w:lang w:val="en-GB"/>
        </w:rPr>
      </w:pPr>
      <w:r>
        <w:rPr>
          <w:rStyle w:val="FootnoteReference"/>
        </w:rPr>
        <w:footnoteRef/>
      </w:r>
      <w:r>
        <w:t xml:space="preserve"> </w:t>
      </w:r>
      <w:r w:rsidRPr="008F2894">
        <w:rPr>
          <w:rFonts w:ascii="Verdana" w:hAnsi="Verdana"/>
          <w:color w:val="000000"/>
          <w:sz w:val="18"/>
          <w:szCs w:val="18"/>
        </w:rPr>
        <w:t>Alter, R (1983). </w:t>
      </w:r>
      <w:r w:rsidRPr="008F2894">
        <w:rPr>
          <w:rFonts w:ascii="Verdana" w:hAnsi="Verdana"/>
          <w:i/>
          <w:iCs/>
          <w:color w:val="000000"/>
          <w:sz w:val="18"/>
          <w:szCs w:val="18"/>
        </w:rPr>
        <w:t>The Art of Biblical Literature</w:t>
      </w:r>
      <w:r w:rsidRPr="008F2894">
        <w:rPr>
          <w:rFonts w:ascii="Verdana" w:hAnsi="Verdana"/>
          <w:color w:val="000000"/>
          <w:sz w:val="18"/>
          <w:szCs w:val="18"/>
        </w:rPr>
        <w:t>.</w:t>
      </w:r>
      <w:r>
        <w:rPr>
          <w:rFonts w:ascii="Verdana" w:hAnsi="Verdana"/>
          <w:color w:val="000000"/>
          <w:sz w:val="18"/>
          <w:szCs w:val="18"/>
        </w:rPr>
        <w:t xml:space="preserve"> p. 50</w:t>
      </w:r>
    </w:p>
  </w:footnote>
  <w:footnote w:id="9">
    <w:p w:rsidR="008F2894" w:rsidRPr="008F2894" w:rsidRDefault="008F2894">
      <w:pPr>
        <w:pStyle w:val="FootnoteText"/>
        <w:rPr>
          <w:rFonts w:ascii="Verdana" w:hAnsi="Verdana"/>
          <w:sz w:val="18"/>
          <w:szCs w:val="18"/>
          <w:lang w:val="en-GB"/>
        </w:rPr>
      </w:pPr>
      <w:r>
        <w:rPr>
          <w:rStyle w:val="FootnoteReference"/>
        </w:rPr>
        <w:footnoteRef/>
      </w:r>
      <w:r>
        <w:t xml:space="preserve"> </w:t>
      </w:r>
      <w:r>
        <w:rPr>
          <w:rFonts w:ascii="Verdana" w:hAnsi="Verdana"/>
          <w:sz w:val="18"/>
          <w:szCs w:val="18"/>
          <w:lang w:val="en-GB"/>
        </w:rPr>
        <w:t>ibid p. 51</w:t>
      </w:r>
    </w:p>
  </w:footnote>
  <w:footnote w:id="10">
    <w:p w:rsidR="00045C11" w:rsidRPr="00045C11" w:rsidRDefault="00045C11">
      <w:pPr>
        <w:pStyle w:val="FootnoteText"/>
        <w:rPr>
          <w:lang w:val="en-GB"/>
        </w:rPr>
      </w:pPr>
      <w:r>
        <w:rPr>
          <w:rStyle w:val="FootnoteReference"/>
        </w:rPr>
        <w:footnoteRef/>
      </w:r>
      <w:r>
        <w:t xml:space="preserve"> </w:t>
      </w:r>
      <w:r>
        <w:rPr>
          <w:rFonts w:ascii="Verdana" w:hAnsi="Verdana"/>
          <w:sz w:val="18"/>
          <w:szCs w:val="18"/>
          <w:lang w:val="en-GB"/>
        </w:rPr>
        <w:t>ibid p. 60</w:t>
      </w:r>
    </w:p>
  </w:footnote>
  <w:footnote w:id="11">
    <w:p w:rsidR="00045C11" w:rsidRPr="00045C11" w:rsidRDefault="00045C11">
      <w:pPr>
        <w:pStyle w:val="FootnoteText"/>
        <w:rPr>
          <w:lang w:val="en-GB"/>
        </w:rPr>
      </w:pPr>
      <w:r>
        <w:rPr>
          <w:rStyle w:val="FootnoteReference"/>
        </w:rPr>
        <w:footnoteRef/>
      </w:r>
      <w:r>
        <w:t xml:space="preserve"> </w:t>
      </w:r>
      <w:proofErr w:type="spellStart"/>
      <w:r w:rsidRPr="008F2894">
        <w:rPr>
          <w:rFonts w:ascii="Verdana" w:hAnsi="Verdana"/>
          <w:color w:val="000000"/>
          <w:sz w:val="18"/>
          <w:szCs w:val="18"/>
        </w:rPr>
        <w:t>Whybray</w:t>
      </w:r>
      <w:proofErr w:type="spellEnd"/>
      <w:r>
        <w:rPr>
          <w:rFonts w:ascii="Verdana" w:hAnsi="Verdana"/>
          <w:color w:val="000000"/>
          <w:sz w:val="18"/>
          <w:szCs w:val="18"/>
        </w:rPr>
        <w:t xml:space="preserve"> p. 49</w:t>
      </w:r>
    </w:p>
  </w:footnote>
  <w:footnote w:id="12">
    <w:p w:rsidR="00045C11" w:rsidRPr="00045C11" w:rsidRDefault="00045C11">
      <w:pPr>
        <w:pStyle w:val="FootnoteText"/>
        <w:rPr>
          <w:lang w:val="en-GB"/>
        </w:rPr>
      </w:pPr>
      <w:r>
        <w:rPr>
          <w:rStyle w:val="FootnoteReference"/>
        </w:rPr>
        <w:footnoteRef/>
      </w:r>
      <w:r>
        <w:t xml:space="preserve"> </w:t>
      </w:r>
      <w:r w:rsidRPr="008F2894">
        <w:rPr>
          <w:rFonts w:ascii="Verdana" w:hAnsi="Verdana"/>
          <w:color w:val="000000"/>
          <w:sz w:val="18"/>
          <w:szCs w:val="18"/>
        </w:rPr>
        <w:t>Alter, R (1997). </w:t>
      </w:r>
      <w:r w:rsidRPr="008F2894">
        <w:rPr>
          <w:rFonts w:ascii="Verdana" w:hAnsi="Verdana"/>
          <w:i/>
          <w:iCs/>
          <w:color w:val="000000"/>
          <w:sz w:val="18"/>
          <w:szCs w:val="18"/>
        </w:rPr>
        <w:t>Genesis</w:t>
      </w:r>
      <w:r w:rsidRPr="008F2894">
        <w:rPr>
          <w:rFonts w:ascii="Verdana" w:hAnsi="Verdana"/>
          <w:color w:val="000000"/>
          <w:sz w:val="18"/>
          <w:szCs w:val="18"/>
        </w:rPr>
        <w:t>.</w:t>
      </w:r>
      <w:r>
        <w:rPr>
          <w:rFonts w:ascii="Verdana" w:hAnsi="Verdana"/>
          <w:color w:val="000000"/>
          <w:sz w:val="18"/>
          <w:szCs w:val="18"/>
        </w:rPr>
        <w:t xml:space="preserve"> p. 52</w:t>
      </w:r>
    </w:p>
  </w:footnote>
  <w:footnote w:id="13">
    <w:p w:rsidR="00045C11" w:rsidRPr="00045C11" w:rsidRDefault="00045C11">
      <w:pPr>
        <w:pStyle w:val="FootnoteText"/>
        <w:rPr>
          <w:lang w:val="en-GB"/>
        </w:rPr>
      </w:pPr>
      <w:r>
        <w:rPr>
          <w:rStyle w:val="FootnoteReference"/>
        </w:rPr>
        <w:footnoteRef/>
      </w:r>
      <w:r>
        <w:t xml:space="preserve"> </w:t>
      </w:r>
      <w:r w:rsidRPr="008F2894">
        <w:rPr>
          <w:rFonts w:ascii="Verdana" w:hAnsi="Verdana"/>
          <w:color w:val="000000"/>
          <w:sz w:val="18"/>
          <w:szCs w:val="18"/>
        </w:rPr>
        <w:t>Dennis, T (2010). </w:t>
      </w:r>
      <w:r w:rsidRPr="008F2894">
        <w:rPr>
          <w:rFonts w:ascii="Verdana" w:hAnsi="Verdana"/>
          <w:i/>
          <w:iCs/>
          <w:color w:val="000000"/>
          <w:sz w:val="18"/>
          <w:szCs w:val="18"/>
        </w:rPr>
        <w:t>Sarah Laughed - Women</w:t>
      </w:r>
      <w:r>
        <w:rPr>
          <w:rFonts w:ascii="Verdana" w:hAnsi="Verdana"/>
          <w:i/>
          <w:iCs/>
          <w:color w:val="000000"/>
          <w:sz w:val="18"/>
          <w:szCs w:val="18"/>
        </w:rPr>
        <w:t>’</w:t>
      </w:r>
      <w:r w:rsidRPr="008F2894">
        <w:rPr>
          <w:rFonts w:ascii="Verdana" w:hAnsi="Verdana"/>
          <w:i/>
          <w:iCs/>
          <w:color w:val="000000"/>
          <w:sz w:val="18"/>
          <w:szCs w:val="18"/>
        </w:rPr>
        <w:t>s voices in the Old Testament</w:t>
      </w:r>
      <w:r w:rsidRPr="008F2894">
        <w:rPr>
          <w:rFonts w:ascii="Verdana" w:hAnsi="Verdana"/>
          <w:color w:val="000000"/>
          <w:sz w:val="18"/>
          <w:szCs w:val="18"/>
        </w:rPr>
        <w:t>.</w:t>
      </w:r>
      <w:r>
        <w:rPr>
          <w:rFonts w:ascii="Verdana" w:hAnsi="Verdana"/>
          <w:color w:val="000000"/>
          <w:sz w:val="18"/>
          <w:szCs w:val="18"/>
        </w:rPr>
        <w:t xml:space="preserve"> p. 38</w:t>
      </w:r>
    </w:p>
  </w:footnote>
  <w:footnote w:id="14">
    <w:p w:rsidR="00045C11" w:rsidRPr="00045C11" w:rsidRDefault="00045C11">
      <w:pPr>
        <w:pStyle w:val="FootnoteText"/>
        <w:rPr>
          <w:lang w:val="en-GB"/>
        </w:rPr>
      </w:pPr>
      <w:r>
        <w:rPr>
          <w:rStyle w:val="FootnoteReference"/>
        </w:rPr>
        <w:footnoteRef/>
      </w:r>
      <w:r>
        <w:t xml:space="preserve"> </w:t>
      </w:r>
      <w:proofErr w:type="spellStart"/>
      <w:r w:rsidRPr="008F2894">
        <w:rPr>
          <w:rFonts w:ascii="Verdana" w:hAnsi="Verdana"/>
          <w:color w:val="000000"/>
          <w:sz w:val="18"/>
          <w:szCs w:val="18"/>
        </w:rPr>
        <w:t>Frymer</w:t>
      </w:r>
      <w:proofErr w:type="spellEnd"/>
      <w:r w:rsidRPr="008F2894">
        <w:rPr>
          <w:rFonts w:ascii="Verdana" w:hAnsi="Verdana"/>
          <w:color w:val="000000"/>
          <w:sz w:val="18"/>
          <w:szCs w:val="18"/>
        </w:rPr>
        <w:t>-Kensky, T. (2000). Sarah 1/Sarai. In: Meyers, C </w:t>
      </w:r>
      <w:r w:rsidRPr="008F2894">
        <w:rPr>
          <w:rFonts w:ascii="Verdana" w:hAnsi="Verdana"/>
          <w:i/>
          <w:iCs/>
          <w:color w:val="000000"/>
          <w:sz w:val="18"/>
          <w:szCs w:val="18"/>
        </w:rPr>
        <w:t>Women in Scripture: A Dictionary of Named and Unnamed Women in the Hebrew Bible, the Apocryphal/Deuterocanonical Books, and the New Testament</w:t>
      </w:r>
      <w:r w:rsidRPr="008F2894">
        <w:rPr>
          <w:rFonts w:ascii="Verdana" w:hAnsi="Verdana"/>
          <w:color w:val="000000"/>
          <w:sz w:val="18"/>
          <w:szCs w:val="18"/>
        </w:rPr>
        <w:t>.</w:t>
      </w:r>
      <w:r>
        <w:rPr>
          <w:rFonts w:ascii="Verdana" w:hAnsi="Verdana"/>
          <w:color w:val="000000"/>
          <w:sz w:val="18"/>
          <w:szCs w:val="18"/>
        </w:rPr>
        <w:t xml:space="preserve"> p. 150</w:t>
      </w:r>
    </w:p>
  </w:footnote>
  <w:footnote w:id="15">
    <w:p w:rsidR="00045C11" w:rsidRPr="00045C11" w:rsidRDefault="00045C11">
      <w:pPr>
        <w:pStyle w:val="FootnoteText"/>
        <w:rPr>
          <w:lang w:val="en-GB"/>
        </w:rPr>
      </w:pPr>
      <w:r>
        <w:rPr>
          <w:rStyle w:val="FootnoteReference"/>
        </w:rPr>
        <w:footnoteRef/>
      </w:r>
      <w:r>
        <w:t xml:space="preserve"> </w:t>
      </w:r>
      <w:proofErr w:type="spellStart"/>
      <w:r w:rsidRPr="008F2894">
        <w:rPr>
          <w:rFonts w:ascii="Verdana" w:hAnsi="Verdana"/>
          <w:color w:val="000000"/>
          <w:sz w:val="18"/>
          <w:szCs w:val="18"/>
        </w:rPr>
        <w:t>Whybray</w:t>
      </w:r>
      <w:proofErr w:type="spellEnd"/>
      <w:r>
        <w:rPr>
          <w:rFonts w:ascii="Verdana" w:hAnsi="Verdana"/>
          <w:color w:val="000000"/>
          <w:sz w:val="18"/>
          <w:szCs w:val="18"/>
        </w:rPr>
        <w:t xml:space="preserve"> p. 49</w:t>
      </w:r>
    </w:p>
  </w:footnote>
  <w:footnote w:id="16">
    <w:p w:rsidR="00045C11" w:rsidRPr="00045C11" w:rsidRDefault="00045C11">
      <w:pPr>
        <w:pStyle w:val="FootnoteText"/>
        <w:rPr>
          <w:lang w:val="en-GB"/>
        </w:rPr>
      </w:pPr>
      <w:r>
        <w:rPr>
          <w:rStyle w:val="FootnoteReference"/>
        </w:rPr>
        <w:footnoteRef/>
      </w:r>
      <w:r>
        <w:t xml:space="preserve"> </w:t>
      </w:r>
      <w:proofErr w:type="spellStart"/>
      <w:r w:rsidRPr="008F2894">
        <w:rPr>
          <w:rFonts w:ascii="Verdana" w:hAnsi="Verdana"/>
          <w:color w:val="000000"/>
          <w:sz w:val="18"/>
          <w:szCs w:val="18"/>
        </w:rPr>
        <w:t>Frymer</w:t>
      </w:r>
      <w:proofErr w:type="spellEnd"/>
      <w:r w:rsidRPr="008F2894">
        <w:rPr>
          <w:rFonts w:ascii="Verdana" w:hAnsi="Verdana"/>
          <w:color w:val="000000"/>
          <w:sz w:val="18"/>
          <w:szCs w:val="18"/>
        </w:rPr>
        <w:t>-Kensky</w:t>
      </w:r>
      <w:r>
        <w:rPr>
          <w:rFonts w:ascii="Verdana" w:hAnsi="Verdana"/>
          <w:color w:val="000000"/>
          <w:sz w:val="18"/>
          <w:szCs w:val="18"/>
        </w:rPr>
        <w:t xml:space="preserve"> p. 151</w:t>
      </w:r>
    </w:p>
  </w:footnote>
  <w:footnote w:id="17">
    <w:p w:rsidR="00045C11" w:rsidRPr="00045C11" w:rsidRDefault="00045C11">
      <w:pPr>
        <w:pStyle w:val="FootnoteText"/>
        <w:rPr>
          <w:lang w:val="en-GB"/>
        </w:rPr>
      </w:pPr>
      <w:r>
        <w:rPr>
          <w:rStyle w:val="FootnoteReference"/>
        </w:rPr>
        <w:footnoteRef/>
      </w:r>
      <w:r>
        <w:t xml:space="preserve"> </w:t>
      </w:r>
      <w:r w:rsidRPr="008F2894">
        <w:rPr>
          <w:rFonts w:ascii="Verdana" w:hAnsi="Verdana"/>
          <w:color w:val="000000"/>
          <w:sz w:val="18"/>
          <w:szCs w:val="18"/>
        </w:rPr>
        <w:t>Mills</w:t>
      </w:r>
      <w:r>
        <w:rPr>
          <w:rFonts w:ascii="Verdana" w:hAnsi="Verdana"/>
          <w:color w:val="000000"/>
          <w:sz w:val="18"/>
          <w:szCs w:val="18"/>
        </w:rPr>
        <w:t xml:space="preserve"> p. 44</w:t>
      </w:r>
    </w:p>
  </w:footnote>
  <w:footnote w:id="18">
    <w:p w:rsidR="00045C11" w:rsidRPr="00045C11" w:rsidRDefault="00045C11">
      <w:pPr>
        <w:pStyle w:val="FootnoteText"/>
        <w:rPr>
          <w:lang w:val="en-GB"/>
        </w:rPr>
      </w:pPr>
      <w:r>
        <w:rPr>
          <w:rStyle w:val="FootnoteReference"/>
        </w:rPr>
        <w:footnoteRef/>
      </w:r>
      <w:r>
        <w:t xml:space="preserve"> </w:t>
      </w:r>
      <w:proofErr w:type="spellStart"/>
      <w:r>
        <w:rPr>
          <w:rFonts w:ascii="Verdana" w:hAnsi="Verdana"/>
          <w:sz w:val="18"/>
          <w:szCs w:val="18"/>
        </w:rPr>
        <w:t>Westerman</w:t>
      </w:r>
      <w:proofErr w:type="spellEnd"/>
      <w:r>
        <w:rPr>
          <w:rFonts w:ascii="Verdana" w:hAnsi="Verdana"/>
          <w:sz w:val="18"/>
          <w:szCs w:val="18"/>
        </w:rPr>
        <w:t xml:space="preserve"> in </w:t>
      </w:r>
      <w:r w:rsidRPr="008F2894">
        <w:rPr>
          <w:rFonts w:ascii="Verdana" w:hAnsi="Verdana"/>
          <w:color w:val="000000"/>
          <w:sz w:val="18"/>
          <w:szCs w:val="18"/>
        </w:rPr>
        <w:t>Dennis</w:t>
      </w:r>
      <w:r>
        <w:rPr>
          <w:rFonts w:ascii="Verdana" w:hAnsi="Verdana"/>
          <w:color w:val="000000"/>
          <w:sz w:val="18"/>
          <w:szCs w:val="18"/>
        </w:rPr>
        <w:t xml:space="preserve"> p. 38</w:t>
      </w:r>
    </w:p>
  </w:footnote>
  <w:footnote w:id="19">
    <w:p w:rsidR="00045C11" w:rsidRPr="00045C11" w:rsidRDefault="00045C11">
      <w:pPr>
        <w:pStyle w:val="FootnoteText"/>
        <w:rPr>
          <w:lang w:val="en-GB"/>
        </w:rPr>
      </w:pPr>
      <w:r>
        <w:rPr>
          <w:rStyle w:val="FootnoteReference"/>
        </w:rPr>
        <w:footnoteRef/>
      </w:r>
      <w:r>
        <w:t xml:space="preserve"> </w:t>
      </w:r>
      <w:proofErr w:type="spellStart"/>
      <w:r w:rsidRPr="008F2894">
        <w:rPr>
          <w:rFonts w:ascii="Verdana" w:hAnsi="Verdana"/>
          <w:color w:val="000000"/>
          <w:sz w:val="18"/>
          <w:szCs w:val="18"/>
        </w:rPr>
        <w:t>Whybray</w:t>
      </w:r>
      <w:proofErr w:type="spellEnd"/>
      <w:r>
        <w:rPr>
          <w:rFonts w:ascii="Verdana" w:hAnsi="Verdana"/>
          <w:color w:val="000000"/>
          <w:sz w:val="18"/>
          <w:szCs w:val="18"/>
        </w:rPr>
        <w:t xml:space="preserve"> p. 49</w:t>
      </w:r>
    </w:p>
  </w:footnote>
  <w:footnote w:id="20">
    <w:p w:rsidR="00045C11" w:rsidRPr="00045C11" w:rsidRDefault="00045C11">
      <w:pPr>
        <w:pStyle w:val="FootnoteText"/>
        <w:rPr>
          <w:lang w:val="en-GB"/>
        </w:rPr>
      </w:pPr>
      <w:r>
        <w:rPr>
          <w:rStyle w:val="FootnoteReference"/>
        </w:rPr>
        <w:footnoteRef/>
      </w:r>
      <w:r>
        <w:t xml:space="preserve"> </w:t>
      </w:r>
      <w:r>
        <w:rPr>
          <w:rFonts w:ascii="Verdana" w:hAnsi="Verdana"/>
          <w:color w:val="000000"/>
          <w:sz w:val="18"/>
          <w:szCs w:val="18"/>
        </w:rPr>
        <w:t>ibid p. 49</w:t>
      </w:r>
    </w:p>
  </w:footnote>
  <w:footnote w:id="21">
    <w:p w:rsidR="00045C11" w:rsidRPr="00045C11" w:rsidRDefault="00045C11">
      <w:pPr>
        <w:pStyle w:val="FootnoteText"/>
        <w:rPr>
          <w:lang w:val="en-GB"/>
        </w:rPr>
      </w:pPr>
      <w:r>
        <w:rPr>
          <w:rStyle w:val="FootnoteReference"/>
        </w:rPr>
        <w:footnoteRef/>
      </w:r>
      <w:r>
        <w:t xml:space="preserve"> </w:t>
      </w:r>
      <w:r w:rsidRPr="008F2894">
        <w:rPr>
          <w:rFonts w:ascii="Verdana" w:hAnsi="Verdana"/>
          <w:color w:val="000000"/>
          <w:sz w:val="18"/>
          <w:szCs w:val="18"/>
        </w:rPr>
        <w:t>Mills</w:t>
      </w:r>
      <w:r>
        <w:rPr>
          <w:rFonts w:ascii="Verdana" w:hAnsi="Verdana"/>
          <w:color w:val="000000"/>
          <w:sz w:val="18"/>
          <w:szCs w:val="18"/>
        </w:rPr>
        <w:t xml:space="preserve"> p. 34</w:t>
      </w:r>
    </w:p>
  </w:footnote>
  <w:footnote w:id="22">
    <w:p w:rsidR="00045C11" w:rsidRPr="00045C11" w:rsidRDefault="00045C11">
      <w:pPr>
        <w:pStyle w:val="FootnoteText"/>
        <w:rPr>
          <w:lang w:val="en-GB"/>
        </w:rPr>
      </w:pPr>
      <w:r>
        <w:rPr>
          <w:rStyle w:val="FootnoteReference"/>
        </w:rPr>
        <w:footnoteRef/>
      </w:r>
      <w:r>
        <w:t xml:space="preserve"> </w:t>
      </w:r>
      <w:proofErr w:type="spellStart"/>
      <w:r w:rsidRPr="008F2894">
        <w:rPr>
          <w:rFonts w:ascii="Verdana" w:hAnsi="Verdana"/>
          <w:color w:val="000000"/>
          <w:sz w:val="18"/>
          <w:szCs w:val="18"/>
        </w:rPr>
        <w:t>Whybray</w:t>
      </w:r>
      <w:proofErr w:type="spellEnd"/>
      <w:r>
        <w:rPr>
          <w:rFonts w:ascii="Verdana" w:hAnsi="Verdana"/>
          <w:color w:val="000000"/>
          <w:sz w:val="18"/>
          <w:szCs w:val="18"/>
        </w:rPr>
        <w:t xml:space="preserve"> p. 49</w:t>
      </w:r>
    </w:p>
  </w:footnote>
  <w:footnote w:id="23">
    <w:p w:rsidR="0049201D" w:rsidRPr="0049201D" w:rsidRDefault="0049201D">
      <w:pPr>
        <w:pStyle w:val="FootnoteText"/>
        <w:rPr>
          <w:lang w:val="en-GB"/>
        </w:rPr>
      </w:pPr>
      <w:r>
        <w:rPr>
          <w:rStyle w:val="FootnoteReference"/>
        </w:rPr>
        <w:footnoteRef/>
      </w:r>
      <w:r>
        <w:t xml:space="preserve"> </w:t>
      </w:r>
      <w:r w:rsidRPr="008F2894">
        <w:rPr>
          <w:rFonts w:ascii="Verdana" w:hAnsi="Verdana"/>
          <w:color w:val="000000"/>
          <w:sz w:val="18"/>
          <w:szCs w:val="18"/>
        </w:rPr>
        <w:t>Weiss, S (2018). </w:t>
      </w:r>
      <w:r w:rsidRPr="008F2894">
        <w:rPr>
          <w:rFonts w:ascii="Verdana" w:hAnsi="Verdana"/>
          <w:i/>
          <w:iCs/>
          <w:color w:val="000000"/>
          <w:sz w:val="18"/>
          <w:szCs w:val="18"/>
        </w:rPr>
        <w:t>Ethical Ambiguity in the Hebrew Bible - Philosophical Analysis of Scriptural Narrative</w:t>
      </w:r>
      <w:r w:rsidRPr="008F2894">
        <w:rPr>
          <w:rFonts w:ascii="Verdana" w:hAnsi="Verdana"/>
          <w:color w:val="000000"/>
          <w:sz w:val="18"/>
          <w:szCs w:val="18"/>
        </w:rPr>
        <w:t>.</w:t>
      </w:r>
      <w:r>
        <w:rPr>
          <w:rFonts w:ascii="Verdana" w:hAnsi="Verdana"/>
          <w:color w:val="000000"/>
          <w:sz w:val="18"/>
          <w:szCs w:val="18"/>
        </w:rPr>
        <w:t xml:space="preserve"> p. 133</w:t>
      </w:r>
    </w:p>
  </w:footnote>
  <w:footnote w:id="24">
    <w:p w:rsidR="0049201D" w:rsidRPr="0049201D" w:rsidRDefault="0049201D">
      <w:pPr>
        <w:pStyle w:val="FootnoteText"/>
        <w:rPr>
          <w:lang w:val="en-GB"/>
        </w:rPr>
      </w:pPr>
      <w:r>
        <w:rPr>
          <w:rStyle w:val="FootnoteReference"/>
        </w:rPr>
        <w:footnoteRef/>
      </w:r>
      <w:r>
        <w:t xml:space="preserve"> </w:t>
      </w:r>
      <w:r w:rsidRPr="008F2894">
        <w:rPr>
          <w:rFonts w:ascii="Verdana" w:hAnsi="Verdana"/>
          <w:color w:val="000000"/>
          <w:sz w:val="18"/>
          <w:szCs w:val="18"/>
        </w:rPr>
        <w:t>Sarna</w:t>
      </w:r>
      <w:r>
        <w:rPr>
          <w:rFonts w:ascii="Verdana" w:hAnsi="Verdana"/>
          <w:color w:val="000000"/>
          <w:sz w:val="18"/>
          <w:szCs w:val="18"/>
        </w:rPr>
        <w:t xml:space="preserve"> p. 103</w:t>
      </w:r>
    </w:p>
  </w:footnote>
  <w:footnote w:id="25">
    <w:p w:rsidR="0049201D" w:rsidRPr="0049201D" w:rsidRDefault="0049201D">
      <w:pPr>
        <w:pStyle w:val="FootnoteText"/>
        <w:rPr>
          <w:rFonts w:ascii="Verdana" w:hAnsi="Verdana"/>
          <w:sz w:val="18"/>
          <w:szCs w:val="18"/>
          <w:lang w:val="en-GB"/>
        </w:rPr>
      </w:pPr>
      <w:r>
        <w:rPr>
          <w:rStyle w:val="FootnoteReference"/>
        </w:rPr>
        <w:footnoteRef/>
      </w:r>
      <w:r>
        <w:t xml:space="preserve"> </w:t>
      </w:r>
      <w:r>
        <w:rPr>
          <w:rFonts w:ascii="Verdana" w:hAnsi="Verdana"/>
          <w:sz w:val="18"/>
          <w:szCs w:val="18"/>
          <w:lang w:val="en-GB"/>
        </w:rPr>
        <w:t>ibid p. 103</w:t>
      </w:r>
    </w:p>
  </w:footnote>
  <w:footnote w:id="26">
    <w:p w:rsidR="0049201D" w:rsidRPr="0049201D" w:rsidRDefault="0049201D">
      <w:pPr>
        <w:pStyle w:val="FootnoteText"/>
        <w:rPr>
          <w:lang w:val="en-GB"/>
        </w:rPr>
      </w:pPr>
      <w:r>
        <w:rPr>
          <w:rStyle w:val="FootnoteReference"/>
        </w:rPr>
        <w:footnoteRef/>
      </w:r>
      <w:r>
        <w:t xml:space="preserve"> </w:t>
      </w:r>
      <w:r>
        <w:rPr>
          <w:rFonts w:ascii="Verdana" w:hAnsi="Verdana"/>
          <w:sz w:val="18"/>
          <w:szCs w:val="18"/>
          <w:lang w:val="en-GB"/>
        </w:rPr>
        <w:t>ibid p. 103</w:t>
      </w:r>
    </w:p>
  </w:footnote>
  <w:footnote w:id="27">
    <w:p w:rsidR="0049201D" w:rsidRPr="0049201D" w:rsidRDefault="0049201D">
      <w:pPr>
        <w:pStyle w:val="FootnoteText"/>
        <w:rPr>
          <w:lang w:val="en-GB"/>
        </w:rPr>
      </w:pPr>
      <w:r>
        <w:rPr>
          <w:rStyle w:val="FootnoteReference"/>
        </w:rPr>
        <w:footnoteRef/>
      </w:r>
      <w:r>
        <w:t xml:space="preserve"> </w:t>
      </w:r>
      <w:r w:rsidRPr="008F2894">
        <w:rPr>
          <w:rFonts w:ascii="Verdana" w:hAnsi="Verdana"/>
          <w:color w:val="000000"/>
          <w:sz w:val="18"/>
          <w:szCs w:val="18"/>
        </w:rPr>
        <w:t>Dennis</w:t>
      </w:r>
      <w:r>
        <w:rPr>
          <w:rFonts w:ascii="Verdana" w:hAnsi="Verdana"/>
          <w:color w:val="000000"/>
          <w:sz w:val="18"/>
          <w:szCs w:val="18"/>
        </w:rPr>
        <w:t xml:space="preserve"> p. 39</w:t>
      </w:r>
    </w:p>
  </w:footnote>
  <w:footnote w:id="28">
    <w:p w:rsidR="0049201D" w:rsidRPr="0049201D" w:rsidRDefault="0049201D">
      <w:pPr>
        <w:pStyle w:val="FootnoteText"/>
        <w:rPr>
          <w:lang w:val="en-GB"/>
        </w:rPr>
      </w:pPr>
      <w:r>
        <w:rPr>
          <w:rStyle w:val="FootnoteReference"/>
        </w:rPr>
        <w:footnoteRef/>
      </w:r>
      <w:r>
        <w:t xml:space="preserve"> </w:t>
      </w:r>
      <w:r w:rsidRPr="008F2894">
        <w:rPr>
          <w:rFonts w:ascii="Verdana" w:hAnsi="Verdana"/>
          <w:color w:val="000000"/>
          <w:sz w:val="18"/>
          <w:szCs w:val="18"/>
        </w:rPr>
        <w:t xml:space="preserve">Levenson, J. </w:t>
      </w:r>
      <w:proofErr w:type="gramStart"/>
      <w:r w:rsidRPr="008F2894">
        <w:rPr>
          <w:rFonts w:ascii="Verdana" w:hAnsi="Verdana"/>
          <w:color w:val="000000"/>
          <w:sz w:val="18"/>
          <w:szCs w:val="18"/>
        </w:rPr>
        <w:t>D..</w:t>
      </w:r>
      <w:proofErr w:type="gramEnd"/>
      <w:r w:rsidRPr="008F2894">
        <w:rPr>
          <w:rFonts w:ascii="Verdana" w:hAnsi="Verdana"/>
          <w:color w:val="000000"/>
          <w:sz w:val="18"/>
          <w:szCs w:val="18"/>
        </w:rPr>
        <w:t xml:space="preserve"> (2014). Genesis. In: Berlin, A. and </w:t>
      </w:r>
      <w:proofErr w:type="spellStart"/>
      <w:r w:rsidRPr="008F2894">
        <w:rPr>
          <w:rFonts w:ascii="Verdana" w:hAnsi="Verdana"/>
          <w:color w:val="000000"/>
          <w:sz w:val="18"/>
          <w:szCs w:val="18"/>
        </w:rPr>
        <w:t>Brettler</w:t>
      </w:r>
      <w:proofErr w:type="spellEnd"/>
      <w:r w:rsidRPr="008F2894">
        <w:rPr>
          <w:rFonts w:ascii="Verdana" w:hAnsi="Verdana"/>
          <w:color w:val="000000"/>
          <w:sz w:val="18"/>
          <w:szCs w:val="18"/>
        </w:rPr>
        <w:t>, M. Z. </w:t>
      </w:r>
      <w:r w:rsidRPr="008F2894">
        <w:rPr>
          <w:rFonts w:ascii="Verdana" w:hAnsi="Verdana"/>
          <w:i/>
          <w:iCs/>
          <w:color w:val="000000"/>
          <w:sz w:val="18"/>
          <w:szCs w:val="18"/>
        </w:rPr>
        <w:t>The Jewish Study Bible</w:t>
      </w:r>
      <w:r w:rsidRPr="008F2894">
        <w:rPr>
          <w:rFonts w:ascii="Verdana" w:hAnsi="Verdana"/>
          <w:color w:val="000000"/>
          <w:sz w:val="18"/>
          <w:szCs w:val="18"/>
        </w:rPr>
        <w:t>.</w:t>
      </w:r>
      <w:r>
        <w:rPr>
          <w:rFonts w:ascii="Verdana" w:hAnsi="Verdana"/>
          <w:color w:val="000000"/>
          <w:sz w:val="18"/>
          <w:szCs w:val="18"/>
        </w:rPr>
        <w:t xml:space="preserve"> p. 29</w:t>
      </w:r>
    </w:p>
  </w:footnote>
  <w:footnote w:id="29">
    <w:p w:rsidR="0049201D" w:rsidRPr="0049201D" w:rsidRDefault="0049201D">
      <w:pPr>
        <w:pStyle w:val="FootnoteText"/>
        <w:rPr>
          <w:lang w:val="en-GB"/>
        </w:rPr>
      </w:pPr>
      <w:r>
        <w:rPr>
          <w:rStyle w:val="FootnoteReference"/>
        </w:rPr>
        <w:footnoteRef/>
      </w:r>
      <w:r>
        <w:t xml:space="preserve"> </w:t>
      </w:r>
      <w:proofErr w:type="spellStart"/>
      <w:r w:rsidRPr="008F2894">
        <w:rPr>
          <w:rFonts w:ascii="Verdana" w:hAnsi="Verdana"/>
          <w:color w:val="000000"/>
          <w:sz w:val="18"/>
          <w:szCs w:val="18"/>
        </w:rPr>
        <w:t>Frymer</w:t>
      </w:r>
      <w:proofErr w:type="spellEnd"/>
      <w:r w:rsidRPr="008F2894">
        <w:rPr>
          <w:rFonts w:ascii="Verdana" w:hAnsi="Verdana"/>
          <w:color w:val="000000"/>
          <w:sz w:val="18"/>
          <w:szCs w:val="18"/>
        </w:rPr>
        <w:t>-Kensky</w:t>
      </w:r>
      <w:r>
        <w:rPr>
          <w:rFonts w:ascii="Verdana" w:hAnsi="Verdana"/>
          <w:color w:val="000000"/>
          <w:sz w:val="18"/>
          <w:szCs w:val="18"/>
        </w:rPr>
        <w:t xml:space="preserve"> p. 150</w:t>
      </w:r>
    </w:p>
  </w:footnote>
  <w:footnote w:id="30">
    <w:p w:rsidR="0049201D" w:rsidRPr="0049201D" w:rsidRDefault="0049201D">
      <w:pPr>
        <w:pStyle w:val="FootnoteText"/>
        <w:rPr>
          <w:lang w:val="en-GB"/>
        </w:rPr>
      </w:pPr>
      <w:r>
        <w:rPr>
          <w:rStyle w:val="FootnoteReference"/>
        </w:rPr>
        <w:footnoteRef/>
      </w:r>
      <w:r>
        <w:t xml:space="preserve"> </w:t>
      </w:r>
      <w:r w:rsidRPr="008F2894">
        <w:rPr>
          <w:rFonts w:ascii="Verdana" w:hAnsi="Verdana"/>
          <w:color w:val="000000"/>
          <w:sz w:val="18"/>
          <w:szCs w:val="18"/>
        </w:rPr>
        <w:t>Weiss</w:t>
      </w:r>
      <w:r>
        <w:rPr>
          <w:rFonts w:ascii="Verdana" w:hAnsi="Verdana"/>
          <w:color w:val="000000"/>
          <w:sz w:val="18"/>
          <w:szCs w:val="18"/>
        </w:rPr>
        <w:t xml:space="preserve"> p. 134</w:t>
      </w:r>
    </w:p>
  </w:footnote>
  <w:footnote w:id="31">
    <w:p w:rsidR="0049201D" w:rsidRPr="0049201D" w:rsidRDefault="0049201D">
      <w:pPr>
        <w:pStyle w:val="FootnoteText"/>
        <w:rPr>
          <w:lang w:val="en-GB"/>
        </w:rPr>
      </w:pPr>
      <w:r>
        <w:rPr>
          <w:rStyle w:val="FootnoteReference"/>
        </w:rPr>
        <w:footnoteRef/>
      </w:r>
      <w:r>
        <w:t xml:space="preserve"> </w:t>
      </w:r>
      <w:r w:rsidRPr="008F2894">
        <w:rPr>
          <w:rFonts w:ascii="Verdana" w:hAnsi="Verdana"/>
          <w:color w:val="000000"/>
          <w:sz w:val="18"/>
          <w:szCs w:val="18"/>
        </w:rPr>
        <w:t>Levenson</w:t>
      </w:r>
      <w:r>
        <w:rPr>
          <w:rFonts w:ascii="Verdana" w:hAnsi="Verdana"/>
          <w:color w:val="000000"/>
          <w:sz w:val="18"/>
          <w:szCs w:val="18"/>
        </w:rPr>
        <w:t xml:space="preserve"> p. 29</w:t>
      </w:r>
    </w:p>
  </w:footnote>
  <w:footnote w:id="32">
    <w:p w:rsidR="0053631F" w:rsidRPr="0053631F" w:rsidRDefault="0053631F">
      <w:pPr>
        <w:pStyle w:val="FootnoteText"/>
        <w:rPr>
          <w:lang w:val="en-GB"/>
        </w:rPr>
      </w:pPr>
      <w:r>
        <w:rPr>
          <w:rStyle w:val="FootnoteReference"/>
        </w:rPr>
        <w:footnoteRef/>
      </w:r>
      <w:r>
        <w:t xml:space="preserve"> </w:t>
      </w:r>
      <w:r w:rsidRPr="008F2894">
        <w:rPr>
          <w:rFonts w:ascii="Verdana" w:hAnsi="Verdana"/>
          <w:color w:val="000000"/>
          <w:sz w:val="18"/>
          <w:szCs w:val="18"/>
        </w:rPr>
        <w:t>Weiss</w:t>
      </w:r>
      <w:r>
        <w:rPr>
          <w:rFonts w:ascii="Verdana" w:hAnsi="Verdana"/>
          <w:color w:val="000000"/>
          <w:sz w:val="18"/>
          <w:szCs w:val="18"/>
        </w:rPr>
        <w:t xml:space="preserve"> p. 134</w:t>
      </w:r>
    </w:p>
  </w:footnote>
  <w:footnote w:id="33">
    <w:p w:rsidR="0053631F" w:rsidRPr="0053631F" w:rsidRDefault="0053631F">
      <w:pPr>
        <w:pStyle w:val="FootnoteText"/>
        <w:rPr>
          <w:lang w:val="en-GB"/>
        </w:rPr>
      </w:pPr>
      <w:r>
        <w:rPr>
          <w:rStyle w:val="FootnoteReference"/>
        </w:rPr>
        <w:footnoteRef/>
      </w:r>
      <w:r>
        <w:t xml:space="preserve"> </w:t>
      </w:r>
      <w:r>
        <w:rPr>
          <w:rFonts w:ascii="Verdana" w:hAnsi="Verdana"/>
          <w:color w:val="000000"/>
          <w:sz w:val="18"/>
          <w:szCs w:val="18"/>
        </w:rPr>
        <w:t>Mills p. 31</w:t>
      </w:r>
    </w:p>
  </w:footnote>
  <w:footnote w:id="34">
    <w:p w:rsidR="0053631F" w:rsidRPr="0053631F" w:rsidRDefault="0053631F">
      <w:pPr>
        <w:pStyle w:val="FootnoteText"/>
        <w:rPr>
          <w:lang w:val="en-GB"/>
        </w:rPr>
      </w:pPr>
      <w:r>
        <w:rPr>
          <w:rStyle w:val="FootnoteReference"/>
        </w:rPr>
        <w:footnoteRef/>
      </w:r>
      <w:r>
        <w:t xml:space="preserve"> </w:t>
      </w:r>
      <w:r>
        <w:rPr>
          <w:rFonts w:ascii="Verdana" w:hAnsi="Verdana"/>
          <w:color w:val="000000"/>
          <w:sz w:val="18"/>
          <w:szCs w:val="18"/>
        </w:rPr>
        <w:t>Dennis p. 40</w:t>
      </w:r>
    </w:p>
  </w:footnote>
  <w:footnote w:id="35">
    <w:p w:rsidR="0053631F" w:rsidRPr="0053631F" w:rsidRDefault="0053631F">
      <w:pPr>
        <w:pStyle w:val="FootnoteText"/>
        <w:rPr>
          <w:lang w:val="en-GB"/>
        </w:rPr>
      </w:pPr>
      <w:r>
        <w:rPr>
          <w:rStyle w:val="FootnoteReference"/>
        </w:rPr>
        <w:footnoteRef/>
      </w:r>
      <w:r>
        <w:t xml:space="preserve"> </w:t>
      </w:r>
      <w:r>
        <w:rPr>
          <w:rFonts w:ascii="Verdana" w:hAnsi="Verdana"/>
          <w:color w:val="000000"/>
          <w:sz w:val="18"/>
          <w:szCs w:val="18"/>
        </w:rPr>
        <w:t>Mills p. 33</w:t>
      </w:r>
    </w:p>
  </w:footnote>
  <w:footnote w:id="36">
    <w:p w:rsidR="0053631F" w:rsidRPr="0053631F" w:rsidRDefault="0053631F">
      <w:pPr>
        <w:pStyle w:val="FootnoteText"/>
        <w:rPr>
          <w:lang w:val="en-GB"/>
        </w:rPr>
      </w:pPr>
      <w:r>
        <w:rPr>
          <w:rStyle w:val="FootnoteReference"/>
        </w:rPr>
        <w:footnoteRef/>
      </w:r>
      <w:r>
        <w:t xml:space="preserve"> </w:t>
      </w:r>
      <w:r w:rsidRPr="008F2894">
        <w:rPr>
          <w:rFonts w:ascii="Verdana" w:hAnsi="Verdana"/>
          <w:color w:val="000000"/>
          <w:sz w:val="18"/>
          <w:szCs w:val="18"/>
        </w:rPr>
        <w:t>Weiss</w:t>
      </w:r>
      <w:r>
        <w:rPr>
          <w:rFonts w:ascii="Verdana" w:hAnsi="Verdana"/>
          <w:color w:val="000000"/>
          <w:sz w:val="18"/>
          <w:szCs w:val="18"/>
        </w:rPr>
        <w:t xml:space="preserve"> p. 134</w:t>
      </w:r>
    </w:p>
  </w:footnote>
  <w:footnote w:id="37">
    <w:p w:rsidR="005F445C" w:rsidRPr="005F445C" w:rsidRDefault="005F445C">
      <w:pPr>
        <w:pStyle w:val="FootnoteText"/>
        <w:rPr>
          <w:lang w:val="en-GB"/>
        </w:rPr>
      </w:pPr>
      <w:r>
        <w:rPr>
          <w:rStyle w:val="FootnoteReference"/>
        </w:rPr>
        <w:footnoteRef/>
      </w:r>
      <w:r>
        <w:t xml:space="preserve"> </w:t>
      </w:r>
      <w:r>
        <w:rPr>
          <w:rFonts w:ascii="Verdana" w:hAnsi="Verdana"/>
          <w:color w:val="000000"/>
          <w:sz w:val="18"/>
          <w:szCs w:val="18"/>
        </w:rPr>
        <w:t>ibid p. 97</w:t>
      </w:r>
    </w:p>
  </w:footnote>
  <w:footnote w:id="38">
    <w:p w:rsidR="005F445C" w:rsidRPr="005F445C" w:rsidRDefault="005F445C">
      <w:pPr>
        <w:pStyle w:val="FootnoteText"/>
        <w:rPr>
          <w:lang w:val="en-GB"/>
        </w:rPr>
      </w:pPr>
      <w:r>
        <w:rPr>
          <w:rStyle w:val="FootnoteReference"/>
        </w:rPr>
        <w:footnoteRef/>
      </w:r>
      <w:r>
        <w:t xml:space="preserve"> </w:t>
      </w:r>
      <w:r>
        <w:rPr>
          <w:rFonts w:ascii="Verdana" w:hAnsi="Verdana"/>
          <w:color w:val="000000"/>
          <w:sz w:val="18"/>
          <w:szCs w:val="18"/>
        </w:rPr>
        <w:t>ibid p. 99</w:t>
      </w:r>
    </w:p>
  </w:footnote>
  <w:footnote w:id="39">
    <w:p w:rsidR="005F445C" w:rsidRPr="005F445C" w:rsidRDefault="005F445C">
      <w:pPr>
        <w:pStyle w:val="FootnoteText"/>
        <w:rPr>
          <w:lang w:val="en-GB"/>
        </w:rPr>
      </w:pPr>
      <w:r>
        <w:rPr>
          <w:rStyle w:val="FootnoteReference"/>
        </w:rPr>
        <w:footnoteRef/>
      </w:r>
      <w:r>
        <w:t xml:space="preserve"> </w:t>
      </w:r>
      <w:r w:rsidRPr="008F2894">
        <w:rPr>
          <w:rFonts w:ascii="Verdana" w:hAnsi="Verdana"/>
          <w:color w:val="000000"/>
          <w:sz w:val="18"/>
          <w:szCs w:val="18"/>
        </w:rPr>
        <w:t>Alter, R (1997). </w:t>
      </w:r>
      <w:r w:rsidRPr="008F2894">
        <w:rPr>
          <w:rFonts w:ascii="Verdana" w:hAnsi="Verdana"/>
          <w:i/>
          <w:iCs/>
          <w:color w:val="000000"/>
          <w:sz w:val="18"/>
          <w:szCs w:val="18"/>
        </w:rPr>
        <w:t>Genesis</w:t>
      </w:r>
      <w:r w:rsidRPr="008F2894">
        <w:rPr>
          <w:rFonts w:ascii="Verdana" w:hAnsi="Verdana"/>
          <w:color w:val="000000"/>
          <w:sz w:val="18"/>
          <w:szCs w:val="18"/>
        </w:rPr>
        <w:t>.</w:t>
      </w:r>
      <w:r>
        <w:rPr>
          <w:rFonts w:ascii="Verdana" w:hAnsi="Verdana"/>
          <w:color w:val="000000"/>
          <w:sz w:val="18"/>
          <w:szCs w:val="18"/>
        </w:rPr>
        <w:t xml:space="preserve"> p. 127</w:t>
      </w:r>
    </w:p>
  </w:footnote>
  <w:footnote w:id="40">
    <w:p w:rsidR="005F445C" w:rsidRPr="005F445C" w:rsidRDefault="005F445C">
      <w:pPr>
        <w:pStyle w:val="FootnoteText"/>
        <w:rPr>
          <w:lang w:val="en-GB"/>
        </w:rPr>
      </w:pPr>
      <w:r>
        <w:rPr>
          <w:rStyle w:val="FootnoteReference"/>
        </w:rPr>
        <w:footnoteRef/>
      </w:r>
      <w:r>
        <w:t xml:space="preserve"> </w:t>
      </w:r>
      <w:r w:rsidRPr="008F2894">
        <w:rPr>
          <w:rFonts w:ascii="Verdana" w:hAnsi="Verdana"/>
          <w:color w:val="000000"/>
          <w:sz w:val="18"/>
          <w:szCs w:val="18"/>
        </w:rPr>
        <w:t>Weiss</w:t>
      </w:r>
      <w:r>
        <w:rPr>
          <w:rFonts w:ascii="Verdana" w:hAnsi="Verdana"/>
          <w:color w:val="000000"/>
          <w:sz w:val="18"/>
          <w:szCs w:val="18"/>
        </w:rPr>
        <w:t xml:space="preserve"> p. 97</w:t>
      </w:r>
    </w:p>
  </w:footnote>
  <w:footnote w:id="41">
    <w:p w:rsidR="005F445C" w:rsidRPr="005F445C" w:rsidRDefault="005F445C">
      <w:pPr>
        <w:pStyle w:val="FootnoteText"/>
        <w:rPr>
          <w:lang w:val="en-GB"/>
        </w:rPr>
      </w:pPr>
      <w:r>
        <w:rPr>
          <w:rStyle w:val="FootnoteReference"/>
        </w:rPr>
        <w:footnoteRef/>
      </w:r>
      <w:r>
        <w:t xml:space="preserve"> </w:t>
      </w:r>
      <w:r>
        <w:rPr>
          <w:rFonts w:ascii="Verdana" w:hAnsi="Verdana"/>
          <w:color w:val="000000"/>
          <w:sz w:val="18"/>
          <w:szCs w:val="18"/>
        </w:rPr>
        <w:t>ibid p. 98</w:t>
      </w:r>
    </w:p>
  </w:footnote>
  <w:footnote w:id="42">
    <w:p w:rsidR="005F445C" w:rsidRPr="005F445C" w:rsidRDefault="005F445C">
      <w:pPr>
        <w:pStyle w:val="FootnoteText"/>
        <w:rPr>
          <w:lang w:val="en-GB"/>
        </w:rPr>
      </w:pPr>
      <w:r>
        <w:rPr>
          <w:rStyle w:val="FootnoteReference"/>
        </w:rPr>
        <w:footnoteRef/>
      </w:r>
      <w:r>
        <w:t xml:space="preserve"> </w:t>
      </w:r>
      <w:r w:rsidRPr="008F2894">
        <w:rPr>
          <w:rFonts w:ascii="Verdana" w:hAnsi="Verdana"/>
          <w:color w:val="000000"/>
          <w:sz w:val="18"/>
          <w:szCs w:val="18"/>
        </w:rPr>
        <w:t>Alter, R (1983). </w:t>
      </w:r>
      <w:r w:rsidRPr="008F2894">
        <w:rPr>
          <w:rFonts w:ascii="Verdana" w:hAnsi="Verdana"/>
          <w:i/>
          <w:iCs/>
          <w:color w:val="000000"/>
          <w:sz w:val="18"/>
          <w:szCs w:val="18"/>
        </w:rPr>
        <w:t>The Art of Biblical Literature</w:t>
      </w:r>
      <w:r w:rsidRPr="008F2894">
        <w:rPr>
          <w:rFonts w:ascii="Verdana" w:hAnsi="Verdana"/>
          <w:color w:val="000000"/>
          <w:sz w:val="18"/>
          <w:szCs w:val="18"/>
        </w:rPr>
        <w:t>.</w:t>
      </w:r>
      <w:r>
        <w:rPr>
          <w:rFonts w:ascii="Verdana" w:hAnsi="Verdana"/>
          <w:color w:val="000000"/>
          <w:sz w:val="18"/>
          <w:szCs w:val="18"/>
        </w:rPr>
        <w:t xml:space="preserve"> p. 43</w:t>
      </w:r>
    </w:p>
  </w:footnote>
  <w:footnote w:id="43">
    <w:p w:rsidR="005F445C" w:rsidRPr="005F445C" w:rsidRDefault="005F445C">
      <w:pPr>
        <w:pStyle w:val="FootnoteText"/>
        <w:rPr>
          <w:lang w:val="en-GB"/>
        </w:rPr>
      </w:pPr>
      <w:r>
        <w:rPr>
          <w:rStyle w:val="FootnoteReference"/>
        </w:rPr>
        <w:footnoteRef/>
      </w:r>
      <w:r>
        <w:t xml:space="preserve"> </w:t>
      </w:r>
      <w:r w:rsidRPr="008F2894">
        <w:rPr>
          <w:rFonts w:ascii="Verdana" w:hAnsi="Verdana"/>
          <w:color w:val="000000"/>
          <w:sz w:val="18"/>
          <w:szCs w:val="18"/>
        </w:rPr>
        <w:t>Levenson</w:t>
      </w:r>
      <w:r>
        <w:rPr>
          <w:rFonts w:ascii="Verdana" w:hAnsi="Verdana"/>
          <w:color w:val="000000"/>
          <w:sz w:val="18"/>
          <w:szCs w:val="18"/>
        </w:rPr>
        <w:t xml:space="preserve"> p. 50</w:t>
      </w:r>
    </w:p>
  </w:footnote>
  <w:footnote w:id="44">
    <w:p w:rsidR="005F445C" w:rsidRPr="005F445C" w:rsidRDefault="005F445C">
      <w:pPr>
        <w:pStyle w:val="FootnoteText"/>
        <w:rPr>
          <w:lang w:val="en-GB"/>
        </w:rPr>
      </w:pPr>
      <w:r>
        <w:rPr>
          <w:rStyle w:val="FootnoteReference"/>
        </w:rPr>
        <w:footnoteRef/>
      </w:r>
      <w:r>
        <w:t xml:space="preserve"> </w:t>
      </w:r>
      <w:r w:rsidRPr="008F2894">
        <w:rPr>
          <w:rFonts w:ascii="Verdana" w:hAnsi="Verdana"/>
          <w:color w:val="000000"/>
          <w:sz w:val="18"/>
          <w:szCs w:val="18"/>
        </w:rPr>
        <w:t>Alter, R (1983). </w:t>
      </w:r>
      <w:r w:rsidRPr="008F2894">
        <w:rPr>
          <w:rFonts w:ascii="Verdana" w:hAnsi="Verdana"/>
          <w:i/>
          <w:iCs/>
          <w:color w:val="000000"/>
          <w:sz w:val="18"/>
          <w:szCs w:val="18"/>
        </w:rPr>
        <w:t>The Art of Biblical Literature</w:t>
      </w:r>
      <w:r w:rsidRPr="008F2894">
        <w:rPr>
          <w:rFonts w:ascii="Verdana" w:hAnsi="Verdana"/>
          <w:color w:val="000000"/>
          <w:sz w:val="18"/>
          <w:szCs w:val="18"/>
        </w:rPr>
        <w:t>.</w:t>
      </w:r>
      <w:r>
        <w:rPr>
          <w:rFonts w:ascii="Verdana" w:hAnsi="Verdana"/>
          <w:color w:val="000000"/>
          <w:sz w:val="18"/>
          <w:szCs w:val="18"/>
        </w:rPr>
        <w:t xml:space="preserve"> p. 43</w:t>
      </w:r>
    </w:p>
  </w:footnote>
  <w:footnote w:id="45">
    <w:p w:rsidR="005F445C" w:rsidRPr="005F445C" w:rsidRDefault="005F445C">
      <w:pPr>
        <w:pStyle w:val="FootnoteText"/>
        <w:rPr>
          <w:lang w:val="en-GB"/>
        </w:rPr>
      </w:pPr>
      <w:r>
        <w:rPr>
          <w:rStyle w:val="FootnoteReference"/>
        </w:rPr>
        <w:footnoteRef/>
      </w:r>
      <w:r>
        <w:t xml:space="preserve"> </w:t>
      </w:r>
      <w:r w:rsidRPr="008F2894">
        <w:rPr>
          <w:rFonts w:ascii="Verdana" w:hAnsi="Verdana"/>
          <w:color w:val="000000"/>
          <w:sz w:val="18"/>
          <w:szCs w:val="18"/>
        </w:rPr>
        <w:t>Weiss</w:t>
      </w:r>
      <w:r>
        <w:rPr>
          <w:rFonts w:ascii="Verdana" w:hAnsi="Verdana"/>
          <w:color w:val="000000"/>
          <w:sz w:val="18"/>
          <w:szCs w:val="18"/>
        </w:rPr>
        <w:t xml:space="preserve"> p. 97</w:t>
      </w:r>
    </w:p>
  </w:footnote>
  <w:footnote w:id="46">
    <w:p w:rsidR="005F445C" w:rsidRPr="005F445C" w:rsidRDefault="005F445C">
      <w:pPr>
        <w:pStyle w:val="FootnoteText"/>
        <w:rPr>
          <w:lang w:val="en-GB"/>
        </w:rPr>
      </w:pPr>
      <w:r>
        <w:rPr>
          <w:rStyle w:val="FootnoteReference"/>
        </w:rPr>
        <w:footnoteRef/>
      </w:r>
      <w:r>
        <w:t xml:space="preserve"> </w:t>
      </w:r>
      <w:r>
        <w:rPr>
          <w:rFonts w:ascii="Verdana" w:hAnsi="Verdana"/>
          <w:color w:val="000000"/>
          <w:sz w:val="18"/>
          <w:szCs w:val="18"/>
        </w:rPr>
        <w:t>ibid p. 103</w:t>
      </w:r>
    </w:p>
  </w:footnote>
  <w:footnote w:id="47">
    <w:p w:rsidR="005F445C" w:rsidRPr="005F445C" w:rsidRDefault="005F445C">
      <w:pPr>
        <w:pStyle w:val="FootnoteText"/>
        <w:rPr>
          <w:lang w:val="en-GB"/>
        </w:rPr>
      </w:pPr>
      <w:r>
        <w:rPr>
          <w:rStyle w:val="FootnoteReference"/>
        </w:rPr>
        <w:footnoteRef/>
      </w:r>
      <w:r>
        <w:t xml:space="preserve"> </w:t>
      </w:r>
      <w:r w:rsidRPr="008F2894">
        <w:rPr>
          <w:rFonts w:ascii="Verdana" w:hAnsi="Verdana"/>
          <w:color w:val="000000"/>
          <w:sz w:val="18"/>
          <w:szCs w:val="18"/>
        </w:rPr>
        <w:t>Alter, R (1983). </w:t>
      </w:r>
      <w:r w:rsidRPr="008F2894">
        <w:rPr>
          <w:rFonts w:ascii="Verdana" w:hAnsi="Verdana"/>
          <w:i/>
          <w:iCs/>
          <w:color w:val="000000"/>
          <w:sz w:val="18"/>
          <w:szCs w:val="18"/>
        </w:rPr>
        <w:t>The Art of Biblical Literature</w:t>
      </w:r>
      <w:r w:rsidRPr="008F2894">
        <w:rPr>
          <w:rFonts w:ascii="Verdana" w:hAnsi="Verdana"/>
          <w:color w:val="000000"/>
          <w:sz w:val="18"/>
          <w:szCs w:val="18"/>
        </w:rPr>
        <w:t>.</w:t>
      </w:r>
      <w:r>
        <w:rPr>
          <w:rFonts w:ascii="Verdana" w:hAnsi="Verdana"/>
          <w:color w:val="000000"/>
          <w:sz w:val="18"/>
          <w:szCs w:val="18"/>
        </w:rPr>
        <w:t xml:space="preserve"> p. 45</w:t>
      </w:r>
    </w:p>
  </w:footnote>
  <w:footnote w:id="48">
    <w:p w:rsidR="00BD10DA" w:rsidRPr="00BD10DA" w:rsidRDefault="00BD10DA">
      <w:pPr>
        <w:pStyle w:val="FootnoteText"/>
        <w:rPr>
          <w:lang w:val="en-GB"/>
        </w:rPr>
      </w:pPr>
      <w:r>
        <w:rPr>
          <w:rStyle w:val="FootnoteReference"/>
        </w:rPr>
        <w:footnoteRef/>
      </w:r>
      <w:r>
        <w:t xml:space="preserve"> </w:t>
      </w:r>
      <w:r w:rsidRPr="008F2894">
        <w:rPr>
          <w:rFonts w:ascii="Verdana" w:hAnsi="Verdana"/>
          <w:color w:val="000000"/>
          <w:sz w:val="18"/>
          <w:szCs w:val="18"/>
        </w:rPr>
        <w:t>Weiss</w:t>
      </w:r>
      <w:r>
        <w:rPr>
          <w:rFonts w:ascii="Verdana" w:hAnsi="Verdana"/>
          <w:color w:val="000000"/>
          <w:sz w:val="18"/>
          <w:szCs w:val="18"/>
        </w:rPr>
        <w:t xml:space="preserve"> p. 97</w:t>
      </w:r>
    </w:p>
  </w:footnote>
  <w:footnote w:id="49">
    <w:p w:rsidR="00BD10DA" w:rsidRPr="00BD10DA" w:rsidRDefault="00BD10DA">
      <w:pPr>
        <w:pStyle w:val="FootnoteText"/>
        <w:rPr>
          <w:lang w:val="en-GB"/>
        </w:rPr>
      </w:pPr>
      <w:r>
        <w:rPr>
          <w:rStyle w:val="FootnoteReference"/>
        </w:rPr>
        <w:footnoteRef/>
      </w:r>
      <w:r>
        <w:t xml:space="preserve"> </w:t>
      </w:r>
      <w:r w:rsidRPr="008F2894">
        <w:rPr>
          <w:rFonts w:ascii="Verdana" w:hAnsi="Verdana"/>
          <w:color w:val="000000"/>
          <w:sz w:val="18"/>
          <w:szCs w:val="18"/>
        </w:rPr>
        <w:t>Weiss</w:t>
      </w:r>
      <w:r>
        <w:rPr>
          <w:rFonts w:ascii="Verdana" w:hAnsi="Verdana"/>
          <w:color w:val="000000"/>
          <w:sz w:val="18"/>
          <w:szCs w:val="18"/>
        </w:rPr>
        <w:t xml:space="preserve"> p. 100</w:t>
      </w:r>
    </w:p>
  </w:footnote>
  <w:footnote w:id="50">
    <w:p w:rsidR="00BD10DA" w:rsidRPr="00BD10DA" w:rsidRDefault="00BD10DA">
      <w:pPr>
        <w:pStyle w:val="FootnoteText"/>
        <w:rPr>
          <w:lang w:val="en-GB"/>
        </w:rPr>
      </w:pPr>
      <w:r>
        <w:rPr>
          <w:rStyle w:val="FootnoteReference"/>
        </w:rPr>
        <w:footnoteRef/>
      </w:r>
      <w:r>
        <w:t xml:space="preserve"> </w:t>
      </w:r>
      <w:r w:rsidRPr="008F2894">
        <w:rPr>
          <w:rFonts w:ascii="Verdana" w:hAnsi="Verdana"/>
          <w:color w:val="000000"/>
          <w:sz w:val="18"/>
          <w:szCs w:val="18"/>
        </w:rPr>
        <w:t>Alter, R (1983). </w:t>
      </w:r>
      <w:r w:rsidRPr="008F2894">
        <w:rPr>
          <w:rFonts w:ascii="Verdana" w:hAnsi="Verdana"/>
          <w:i/>
          <w:iCs/>
          <w:color w:val="000000"/>
          <w:sz w:val="18"/>
          <w:szCs w:val="18"/>
        </w:rPr>
        <w:t>The Art of Biblical Literature</w:t>
      </w:r>
      <w:r w:rsidRPr="008F2894">
        <w:rPr>
          <w:rFonts w:ascii="Verdana" w:hAnsi="Verdana"/>
          <w:color w:val="000000"/>
          <w:sz w:val="18"/>
          <w:szCs w:val="18"/>
        </w:rPr>
        <w:t>.</w:t>
      </w:r>
      <w:r>
        <w:rPr>
          <w:rFonts w:ascii="Verdana" w:hAnsi="Verdana"/>
          <w:color w:val="000000"/>
          <w:sz w:val="18"/>
          <w:szCs w:val="18"/>
        </w:rPr>
        <w:t xml:space="preserve"> p. 43</w:t>
      </w:r>
    </w:p>
  </w:footnote>
  <w:footnote w:id="51">
    <w:p w:rsidR="00BD10DA" w:rsidRPr="00BD10DA" w:rsidRDefault="00BD10DA">
      <w:pPr>
        <w:pStyle w:val="FootnoteText"/>
        <w:rPr>
          <w:lang w:val="en-GB"/>
        </w:rPr>
      </w:pPr>
      <w:r>
        <w:rPr>
          <w:rStyle w:val="FootnoteReference"/>
        </w:rPr>
        <w:footnoteRef/>
      </w:r>
      <w:r>
        <w:t xml:space="preserve"> </w:t>
      </w:r>
      <w:r w:rsidRPr="008F2894">
        <w:rPr>
          <w:rFonts w:ascii="Verdana" w:hAnsi="Verdana"/>
          <w:color w:val="000000"/>
          <w:sz w:val="18"/>
          <w:szCs w:val="18"/>
        </w:rPr>
        <w:t>Levenson</w:t>
      </w:r>
      <w:r>
        <w:rPr>
          <w:rFonts w:ascii="Verdana" w:hAnsi="Verdana"/>
          <w:color w:val="000000"/>
          <w:sz w:val="18"/>
          <w:szCs w:val="18"/>
        </w:rPr>
        <w:t xml:space="preserve"> p. 51</w:t>
      </w:r>
    </w:p>
  </w:footnote>
  <w:footnote w:id="52">
    <w:p w:rsidR="00BD10DA" w:rsidRPr="00BD10DA" w:rsidRDefault="00BD10DA">
      <w:pPr>
        <w:pStyle w:val="FootnoteText"/>
        <w:rPr>
          <w:lang w:val="en-GB"/>
        </w:rPr>
      </w:pPr>
      <w:r>
        <w:rPr>
          <w:rStyle w:val="FootnoteReference"/>
        </w:rPr>
        <w:footnoteRef/>
      </w:r>
      <w:r>
        <w:t xml:space="preserve"> </w:t>
      </w:r>
      <w:r w:rsidRPr="008F2894">
        <w:rPr>
          <w:rFonts w:ascii="Verdana" w:hAnsi="Verdana"/>
          <w:color w:val="000000"/>
          <w:sz w:val="18"/>
          <w:szCs w:val="18"/>
        </w:rPr>
        <w:t>Levenson</w:t>
      </w:r>
      <w:r>
        <w:rPr>
          <w:rFonts w:ascii="Verdana" w:hAnsi="Verdana"/>
          <w:color w:val="000000"/>
          <w:sz w:val="18"/>
          <w:szCs w:val="18"/>
        </w:rPr>
        <w:t xml:space="preserve"> p. 52</w:t>
      </w:r>
    </w:p>
  </w:footnote>
  <w:footnote w:id="53">
    <w:p w:rsidR="00BD10DA" w:rsidRPr="00BD10DA" w:rsidRDefault="00BD10DA">
      <w:pPr>
        <w:pStyle w:val="FootnoteText"/>
        <w:rPr>
          <w:lang w:val="en-GB"/>
        </w:rPr>
      </w:pPr>
      <w:r>
        <w:rPr>
          <w:rStyle w:val="FootnoteReference"/>
        </w:rPr>
        <w:footnoteRef/>
      </w:r>
      <w:r>
        <w:t xml:space="preserve"> </w:t>
      </w:r>
      <w:proofErr w:type="spellStart"/>
      <w:r w:rsidRPr="008F2894">
        <w:rPr>
          <w:rFonts w:ascii="Verdana" w:hAnsi="Verdana"/>
          <w:color w:val="000000"/>
          <w:sz w:val="18"/>
          <w:szCs w:val="18"/>
        </w:rPr>
        <w:t>Whybray</w:t>
      </w:r>
      <w:proofErr w:type="spellEnd"/>
      <w:r>
        <w:rPr>
          <w:rFonts w:ascii="Verdana" w:hAnsi="Verdana"/>
          <w:color w:val="000000"/>
          <w:sz w:val="18"/>
          <w:szCs w:val="18"/>
        </w:rPr>
        <w:t xml:space="preserve"> p. 56</w:t>
      </w:r>
    </w:p>
  </w:footnote>
  <w:footnote w:id="54">
    <w:p w:rsidR="00BD10DA" w:rsidRPr="00BD10DA" w:rsidRDefault="00BD10DA">
      <w:pPr>
        <w:pStyle w:val="FootnoteText"/>
        <w:rPr>
          <w:lang w:val="en-GB"/>
        </w:rPr>
      </w:pPr>
      <w:r>
        <w:rPr>
          <w:rStyle w:val="FootnoteReference"/>
        </w:rPr>
        <w:footnoteRef/>
      </w:r>
      <w:r>
        <w:t xml:space="preserve"> </w:t>
      </w:r>
      <w:r w:rsidRPr="008F2894">
        <w:rPr>
          <w:rFonts w:ascii="Verdana" w:hAnsi="Verdana"/>
          <w:color w:val="000000"/>
          <w:sz w:val="18"/>
          <w:szCs w:val="18"/>
        </w:rPr>
        <w:t>Weiss</w:t>
      </w:r>
      <w:r>
        <w:rPr>
          <w:rFonts w:ascii="Verdana" w:hAnsi="Verdana"/>
          <w:color w:val="000000"/>
          <w:sz w:val="18"/>
          <w:szCs w:val="18"/>
        </w:rPr>
        <w:t xml:space="preserve"> p. 160</w:t>
      </w:r>
    </w:p>
  </w:footnote>
  <w:footnote w:id="55">
    <w:p w:rsidR="00BD10DA" w:rsidRPr="00BD10DA" w:rsidRDefault="00BD10DA">
      <w:pPr>
        <w:pStyle w:val="FootnoteText"/>
        <w:rPr>
          <w:lang w:val="en-GB"/>
        </w:rPr>
      </w:pPr>
      <w:r>
        <w:rPr>
          <w:rStyle w:val="FootnoteReference"/>
        </w:rPr>
        <w:footnoteRef/>
      </w:r>
      <w:r>
        <w:t xml:space="preserve"> </w:t>
      </w:r>
      <w:r>
        <w:rPr>
          <w:rFonts w:ascii="Verdana" w:hAnsi="Verdana"/>
          <w:color w:val="000000"/>
          <w:sz w:val="18"/>
          <w:szCs w:val="18"/>
        </w:rPr>
        <w:t>ibid p. 157</w:t>
      </w:r>
    </w:p>
  </w:footnote>
  <w:footnote w:id="56">
    <w:p w:rsidR="00BD10DA" w:rsidRPr="00BD10DA" w:rsidRDefault="00BD10DA">
      <w:pPr>
        <w:pStyle w:val="FootnoteText"/>
        <w:rPr>
          <w:lang w:val="en-GB"/>
        </w:rPr>
      </w:pPr>
      <w:r>
        <w:rPr>
          <w:rStyle w:val="FootnoteReference"/>
        </w:rPr>
        <w:footnoteRef/>
      </w:r>
      <w:r>
        <w:t xml:space="preserve"> </w:t>
      </w:r>
      <w:proofErr w:type="spellStart"/>
      <w:r w:rsidRPr="008F2894">
        <w:rPr>
          <w:rFonts w:ascii="Verdana" w:hAnsi="Verdana"/>
          <w:color w:val="000000"/>
          <w:sz w:val="18"/>
          <w:szCs w:val="18"/>
        </w:rPr>
        <w:t>Whybray</w:t>
      </w:r>
      <w:proofErr w:type="spellEnd"/>
      <w:r>
        <w:rPr>
          <w:rFonts w:ascii="Verdana" w:hAnsi="Verdana"/>
          <w:color w:val="000000"/>
          <w:sz w:val="18"/>
          <w:szCs w:val="18"/>
        </w:rPr>
        <w:t xml:space="preserve"> p. 56</w:t>
      </w:r>
    </w:p>
  </w:footnote>
  <w:footnote w:id="57">
    <w:p w:rsidR="00BD10DA" w:rsidRPr="00BD10DA" w:rsidRDefault="00BD10DA">
      <w:pPr>
        <w:pStyle w:val="FootnoteText"/>
        <w:rPr>
          <w:lang w:val="en-GB"/>
        </w:rPr>
      </w:pPr>
      <w:r>
        <w:rPr>
          <w:rStyle w:val="FootnoteReference"/>
        </w:rPr>
        <w:footnoteRef/>
      </w:r>
      <w:r>
        <w:t xml:space="preserve"> </w:t>
      </w:r>
      <w:r w:rsidRPr="008F2894">
        <w:rPr>
          <w:rFonts w:ascii="Verdana" w:hAnsi="Verdana"/>
          <w:color w:val="000000"/>
          <w:sz w:val="18"/>
          <w:szCs w:val="18"/>
        </w:rPr>
        <w:t>Levenson</w:t>
      </w:r>
      <w:r>
        <w:rPr>
          <w:rFonts w:ascii="Verdana" w:hAnsi="Verdana"/>
          <w:color w:val="000000"/>
          <w:sz w:val="18"/>
          <w:szCs w:val="18"/>
        </w:rPr>
        <w:t xml:space="preserve"> p. 51</w:t>
      </w:r>
    </w:p>
  </w:footnote>
  <w:footnote w:id="58">
    <w:p w:rsidR="00B36DA9" w:rsidRPr="00B36DA9" w:rsidRDefault="00B36DA9">
      <w:pPr>
        <w:pStyle w:val="FootnoteText"/>
        <w:rPr>
          <w:lang w:val="en-GB"/>
        </w:rPr>
      </w:pPr>
      <w:r>
        <w:rPr>
          <w:rStyle w:val="FootnoteReference"/>
        </w:rPr>
        <w:footnoteRef/>
      </w:r>
      <w:r>
        <w:t xml:space="preserve"> </w:t>
      </w:r>
      <w:r>
        <w:rPr>
          <w:rFonts w:ascii="Verdana" w:hAnsi="Verdana"/>
          <w:color w:val="000000"/>
          <w:sz w:val="18"/>
          <w:szCs w:val="18"/>
        </w:rPr>
        <w:t>ibid p. 52</w:t>
      </w:r>
    </w:p>
  </w:footnote>
  <w:footnote w:id="59">
    <w:p w:rsidR="00B36DA9" w:rsidRPr="00B36DA9" w:rsidRDefault="00B36DA9">
      <w:pPr>
        <w:pStyle w:val="FootnoteText"/>
        <w:rPr>
          <w:lang w:val="en-GB"/>
        </w:rPr>
      </w:pPr>
      <w:r>
        <w:rPr>
          <w:rStyle w:val="FootnoteReference"/>
        </w:rPr>
        <w:footnoteRef/>
      </w:r>
      <w:r>
        <w:t xml:space="preserve"> </w:t>
      </w:r>
      <w:r w:rsidRPr="008F2894">
        <w:rPr>
          <w:rFonts w:ascii="Verdana" w:hAnsi="Verdana"/>
          <w:color w:val="000000"/>
          <w:sz w:val="18"/>
          <w:szCs w:val="18"/>
        </w:rPr>
        <w:t>Alter, R (1983). </w:t>
      </w:r>
      <w:r w:rsidRPr="008F2894">
        <w:rPr>
          <w:rFonts w:ascii="Verdana" w:hAnsi="Verdana"/>
          <w:i/>
          <w:iCs/>
          <w:color w:val="000000"/>
          <w:sz w:val="18"/>
          <w:szCs w:val="18"/>
        </w:rPr>
        <w:t>The Art of Biblical Literature</w:t>
      </w:r>
      <w:r w:rsidRPr="008F2894">
        <w:rPr>
          <w:rFonts w:ascii="Verdana" w:hAnsi="Verdana"/>
          <w:color w:val="000000"/>
          <w:sz w:val="18"/>
          <w:szCs w:val="18"/>
        </w:rPr>
        <w:t>.</w:t>
      </w:r>
      <w:r>
        <w:rPr>
          <w:rFonts w:ascii="Verdana" w:hAnsi="Verdana"/>
          <w:color w:val="000000"/>
          <w:sz w:val="18"/>
          <w:szCs w:val="18"/>
        </w:rPr>
        <w:t xml:space="preserve"> p. 46</w:t>
      </w:r>
    </w:p>
  </w:footnote>
  <w:footnote w:id="60">
    <w:p w:rsidR="00B36DA9" w:rsidRPr="00B36DA9" w:rsidRDefault="00B36DA9">
      <w:pPr>
        <w:pStyle w:val="FootnoteText"/>
        <w:rPr>
          <w:lang w:val="en-GB"/>
        </w:rPr>
      </w:pPr>
      <w:r>
        <w:rPr>
          <w:rStyle w:val="FootnoteReference"/>
        </w:rPr>
        <w:footnoteRef/>
      </w:r>
      <w:r>
        <w:t xml:space="preserve"> </w:t>
      </w:r>
      <w:r w:rsidRPr="008F2894">
        <w:rPr>
          <w:rFonts w:ascii="Verdana" w:hAnsi="Verdana"/>
          <w:color w:val="000000"/>
          <w:sz w:val="18"/>
          <w:szCs w:val="18"/>
        </w:rPr>
        <w:t>Levenson</w:t>
      </w:r>
      <w:r>
        <w:rPr>
          <w:rFonts w:ascii="Verdana" w:hAnsi="Verdana"/>
          <w:color w:val="000000"/>
          <w:sz w:val="18"/>
          <w:szCs w:val="18"/>
        </w:rPr>
        <w:t xml:space="preserve"> p. 53</w:t>
      </w:r>
    </w:p>
  </w:footnote>
  <w:footnote w:id="61">
    <w:p w:rsidR="00B36DA9" w:rsidRPr="00B36DA9" w:rsidRDefault="00B36DA9">
      <w:pPr>
        <w:pStyle w:val="FootnoteText"/>
        <w:rPr>
          <w:lang w:val="en-GB"/>
        </w:rPr>
      </w:pPr>
      <w:r>
        <w:rPr>
          <w:rStyle w:val="FootnoteReference"/>
        </w:rPr>
        <w:footnoteRef/>
      </w:r>
      <w:r>
        <w:t xml:space="preserve"> </w:t>
      </w:r>
      <w:r w:rsidRPr="008F2894">
        <w:rPr>
          <w:rFonts w:ascii="Verdana" w:hAnsi="Verdana"/>
          <w:color w:val="000000"/>
          <w:sz w:val="18"/>
          <w:szCs w:val="18"/>
        </w:rPr>
        <w:t>Alter, R (1983). </w:t>
      </w:r>
      <w:r w:rsidRPr="008F2894">
        <w:rPr>
          <w:rFonts w:ascii="Verdana" w:hAnsi="Verdana"/>
          <w:i/>
          <w:iCs/>
          <w:color w:val="000000"/>
          <w:sz w:val="18"/>
          <w:szCs w:val="18"/>
        </w:rPr>
        <w:t>The Art of Biblical Literature</w:t>
      </w:r>
      <w:r w:rsidRPr="008F2894">
        <w:rPr>
          <w:rFonts w:ascii="Verdana" w:hAnsi="Verdana"/>
          <w:color w:val="000000"/>
          <w:sz w:val="18"/>
          <w:szCs w:val="18"/>
        </w:rPr>
        <w:t>.</w:t>
      </w:r>
      <w:r>
        <w:rPr>
          <w:rFonts w:ascii="Verdana" w:hAnsi="Verdana"/>
          <w:color w:val="000000"/>
          <w:sz w:val="18"/>
          <w:szCs w:val="18"/>
        </w:rPr>
        <w:t xml:space="preserve"> p. 45</w:t>
      </w:r>
    </w:p>
  </w:footnote>
  <w:footnote w:id="62">
    <w:p w:rsidR="004D6516" w:rsidRPr="004D6516" w:rsidRDefault="004D6516">
      <w:pPr>
        <w:pStyle w:val="FootnoteText"/>
        <w:rPr>
          <w:lang w:val="en-GB"/>
        </w:rPr>
      </w:pPr>
      <w:r>
        <w:rPr>
          <w:rStyle w:val="FootnoteReference"/>
        </w:rPr>
        <w:footnoteRef/>
      </w:r>
      <w:r>
        <w:t xml:space="preserve"> </w:t>
      </w:r>
      <w:r w:rsidRPr="008F2894">
        <w:rPr>
          <w:rFonts w:ascii="Verdana" w:hAnsi="Verdana"/>
          <w:color w:val="000000"/>
          <w:sz w:val="18"/>
          <w:szCs w:val="18"/>
        </w:rPr>
        <w:t>Sarna</w:t>
      </w:r>
      <w:r>
        <w:rPr>
          <w:rFonts w:ascii="Verdana" w:hAnsi="Verdana"/>
          <w:color w:val="000000"/>
          <w:sz w:val="18"/>
          <w:szCs w:val="18"/>
        </w:rPr>
        <w:t xml:space="preserve"> p. 183</w:t>
      </w:r>
    </w:p>
  </w:footnote>
  <w:footnote w:id="63">
    <w:p w:rsidR="004D6516" w:rsidRPr="004D6516" w:rsidRDefault="004D6516">
      <w:pPr>
        <w:pStyle w:val="FootnoteText"/>
        <w:rPr>
          <w:lang w:val="en-GB"/>
        </w:rPr>
      </w:pPr>
      <w:r>
        <w:rPr>
          <w:rStyle w:val="FootnoteReference"/>
        </w:rPr>
        <w:footnoteRef/>
      </w:r>
      <w:r>
        <w:t xml:space="preserve"> </w:t>
      </w:r>
      <w:r w:rsidRPr="008F2894">
        <w:rPr>
          <w:rFonts w:ascii="Verdana" w:hAnsi="Verdana"/>
          <w:color w:val="000000"/>
          <w:sz w:val="18"/>
          <w:szCs w:val="18"/>
        </w:rPr>
        <w:t>Alter, R (1997). </w:t>
      </w:r>
      <w:r w:rsidRPr="008F2894">
        <w:rPr>
          <w:rFonts w:ascii="Verdana" w:hAnsi="Verdana"/>
          <w:i/>
          <w:iCs/>
          <w:color w:val="000000"/>
          <w:sz w:val="18"/>
          <w:szCs w:val="18"/>
        </w:rPr>
        <w:t>Genesis</w:t>
      </w:r>
      <w:r w:rsidRPr="008F2894">
        <w:rPr>
          <w:rFonts w:ascii="Verdana" w:hAnsi="Verdana"/>
          <w:color w:val="000000"/>
          <w:sz w:val="18"/>
          <w:szCs w:val="18"/>
        </w:rPr>
        <w:t>.</w:t>
      </w:r>
      <w:r>
        <w:rPr>
          <w:rFonts w:ascii="Verdana" w:hAnsi="Verdana"/>
          <w:color w:val="000000"/>
          <w:sz w:val="18"/>
          <w:szCs w:val="18"/>
        </w:rPr>
        <w:t xml:space="preserve"> p. 281</w:t>
      </w:r>
    </w:p>
  </w:footnote>
  <w:footnote w:id="64">
    <w:p w:rsidR="004D6516" w:rsidRPr="004D6516" w:rsidRDefault="004D6516">
      <w:pPr>
        <w:pStyle w:val="FootnoteText"/>
        <w:rPr>
          <w:lang w:val="en-GB"/>
        </w:rPr>
      </w:pPr>
      <w:r>
        <w:rPr>
          <w:rStyle w:val="FootnoteReference"/>
        </w:rPr>
        <w:footnoteRef/>
      </w:r>
      <w:r>
        <w:t xml:space="preserve"> </w:t>
      </w:r>
      <w:r w:rsidRPr="008F2894">
        <w:rPr>
          <w:rFonts w:ascii="Verdana" w:hAnsi="Verdana"/>
          <w:color w:val="000000"/>
          <w:sz w:val="18"/>
          <w:szCs w:val="18"/>
        </w:rPr>
        <w:t>Sarna</w:t>
      </w:r>
      <w:r>
        <w:rPr>
          <w:rFonts w:ascii="Verdana" w:hAnsi="Verdana"/>
          <w:color w:val="000000"/>
          <w:sz w:val="18"/>
          <w:szCs w:val="18"/>
        </w:rPr>
        <w:t xml:space="preserve"> p. 188</w:t>
      </w:r>
    </w:p>
  </w:footnote>
  <w:footnote w:id="65">
    <w:p w:rsidR="004D6516" w:rsidRPr="004D6516" w:rsidRDefault="004D6516">
      <w:pPr>
        <w:pStyle w:val="FootnoteText"/>
        <w:rPr>
          <w:lang w:val="en-GB"/>
        </w:rPr>
      </w:pPr>
      <w:r>
        <w:rPr>
          <w:rStyle w:val="FootnoteReference"/>
        </w:rPr>
        <w:footnoteRef/>
      </w:r>
      <w:r>
        <w:t xml:space="preserve"> </w:t>
      </w:r>
      <w:r w:rsidRPr="008F2894">
        <w:rPr>
          <w:rFonts w:ascii="Verdana" w:hAnsi="Verdana"/>
          <w:color w:val="000000"/>
          <w:sz w:val="18"/>
          <w:szCs w:val="18"/>
        </w:rPr>
        <w:t>Weiss</w:t>
      </w:r>
      <w:r>
        <w:rPr>
          <w:rFonts w:ascii="Verdana" w:hAnsi="Verdana"/>
          <w:color w:val="000000"/>
          <w:sz w:val="18"/>
          <w:szCs w:val="18"/>
        </w:rPr>
        <w:t xml:space="preserve"> p. 163</w:t>
      </w:r>
    </w:p>
  </w:footnote>
  <w:footnote w:id="66">
    <w:p w:rsidR="004D6516" w:rsidRPr="004D6516" w:rsidRDefault="004D6516">
      <w:pPr>
        <w:pStyle w:val="FootnoteText"/>
        <w:rPr>
          <w:lang w:val="en-GB"/>
        </w:rPr>
      </w:pPr>
      <w:r>
        <w:rPr>
          <w:rStyle w:val="FootnoteReference"/>
        </w:rPr>
        <w:footnoteRef/>
      </w:r>
      <w:r>
        <w:t xml:space="preserve"> </w:t>
      </w:r>
      <w:r w:rsidR="00606625">
        <w:rPr>
          <w:rFonts w:ascii="Verdana" w:hAnsi="Verdana"/>
          <w:color w:val="000000"/>
          <w:sz w:val="18"/>
          <w:szCs w:val="18"/>
        </w:rPr>
        <w:t>ibid</w:t>
      </w:r>
      <w:r>
        <w:rPr>
          <w:rFonts w:ascii="Verdana" w:hAnsi="Verdana"/>
          <w:color w:val="000000"/>
          <w:sz w:val="18"/>
          <w:szCs w:val="18"/>
        </w:rPr>
        <w:t xml:space="preserve"> p. 171</w:t>
      </w:r>
    </w:p>
  </w:footnote>
  <w:footnote w:id="67">
    <w:p w:rsidR="005B143B" w:rsidRPr="005B143B" w:rsidRDefault="005B143B">
      <w:pPr>
        <w:pStyle w:val="FootnoteText"/>
        <w:rPr>
          <w:lang w:val="en-GB"/>
        </w:rPr>
      </w:pPr>
      <w:r>
        <w:rPr>
          <w:rStyle w:val="FootnoteReference"/>
        </w:rPr>
        <w:footnoteRef/>
      </w:r>
      <w:r>
        <w:t xml:space="preserve"> </w:t>
      </w:r>
      <w:r w:rsidRPr="008F2894">
        <w:rPr>
          <w:rFonts w:ascii="Verdana" w:hAnsi="Verdana"/>
          <w:color w:val="000000"/>
          <w:sz w:val="18"/>
          <w:szCs w:val="18"/>
        </w:rPr>
        <w:t>Sarna</w:t>
      </w:r>
      <w:r>
        <w:rPr>
          <w:rFonts w:ascii="Verdana" w:hAnsi="Verdana"/>
          <w:color w:val="000000"/>
          <w:sz w:val="18"/>
          <w:szCs w:val="18"/>
        </w:rPr>
        <w:t xml:space="preserve"> p. 188</w:t>
      </w:r>
    </w:p>
  </w:footnote>
  <w:footnote w:id="68">
    <w:p w:rsidR="005B143B" w:rsidRPr="005B143B" w:rsidRDefault="005B143B">
      <w:pPr>
        <w:pStyle w:val="FootnoteText"/>
        <w:rPr>
          <w:lang w:val="en-GB"/>
        </w:rPr>
      </w:pPr>
      <w:r>
        <w:rPr>
          <w:rStyle w:val="FootnoteReference"/>
        </w:rPr>
        <w:footnoteRef/>
      </w:r>
      <w:r>
        <w:t xml:space="preserve"> </w:t>
      </w:r>
      <w:r w:rsidRPr="008F2894">
        <w:rPr>
          <w:rFonts w:ascii="Verdana" w:hAnsi="Verdana"/>
          <w:color w:val="000000"/>
          <w:sz w:val="18"/>
          <w:szCs w:val="18"/>
        </w:rPr>
        <w:t>Weiss</w:t>
      </w:r>
      <w:r>
        <w:rPr>
          <w:rFonts w:ascii="Verdana" w:hAnsi="Verdana"/>
          <w:color w:val="000000"/>
          <w:sz w:val="18"/>
          <w:szCs w:val="18"/>
        </w:rPr>
        <w:t xml:space="preserve"> p. 158</w:t>
      </w:r>
    </w:p>
  </w:footnote>
  <w:footnote w:id="69">
    <w:p w:rsidR="005B143B" w:rsidRPr="005B143B" w:rsidRDefault="005B143B">
      <w:pPr>
        <w:pStyle w:val="FootnoteText"/>
        <w:rPr>
          <w:lang w:val="en-GB"/>
        </w:rPr>
      </w:pPr>
      <w:r>
        <w:rPr>
          <w:rStyle w:val="FootnoteReference"/>
        </w:rPr>
        <w:footnoteRef/>
      </w:r>
      <w:r>
        <w:t xml:space="preserve"> </w:t>
      </w:r>
      <w:r w:rsidR="00606625">
        <w:rPr>
          <w:rFonts w:ascii="Verdana" w:hAnsi="Verdana"/>
          <w:color w:val="000000"/>
          <w:sz w:val="18"/>
          <w:szCs w:val="18"/>
        </w:rPr>
        <w:t>ibid</w:t>
      </w:r>
      <w:r>
        <w:rPr>
          <w:rFonts w:ascii="Verdana" w:hAnsi="Verdana"/>
          <w:color w:val="000000"/>
          <w:sz w:val="18"/>
          <w:szCs w:val="18"/>
        </w:rPr>
        <w:t xml:space="preserve"> p. 159</w:t>
      </w:r>
    </w:p>
  </w:footnote>
  <w:footnote w:id="70">
    <w:p w:rsidR="00606625" w:rsidRPr="00606625" w:rsidRDefault="00606625">
      <w:pPr>
        <w:pStyle w:val="FootnoteText"/>
        <w:rPr>
          <w:lang w:val="en-GB"/>
        </w:rPr>
      </w:pPr>
      <w:r>
        <w:rPr>
          <w:rStyle w:val="FootnoteReference"/>
        </w:rPr>
        <w:footnoteRef/>
      </w:r>
      <w:r>
        <w:t xml:space="preserve"> </w:t>
      </w:r>
      <w:r>
        <w:rPr>
          <w:rFonts w:ascii="Verdana" w:hAnsi="Verdana"/>
          <w:color w:val="000000"/>
          <w:sz w:val="18"/>
          <w:szCs w:val="18"/>
        </w:rPr>
        <w:t>ibid p. 4</w:t>
      </w:r>
    </w:p>
  </w:footnote>
  <w:footnote w:id="71">
    <w:p w:rsidR="00606625" w:rsidRPr="00606625" w:rsidRDefault="00606625">
      <w:pPr>
        <w:pStyle w:val="FootnoteText"/>
        <w:rPr>
          <w:lang w:val="en-GB"/>
        </w:rPr>
      </w:pPr>
      <w:r>
        <w:rPr>
          <w:rStyle w:val="FootnoteReference"/>
        </w:rPr>
        <w:footnoteRef/>
      </w:r>
      <w:r>
        <w:t xml:space="preserve"> </w:t>
      </w:r>
      <w:r>
        <w:rPr>
          <w:rFonts w:ascii="Verdana" w:hAnsi="Verdana"/>
          <w:color w:val="000000"/>
          <w:sz w:val="18"/>
          <w:szCs w:val="18"/>
        </w:rPr>
        <w:t>ibid p.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741" w:rsidRPr="001F5741" w:rsidRDefault="001F5741">
    <w:pPr>
      <w:pStyle w:val="Header"/>
      <w:rPr>
        <w:rFonts w:ascii="Verdana" w:hAnsi="Verdana"/>
        <w:sz w:val="24"/>
        <w:szCs w:val="24"/>
      </w:rPr>
    </w:pPr>
    <w:r>
      <w:rPr>
        <w:rFonts w:ascii="Verdana" w:hAnsi="Verdana"/>
        <w:sz w:val="24"/>
        <w:szCs w:val="24"/>
      </w:rPr>
      <w:t>Sarah Connelly 1703421</w:t>
    </w:r>
    <w:r>
      <w:rPr>
        <w:rFonts w:ascii="Verdana" w:hAnsi="Verdana"/>
        <w:sz w:val="24"/>
        <w:szCs w:val="24"/>
      </w:rPr>
      <w:tab/>
    </w:r>
    <w:r>
      <w:rPr>
        <w:rFonts w:ascii="Verdana" w:hAnsi="Verdana"/>
        <w:sz w:val="24"/>
        <w:szCs w:val="24"/>
      </w:rPr>
      <w:tab/>
    </w:r>
    <w:r w:rsidR="0066528B">
      <w:rPr>
        <w:rFonts w:ascii="Verdana" w:hAnsi="Verdana"/>
        <w:sz w:val="24"/>
        <w:szCs w:val="24"/>
      </w:rPr>
      <w:t>The Book of Genesis</w:t>
    </w:r>
    <w:r>
      <w:rPr>
        <w:rFonts w:ascii="Verdana" w:hAnsi="Verdana"/>
        <w:sz w:val="24"/>
        <w:szCs w:val="24"/>
      </w:rPr>
      <w:t xml:space="preserve"> </w:t>
    </w:r>
    <w:r w:rsidR="0066528B">
      <w:rPr>
        <w:rFonts w:ascii="Verdana" w:hAnsi="Verdana"/>
        <w:sz w:val="24"/>
        <w:szCs w:val="24"/>
      </w:rPr>
      <w:t>TRDL7089</w:t>
    </w:r>
  </w:p>
  <w:p w:rsidR="001F5741" w:rsidRDefault="001F57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01136"/>
    <w:multiLevelType w:val="hybridMultilevel"/>
    <w:tmpl w:val="E6F00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926934"/>
    <w:multiLevelType w:val="hybridMultilevel"/>
    <w:tmpl w:val="8040A2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741"/>
    <w:rsid w:val="00013978"/>
    <w:rsid w:val="00045C11"/>
    <w:rsid w:val="00047A5C"/>
    <w:rsid w:val="00063A9C"/>
    <w:rsid w:val="0006731E"/>
    <w:rsid w:val="000A1AD0"/>
    <w:rsid w:val="000A3BD2"/>
    <w:rsid w:val="000B41F1"/>
    <w:rsid w:val="000C00A0"/>
    <w:rsid w:val="000C58D3"/>
    <w:rsid w:val="000C75D5"/>
    <w:rsid w:val="001104E1"/>
    <w:rsid w:val="001570A2"/>
    <w:rsid w:val="00162BE8"/>
    <w:rsid w:val="00175C36"/>
    <w:rsid w:val="001D4F89"/>
    <w:rsid w:val="001D64F5"/>
    <w:rsid w:val="001D7B12"/>
    <w:rsid w:val="001F5741"/>
    <w:rsid w:val="002234A6"/>
    <w:rsid w:val="002321EC"/>
    <w:rsid w:val="00265FE4"/>
    <w:rsid w:val="002B06C8"/>
    <w:rsid w:val="002C09DA"/>
    <w:rsid w:val="002D2303"/>
    <w:rsid w:val="002F0EA0"/>
    <w:rsid w:val="002F6B61"/>
    <w:rsid w:val="00306E4C"/>
    <w:rsid w:val="0030718C"/>
    <w:rsid w:val="00307F2A"/>
    <w:rsid w:val="0031644A"/>
    <w:rsid w:val="003376E5"/>
    <w:rsid w:val="003A58BF"/>
    <w:rsid w:val="003B2253"/>
    <w:rsid w:val="003B6DAA"/>
    <w:rsid w:val="003D22E6"/>
    <w:rsid w:val="003E7111"/>
    <w:rsid w:val="00405328"/>
    <w:rsid w:val="00412DC5"/>
    <w:rsid w:val="00491F09"/>
    <w:rsid w:val="0049201D"/>
    <w:rsid w:val="004A6AA6"/>
    <w:rsid w:val="004B2610"/>
    <w:rsid w:val="004D224F"/>
    <w:rsid w:val="004D6516"/>
    <w:rsid w:val="004F0ED9"/>
    <w:rsid w:val="004F633F"/>
    <w:rsid w:val="00524917"/>
    <w:rsid w:val="0053631F"/>
    <w:rsid w:val="005455E7"/>
    <w:rsid w:val="00571777"/>
    <w:rsid w:val="005B143B"/>
    <w:rsid w:val="005C3E1D"/>
    <w:rsid w:val="005E1684"/>
    <w:rsid w:val="005F445C"/>
    <w:rsid w:val="00606625"/>
    <w:rsid w:val="00615A3E"/>
    <w:rsid w:val="00624FE0"/>
    <w:rsid w:val="006267FF"/>
    <w:rsid w:val="00657AE8"/>
    <w:rsid w:val="0066528B"/>
    <w:rsid w:val="00680B25"/>
    <w:rsid w:val="006825B1"/>
    <w:rsid w:val="006A4239"/>
    <w:rsid w:val="006A4B16"/>
    <w:rsid w:val="006A6CDF"/>
    <w:rsid w:val="006C2746"/>
    <w:rsid w:val="00705E6E"/>
    <w:rsid w:val="0071687A"/>
    <w:rsid w:val="007214FF"/>
    <w:rsid w:val="00750F1E"/>
    <w:rsid w:val="00757F95"/>
    <w:rsid w:val="007808CC"/>
    <w:rsid w:val="008010D7"/>
    <w:rsid w:val="0082396F"/>
    <w:rsid w:val="00840DF2"/>
    <w:rsid w:val="0085322C"/>
    <w:rsid w:val="00874C0D"/>
    <w:rsid w:val="00885776"/>
    <w:rsid w:val="008B1EB3"/>
    <w:rsid w:val="008F2581"/>
    <w:rsid w:val="008F2894"/>
    <w:rsid w:val="00900C8D"/>
    <w:rsid w:val="00924024"/>
    <w:rsid w:val="00946E77"/>
    <w:rsid w:val="0094767A"/>
    <w:rsid w:val="00962D50"/>
    <w:rsid w:val="00984D88"/>
    <w:rsid w:val="00987901"/>
    <w:rsid w:val="0099721F"/>
    <w:rsid w:val="009A2173"/>
    <w:rsid w:val="009B390C"/>
    <w:rsid w:val="009C3DFE"/>
    <w:rsid w:val="009E1B04"/>
    <w:rsid w:val="009E5C04"/>
    <w:rsid w:val="009F1688"/>
    <w:rsid w:val="00A037A0"/>
    <w:rsid w:val="00A13799"/>
    <w:rsid w:val="00A41A80"/>
    <w:rsid w:val="00A5640E"/>
    <w:rsid w:val="00A847EF"/>
    <w:rsid w:val="00AB1E1A"/>
    <w:rsid w:val="00B02EBF"/>
    <w:rsid w:val="00B113F8"/>
    <w:rsid w:val="00B17E74"/>
    <w:rsid w:val="00B36946"/>
    <w:rsid w:val="00B36DA9"/>
    <w:rsid w:val="00B82F0E"/>
    <w:rsid w:val="00BD10DA"/>
    <w:rsid w:val="00C01EB3"/>
    <w:rsid w:val="00C33E7A"/>
    <w:rsid w:val="00C36752"/>
    <w:rsid w:val="00C734BA"/>
    <w:rsid w:val="00C81512"/>
    <w:rsid w:val="00C93BF0"/>
    <w:rsid w:val="00CA3AA0"/>
    <w:rsid w:val="00D119A5"/>
    <w:rsid w:val="00D22017"/>
    <w:rsid w:val="00D24476"/>
    <w:rsid w:val="00D37717"/>
    <w:rsid w:val="00D642A1"/>
    <w:rsid w:val="00D707B3"/>
    <w:rsid w:val="00DC7DCB"/>
    <w:rsid w:val="00DD1208"/>
    <w:rsid w:val="00DF7251"/>
    <w:rsid w:val="00E13C42"/>
    <w:rsid w:val="00E2112A"/>
    <w:rsid w:val="00E21DEA"/>
    <w:rsid w:val="00E36AFA"/>
    <w:rsid w:val="00E41CD6"/>
    <w:rsid w:val="00E54B29"/>
    <w:rsid w:val="00E71E81"/>
    <w:rsid w:val="00E72169"/>
    <w:rsid w:val="00E841BE"/>
    <w:rsid w:val="00E8556A"/>
    <w:rsid w:val="00E90A8D"/>
    <w:rsid w:val="00EB1A06"/>
    <w:rsid w:val="00EC7D2F"/>
    <w:rsid w:val="00F14E03"/>
    <w:rsid w:val="00FE0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BB6736"/>
  <w15:chartTrackingRefBased/>
  <w15:docId w15:val="{C1B32C27-A804-401B-98A2-A45A0530D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5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741"/>
  </w:style>
  <w:style w:type="paragraph" w:styleId="Footer">
    <w:name w:val="footer"/>
    <w:basedOn w:val="Normal"/>
    <w:link w:val="FooterChar"/>
    <w:uiPriority w:val="99"/>
    <w:unhideWhenUsed/>
    <w:rsid w:val="001F5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741"/>
  </w:style>
  <w:style w:type="paragraph" w:styleId="NoSpacing">
    <w:name w:val="No Spacing"/>
    <w:uiPriority w:val="1"/>
    <w:qFormat/>
    <w:rsid w:val="002F0EA0"/>
    <w:pPr>
      <w:spacing w:after="0" w:line="240" w:lineRule="auto"/>
    </w:pPr>
  </w:style>
  <w:style w:type="character" w:styleId="Emphasis">
    <w:name w:val="Emphasis"/>
    <w:basedOn w:val="DefaultParagraphFont"/>
    <w:uiPriority w:val="20"/>
    <w:qFormat/>
    <w:rsid w:val="00E41CD6"/>
    <w:rPr>
      <w:i/>
      <w:iCs/>
    </w:rPr>
  </w:style>
  <w:style w:type="character" w:styleId="Hyperlink">
    <w:name w:val="Hyperlink"/>
    <w:basedOn w:val="DefaultParagraphFont"/>
    <w:uiPriority w:val="99"/>
    <w:unhideWhenUsed/>
    <w:rsid w:val="00E41CD6"/>
    <w:rPr>
      <w:color w:val="0000FF"/>
      <w:u w:val="single"/>
    </w:rPr>
  </w:style>
  <w:style w:type="character" w:styleId="UnresolvedMention">
    <w:name w:val="Unresolved Mention"/>
    <w:basedOn w:val="DefaultParagraphFont"/>
    <w:uiPriority w:val="99"/>
    <w:semiHidden/>
    <w:unhideWhenUsed/>
    <w:rsid w:val="00F14E03"/>
    <w:rPr>
      <w:color w:val="605E5C"/>
      <w:shd w:val="clear" w:color="auto" w:fill="E1DFDD"/>
    </w:rPr>
  </w:style>
  <w:style w:type="paragraph" w:styleId="FootnoteText">
    <w:name w:val="footnote text"/>
    <w:basedOn w:val="Normal"/>
    <w:link w:val="FootnoteTextChar"/>
    <w:uiPriority w:val="99"/>
    <w:semiHidden/>
    <w:unhideWhenUsed/>
    <w:rsid w:val="009C3DFE"/>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9C3DFE"/>
    <w:rPr>
      <w:sz w:val="20"/>
      <w:szCs w:val="20"/>
      <w:lang w:val="en-US"/>
    </w:rPr>
  </w:style>
  <w:style w:type="character" w:styleId="FootnoteReference">
    <w:name w:val="footnote reference"/>
    <w:basedOn w:val="DefaultParagraphFont"/>
    <w:uiPriority w:val="99"/>
    <w:semiHidden/>
    <w:unhideWhenUsed/>
    <w:rsid w:val="009C3DFE"/>
    <w:rPr>
      <w:vertAlign w:val="superscript"/>
    </w:rPr>
  </w:style>
  <w:style w:type="character" w:styleId="FollowedHyperlink">
    <w:name w:val="FollowedHyperlink"/>
    <w:basedOn w:val="DefaultParagraphFont"/>
    <w:uiPriority w:val="99"/>
    <w:semiHidden/>
    <w:unhideWhenUsed/>
    <w:rsid w:val="002C09DA"/>
    <w:rPr>
      <w:color w:val="954F72" w:themeColor="followedHyperlink"/>
      <w:u w:val="single"/>
    </w:rPr>
  </w:style>
  <w:style w:type="paragraph" w:styleId="ListParagraph">
    <w:name w:val="List Paragraph"/>
    <w:basedOn w:val="Normal"/>
    <w:uiPriority w:val="34"/>
    <w:qFormat/>
    <w:rsid w:val="0066528B"/>
    <w:pPr>
      <w:spacing w:after="0" w:line="240" w:lineRule="auto"/>
      <w:ind w:left="720"/>
      <w:contextualSpacing/>
    </w:pPr>
    <w:rPr>
      <w:rFonts w:ascii="Times New Roman" w:eastAsia="Times New Roman" w:hAnsi="Times New Roman" w:cs="Times New Roman"/>
      <w:sz w:val="24"/>
      <w:szCs w:val="20"/>
      <w:lang w:eastAsia="en-GB"/>
    </w:rPr>
  </w:style>
  <w:style w:type="paragraph" w:styleId="BodyText">
    <w:name w:val="Body Text"/>
    <w:basedOn w:val="Normal"/>
    <w:link w:val="BodyTextChar"/>
    <w:uiPriority w:val="99"/>
    <w:unhideWhenUsed/>
    <w:rsid w:val="008F2894"/>
    <w:pPr>
      <w:spacing w:after="120"/>
    </w:pPr>
  </w:style>
  <w:style w:type="character" w:customStyle="1" w:styleId="BodyTextChar">
    <w:name w:val="Body Text Char"/>
    <w:basedOn w:val="DefaultParagraphFont"/>
    <w:link w:val="BodyText"/>
    <w:uiPriority w:val="99"/>
    <w:rsid w:val="008F2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7DB87-79F8-43F2-9D5C-A6136C963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1800</TotalTime>
  <Pages>8</Pages>
  <Words>2676</Words>
  <Characters>15258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Local</dc:creator>
  <cp:keywords/>
  <dc:description/>
  <cp:lastModifiedBy>Sarah Connelly</cp:lastModifiedBy>
  <cp:revision>48</cp:revision>
  <dcterms:created xsi:type="dcterms:W3CDTF">2020-07-27T12:44:00Z</dcterms:created>
  <dcterms:modified xsi:type="dcterms:W3CDTF">2020-08-21T18:36:00Z</dcterms:modified>
</cp:coreProperties>
</file>