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6D85D7E" w14:textId="77777777" w:rsidR="00871772" w:rsidRDefault="00871772" w:rsidP="00871772">
      <w:pPr>
        <w:jc w:val="center"/>
        <w:rPr>
          <w:sz w:val="34"/>
          <w:szCs w:val="34"/>
        </w:rPr>
      </w:pPr>
      <w:bookmarkStart w:id="0" w:name="__RefHeading___Toc2081_836813259"/>
      <w:bookmarkStart w:id="1" w:name="__RefHeading___Toc2083_836813259"/>
      <w:bookmarkEnd w:id="0"/>
      <w:bookmarkEnd w:id="1"/>
      <w:r>
        <w:rPr>
          <w:noProof/>
        </w:rPr>
        <w:drawing>
          <wp:inline distT="0" distB="0" distL="0" distR="0" wp14:anchorId="4E788890" wp14:editId="011BEE35">
            <wp:extent cx="2816225" cy="673100"/>
            <wp:effectExtent l="0" t="0" r="0" b="0"/>
            <wp:docPr id="55523478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16225" cy="673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58769CB" w14:textId="77777777" w:rsidR="00871772" w:rsidRPr="009C063A" w:rsidRDefault="00871772" w:rsidP="00871772">
      <w:pPr>
        <w:spacing w:line="240" w:lineRule="auto"/>
        <w:jc w:val="center"/>
        <w:rPr>
          <w:sz w:val="38"/>
          <w:szCs w:val="38"/>
        </w:rPr>
      </w:pPr>
      <w:r w:rsidRPr="009C063A">
        <w:rPr>
          <w:sz w:val="38"/>
          <w:szCs w:val="38"/>
        </w:rPr>
        <w:t>Master of Business Administration</w:t>
      </w:r>
    </w:p>
    <w:p w14:paraId="36F23B02" w14:textId="77777777" w:rsidR="00871772" w:rsidRDefault="00871772" w:rsidP="00871772">
      <w:pPr>
        <w:jc w:val="center"/>
        <w:rPr>
          <w:sz w:val="28"/>
          <w:szCs w:val="28"/>
        </w:rPr>
      </w:pPr>
      <w:r>
        <w:rPr>
          <w:sz w:val="32"/>
          <w:szCs w:val="32"/>
        </w:rPr>
        <w:t>In International Business</w:t>
      </w:r>
    </w:p>
    <w:p w14:paraId="05CE804A" w14:textId="77777777" w:rsidR="00871772" w:rsidRDefault="00871772" w:rsidP="00871772">
      <w:pPr>
        <w:rPr>
          <w:sz w:val="28"/>
          <w:szCs w:val="28"/>
        </w:rPr>
      </w:pPr>
    </w:p>
    <w:p w14:paraId="5E1C5213" w14:textId="77777777" w:rsidR="00871772" w:rsidRPr="004E381C" w:rsidRDefault="00871772" w:rsidP="00871772">
      <w:pPr>
        <w:rPr>
          <w:sz w:val="28"/>
          <w:szCs w:val="28"/>
          <w:lang w:val="en-IN"/>
        </w:rPr>
      </w:pPr>
      <w:r w:rsidRPr="00043B72">
        <w:rPr>
          <w:b/>
          <w:bCs/>
          <w:sz w:val="28"/>
          <w:szCs w:val="28"/>
        </w:rPr>
        <w:t>Module name:</w:t>
      </w:r>
      <w:r>
        <w:rPr>
          <w:b/>
          <w:bCs/>
          <w:sz w:val="28"/>
          <w:szCs w:val="28"/>
        </w:rPr>
        <w:t xml:space="preserve"> </w:t>
      </w:r>
      <w:r w:rsidRPr="004E381C">
        <w:rPr>
          <w:sz w:val="28"/>
          <w:szCs w:val="28"/>
          <w:lang w:val="en-IN"/>
        </w:rPr>
        <w:t>Marketing Management (LCMB7024_LON)</w:t>
      </w:r>
    </w:p>
    <w:p w14:paraId="7F858FC5" w14:textId="77777777" w:rsidR="00871772" w:rsidRPr="004E381C" w:rsidRDefault="00871772" w:rsidP="00871772">
      <w:pPr>
        <w:rPr>
          <w:b/>
          <w:bCs/>
          <w:sz w:val="28"/>
          <w:szCs w:val="28"/>
          <w:lang w:val="en-IN"/>
        </w:rPr>
      </w:pPr>
      <w:r w:rsidRPr="00043B72">
        <w:rPr>
          <w:b/>
          <w:bCs/>
          <w:sz w:val="28"/>
          <w:szCs w:val="28"/>
        </w:rPr>
        <w:t>Module code</w:t>
      </w:r>
      <w:r w:rsidRPr="00043B72">
        <w:rPr>
          <w:sz w:val="28"/>
          <w:szCs w:val="28"/>
        </w:rPr>
        <w:t>:</w:t>
      </w:r>
      <w:r w:rsidRPr="004E381C">
        <w:rPr>
          <w:rFonts w:ascii="Segoe UI" w:eastAsia="Times New Roman" w:hAnsi="Segoe UI" w:cs="Segoe UI"/>
          <w:b/>
          <w:bCs/>
          <w:color w:val="FFFFFF"/>
          <w:kern w:val="36"/>
          <w:sz w:val="48"/>
          <w:szCs w:val="48"/>
          <w:lang w:val="en-IN" w:eastAsia="en-IN"/>
        </w:rPr>
        <w:t xml:space="preserve"> </w:t>
      </w:r>
      <w:r w:rsidRPr="004E381C">
        <w:rPr>
          <w:sz w:val="28"/>
          <w:szCs w:val="28"/>
          <w:lang w:val="en-IN"/>
        </w:rPr>
        <w:t>(LCMB7024_LON)</w:t>
      </w:r>
    </w:p>
    <w:p w14:paraId="41E975D9" w14:textId="77777777" w:rsidR="00871772" w:rsidRPr="00043B72" w:rsidRDefault="00871772" w:rsidP="00871772">
      <w:pPr>
        <w:rPr>
          <w:sz w:val="28"/>
          <w:szCs w:val="28"/>
        </w:rPr>
      </w:pPr>
      <w:r w:rsidRPr="00043B72">
        <w:rPr>
          <w:b/>
          <w:bCs/>
          <w:sz w:val="28"/>
          <w:szCs w:val="28"/>
        </w:rPr>
        <w:t>Lecturer name</w:t>
      </w:r>
      <w:r w:rsidRPr="00043B72">
        <w:rPr>
          <w:sz w:val="28"/>
          <w:szCs w:val="28"/>
        </w:rPr>
        <w:t xml:space="preserve">: </w:t>
      </w:r>
      <w:r w:rsidRPr="004E381C">
        <w:rPr>
          <w:sz w:val="28"/>
          <w:szCs w:val="28"/>
        </w:rPr>
        <w:t>Dr. Laila Maazouz</w:t>
      </w:r>
    </w:p>
    <w:p w14:paraId="345AD448" w14:textId="77777777" w:rsidR="00871772" w:rsidRPr="00043B72" w:rsidRDefault="00871772" w:rsidP="00871772">
      <w:pPr>
        <w:rPr>
          <w:sz w:val="28"/>
          <w:szCs w:val="28"/>
        </w:rPr>
      </w:pPr>
    </w:p>
    <w:p w14:paraId="1B8EAED1" w14:textId="77777777" w:rsidR="00871772" w:rsidRPr="00043B72" w:rsidRDefault="00871772" w:rsidP="00871772">
      <w:pPr>
        <w:rPr>
          <w:sz w:val="28"/>
          <w:szCs w:val="28"/>
        </w:rPr>
      </w:pPr>
      <w:r w:rsidRPr="00043B72">
        <w:rPr>
          <w:b/>
          <w:bCs/>
          <w:sz w:val="28"/>
          <w:szCs w:val="28"/>
        </w:rPr>
        <w:t>Student name</w:t>
      </w:r>
      <w:r w:rsidRPr="00043B72">
        <w:rPr>
          <w:sz w:val="28"/>
          <w:szCs w:val="28"/>
        </w:rPr>
        <w:t>:</w:t>
      </w:r>
      <w:r>
        <w:rPr>
          <w:sz w:val="28"/>
          <w:szCs w:val="28"/>
        </w:rPr>
        <w:t xml:space="preserve"> Priyanshi Manoj Parikh</w:t>
      </w:r>
    </w:p>
    <w:p w14:paraId="4BD5478A" w14:textId="77777777" w:rsidR="00871772" w:rsidRPr="00043B72" w:rsidRDefault="00871772" w:rsidP="00871772">
      <w:pPr>
        <w:rPr>
          <w:sz w:val="28"/>
          <w:szCs w:val="28"/>
        </w:rPr>
      </w:pPr>
      <w:r w:rsidRPr="00043B72">
        <w:rPr>
          <w:b/>
          <w:bCs/>
          <w:sz w:val="28"/>
          <w:szCs w:val="28"/>
        </w:rPr>
        <w:t>Student ID</w:t>
      </w:r>
      <w:r w:rsidRPr="00043B72">
        <w:rPr>
          <w:sz w:val="28"/>
          <w:szCs w:val="28"/>
        </w:rPr>
        <w:t>:</w:t>
      </w:r>
      <w:r>
        <w:rPr>
          <w:sz w:val="28"/>
          <w:szCs w:val="28"/>
        </w:rPr>
        <w:t xml:space="preserve"> 2543469</w:t>
      </w:r>
    </w:p>
    <w:p w14:paraId="50265B23" w14:textId="77777777" w:rsidR="00871772" w:rsidRPr="00043B72" w:rsidRDefault="00871772" w:rsidP="00871772">
      <w:pPr>
        <w:rPr>
          <w:sz w:val="28"/>
          <w:szCs w:val="28"/>
        </w:rPr>
      </w:pPr>
    </w:p>
    <w:p w14:paraId="6A833E08" w14:textId="77777777" w:rsidR="00871772" w:rsidRPr="00043B72" w:rsidRDefault="00871772" w:rsidP="00871772">
      <w:pPr>
        <w:rPr>
          <w:sz w:val="28"/>
          <w:szCs w:val="28"/>
        </w:rPr>
      </w:pPr>
      <w:r w:rsidRPr="00043B72">
        <w:rPr>
          <w:b/>
          <w:bCs/>
          <w:sz w:val="28"/>
          <w:szCs w:val="28"/>
        </w:rPr>
        <w:t>Word count</w:t>
      </w:r>
      <w:r w:rsidRPr="00043B72">
        <w:rPr>
          <w:sz w:val="28"/>
          <w:szCs w:val="28"/>
        </w:rPr>
        <w:t>:</w:t>
      </w:r>
    </w:p>
    <w:p w14:paraId="47EF9D76" w14:textId="77777777" w:rsidR="00871772" w:rsidRPr="00043B72" w:rsidRDefault="00871772" w:rsidP="00871772">
      <w:pPr>
        <w:rPr>
          <w:sz w:val="28"/>
          <w:szCs w:val="28"/>
        </w:rPr>
      </w:pPr>
      <w:r w:rsidRPr="00043B72">
        <w:rPr>
          <w:b/>
          <w:bCs/>
          <w:sz w:val="28"/>
          <w:szCs w:val="28"/>
        </w:rPr>
        <w:t>Submission date</w:t>
      </w:r>
      <w:r w:rsidRPr="00043B72">
        <w:rPr>
          <w:sz w:val="28"/>
          <w:szCs w:val="28"/>
        </w:rPr>
        <w:t>:</w:t>
      </w:r>
      <w:r>
        <w:rPr>
          <w:sz w:val="28"/>
          <w:szCs w:val="28"/>
        </w:rPr>
        <w:t xml:space="preserve"> 24 July 2026</w:t>
      </w:r>
    </w:p>
    <w:p w14:paraId="0B05B221" w14:textId="77777777" w:rsidR="00871772" w:rsidRDefault="00871772">
      <w:pPr>
        <w:pStyle w:val="Heading1"/>
      </w:pPr>
    </w:p>
    <w:p w14:paraId="3B9A3ADD" w14:textId="77777777" w:rsidR="00871772" w:rsidRDefault="00871772">
      <w:pPr>
        <w:pStyle w:val="Heading1"/>
      </w:pPr>
    </w:p>
    <w:p w14:paraId="65D2D5B9" w14:textId="77777777" w:rsidR="00871772" w:rsidRDefault="00871772">
      <w:pPr>
        <w:pStyle w:val="Heading1"/>
      </w:pPr>
    </w:p>
    <w:p w14:paraId="01E1A754" w14:textId="77777777" w:rsidR="00871772" w:rsidRDefault="00871772" w:rsidP="00871772"/>
    <w:p w14:paraId="5CA768DD" w14:textId="77777777" w:rsidR="00871772" w:rsidRDefault="00871772" w:rsidP="00871772"/>
    <w:p w14:paraId="4034561D" w14:textId="77777777" w:rsidR="00871772" w:rsidRDefault="00871772" w:rsidP="00871772"/>
    <w:p w14:paraId="3122E9AA" w14:textId="77777777" w:rsidR="00871772" w:rsidRPr="00871772" w:rsidRDefault="00871772" w:rsidP="00871772"/>
    <w:p w14:paraId="1D703140" w14:textId="7DD8160C" w:rsidR="000420F3" w:rsidRDefault="00000000">
      <w:pPr>
        <w:pStyle w:val="Heading1"/>
      </w:pPr>
      <w:r>
        <w:lastRenderedPageBreak/>
        <w:t>Contents</w:t>
      </w:r>
    </w:p>
    <w:sdt>
      <w:sdtPr>
        <w:id w:val="1987739940"/>
        <w:docPartObj>
          <w:docPartGallery w:val="Table of Contents"/>
          <w:docPartUnique/>
        </w:docPartObj>
      </w:sdtPr>
      <w:sdtContent>
        <w:p w14:paraId="741E2C2E" w14:textId="77777777" w:rsidR="000420F3" w:rsidRDefault="00000000">
          <w:pPr>
            <w:pStyle w:val="TOC1"/>
            <w:tabs>
              <w:tab w:val="clear" w:pos="9792"/>
              <w:tab w:val="right" w:leader="dot" w:pos="9791"/>
            </w:tabs>
          </w:pPr>
          <w:r>
            <w:fldChar w:fldCharType="begin"/>
          </w:r>
          <w:r>
            <w:rPr>
              <w:rStyle w:val="IndexLink"/>
              <w:webHidden/>
            </w:rPr>
            <w:instrText xml:space="preserve"> TOC \z \o "1-3" \u \h</w:instrText>
          </w:r>
          <w:r>
            <w:rPr>
              <w:rStyle w:val="IndexLink"/>
            </w:rPr>
            <w:fldChar w:fldCharType="separate"/>
          </w:r>
          <w:hyperlink w:anchor="__RefHeading___Toc2079_836813259" w:tooltip="Important use note">
            <w:r>
              <w:rPr>
                <w:rStyle w:val="IndexLink"/>
                <w:webHidden/>
              </w:rPr>
              <w:t>Important use note</w:t>
            </w:r>
            <w:r>
              <w:rPr>
                <w:rStyle w:val="IndexLink"/>
                <w:webHidden/>
              </w:rPr>
              <w:tab/>
              <w:t>2</w:t>
            </w:r>
          </w:hyperlink>
        </w:p>
        <w:p w14:paraId="4491C8F0" w14:textId="77777777" w:rsidR="000420F3" w:rsidRDefault="00000000">
          <w:pPr>
            <w:pStyle w:val="TOC1"/>
            <w:tabs>
              <w:tab w:val="clear" w:pos="9792"/>
              <w:tab w:val="right" w:leader="dot" w:pos="9791"/>
            </w:tabs>
          </w:pPr>
          <w:hyperlink w:anchor="__RefHeading___Toc2081_836813259" w:tooltip="Assignment requirements at a glance">
            <w:r>
              <w:rPr>
                <w:rStyle w:val="IndexLink"/>
                <w:webHidden/>
              </w:rPr>
              <w:t>Assignment requirements at a glance</w:t>
            </w:r>
            <w:r>
              <w:rPr>
                <w:rStyle w:val="IndexLink"/>
                <w:webHidden/>
              </w:rPr>
              <w:tab/>
              <w:t>2</w:t>
            </w:r>
          </w:hyperlink>
        </w:p>
        <w:p w14:paraId="27D66C24" w14:textId="77777777" w:rsidR="000420F3" w:rsidRDefault="00000000">
          <w:pPr>
            <w:pStyle w:val="TOC1"/>
            <w:tabs>
              <w:tab w:val="clear" w:pos="9792"/>
              <w:tab w:val="right" w:leader="dot" w:pos="9791"/>
            </w:tabs>
          </w:pPr>
          <w:hyperlink w:anchor="__RefHeading___Toc2083_836813259" w:tooltip="Contents">
            <w:r>
              <w:rPr>
                <w:rStyle w:val="IndexLink"/>
                <w:webHidden/>
              </w:rPr>
              <w:t>Contents</w:t>
            </w:r>
            <w:r>
              <w:rPr>
                <w:rStyle w:val="IndexLink"/>
                <w:webHidden/>
              </w:rPr>
              <w:tab/>
              <w:t>2</w:t>
            </w:r>
          </w:hyperlink>
        </w:p>
        <w:p w14:paraId="67FF6975" w14:textId="77777777" w:rsidR="000420F3" w:rsidRDefault="00000000">
          <w:pPr>
            <w:pStyle w:val="TOC1"/>
            <w:tabs>
              <w:tab w:val="clear" w:pos="9792"/>
              <w:tab w:val="right" w:leader="dot" w:pos="9791"/>
            </w:tabs>
          </w:pPr>
          <w:hyperlink w:anchor="__RefHeading___Toc2085_836813259" w:tooltip="1. Tata Steel context for strategic renewal">
            <w:r>
              <w:rPr>
                <w:rStyle w:val="IndexLink"/>
                <w:webHidden/>
              </w:rPr>
              <w:t>1. Tata Steel context for strategic renewal</w:t>
            </w:r>
            <w:r>
              <w:rPr>
                <w:rStyle w:val="IndexLink"/>
                <w:webHidden/>
              </w:rPr>
              <w:tab/>
              <w:t>4</w:t>
            </w:r>
          </w:hyperlink>
        </w:p>
        <w:p w14:paraId="4C7D992D" w14:textId="77777777" w:rsidR="000420F3" w:rsidRDefault="00000000">
          <w:pPr>
            <w:pStyle w:val="TOC1"/>
            <w:tabs>
              <w:tab w:val="clear" w:pos="9792"/>
              <w:tab w:val="right" w:leader="dot" w:pos="9791"/>
            </w:tabs>
          </w:pPr>
          <w:hyperlink w:anchor="__RefHeading___Toc2087_836813259" w:tooltip="2. Task 1 research and planning notes: Socialisation, identity and business activism">
            <w:r>
              <w:rPr>
                <w:rStyle w:val="IndexLink"/>
                <w:webHidden/>
              </w:rPr>
              <w:t>2. Task 1 research and planning notes: Socialisation, identity and business activism</w:t>
            </w:r>
            <w:r>
              <w:rPr>
                <w:rStyle w:val="IndexLink"/>
                <w:webHidden/>
              </w:rPr>
              <w:tab/>
              <w:t>5</w:t>
            </w:r>
          </w:hyperlink>
        </w:p>
        <w:p w14:paraId="096A2DDD" w14:textId="77777777" w:rsidR="000420F3" w:rsidRDefault="00000000">
          <w:pPr>
            <w:pStyle w:val="TOC2"/>
            <w:tabs>
              <w:tab w:val="clear" w:pos="9509"/>
              <w:tab w:val="right" w:leader="dot" w:pos="9791"/>
            </w:tabs>
          </w:pPr>
          <w:hyperlink w:anchor="__RefHeading___Toc2089_836813259" w:tooltip="2.1 Purpose of the section">
            <w:r>
              <w:rPr>
                <w:rStyle w:val="IndexLink"/>
                <w:webHidden/>
              </w:rPr>
              <w:t>2.1 Purpose of the section</w:t>
            </w:r>
            <w:r>
              <w:rPr>
                <w:rStyle w:val="IndexLink"/>
                <w:webHidden/>
              </w:rPr>
              <w:tab/>
              <w:t>5</w:t>
            </w:r>
          </w:hyperlink>
        </w:p>
        <w:p w14:paraId="496E3AF2" w14:textId="77777777" w:rsidR="000420F3" w:rsidRDefault="00000000">
          <w:pPr>
            <w:pStyle w:val="TOC2"/>
            <w:tabs>
              <w:tab w:val="clear" w:pos="9509"/>
              <w:tab w:val="right" w:leader="dot" w:pos="9791"/>
            </w:tabs>
          </w:pPr>
          <w:hyperlink w:anchor="__RefHeading___Toc2091_836813259" w:tooltip="2.2 Traditional onboarding versus strategic organisational socialisation">
            <w:r>
              <w:rPr>
                <w:rStyle w:val="IndexLink"/>
                <w:webHidden/>
              </w:rPr>
              <w:t>2.2 Traditional onboarding versus strategic organisational socialisation</w:t>
            </w:r>
            <w:r>
              <w:rPr>
                <w:rStyle w:val="IndexLink"/>
                <w:webHidden/>
              </w:rPr>
              <w:tab/>
              <w:t>5</w:t>
            </w:r>
          </w:hyperlink>
        </w:p>
        <w:p w14:paraId="24D83094" w14:textId="77777777" w:rsidR="000420F3" w:rsidRDefault="00000000">
          <w:pPr>
            <w:pStyle w:val="TOC2"/>
            <w:tabs>
              <w:tab w:val="clear" w:pos="9509"/>
              <w:tab w:val="right" w:leader="dot" w:pos="9791"/>
            </w:tabs>
          </w:pPr>
          <w:hyperlink w:anchor="__RefHeading___Toc2093_836813259" w:tooltip="2.3 Theory notes to apply">
            <w:r>
              <w:rPr>
                <w:rStyle w:val="IndexLink"/>
                <w:webHidden/>
              </w:rPr>
              <w:t>2.3 Theory notes to apply</w:t>
            </w:r>
            <w:r>
              <w:rPr>
                <w:rStyle w:val="IndexLink"/>
                <w:webHidden/>
              </w:rPr>
              <w:tab/>
              <w:t>5</w:t>
            </w:r>
          </w:hyperlink>
        </w:p>
        <w:p w14:paraId="14CC6F5E" w14:textId="77777777" w:rsidR="000420F3" w:rsidRDefault="00000000">
          <w:pPr>
            <w:pStyle w:val="TOC3"/>
            <w:tabs>
              <w:tab w:val="clear" w:pos="9225"/>
              <w:tab w:val="right" w:leader="dot" w:pos="9791"/>
            </w:tabs>
          </w:pPr>
          <w:hyperlink w:anchor="__RefHeading___Toc2095_836813259" w:tooltip="Van Maanen and Schein’s socialisation tactics">
            <w:r>
              <w:rPr>
                <w:rStyle w:val="IndexLink"/>
                <w:webHidden/>
              </w:rPr>
              <w:t>Van Maanen and Schein’s socialisation tactics</w:t>
            </w:r>
            <w:r>
              <w:rPr>
                <w:rStyle w:val="IndexLink"/>
                <w:webHidden/>
              </w:rPr>
              <w:tab/>
              <w:t>5</w:t>
            </w:r>
          </w:hyperlink>
        </w:p>
        <w:p w14:paraId="01D91536" w14:textId="77777777" w:rsidR="000420F3" w:rsidRDefault="00000000">
          <w:pPr>
            <w:pStyle w:val="TOC3"/>
            <w:tabs>
              <w:tab w:val="clear" w:pos="9225"/>
              <w:tab w:val="right" w:leader="dot" w:pos="9791"/>
            </w:tabs>
          </w:pPr>
          <w:hyperlink w:anchor="__RefHeading___Toc2097_836813259" w:tooltip="Psychological contract theory">
            <w:r>
              <w:rPr>
                <w:rStyle w:val="IndexLink"/>
                <w:webHidden/>
              </w:rPr>
              <w:t>Psychological contract theory</w:t>
            </w:r>
            <w:r>
              <w:rPr>
                <w:rStyle w:val="IndexLink"/>
                <w:webHidden/>
              </w:rPr>
              <w:tab/>
              <w:t>6</w:t>
            </w:r>
          </w:hyperlink>
        </w:p>
        <w:p w14:paraId="000F649B" w14:textId="77777777" w:rsidR="000420F3" w:rsidRDefault="00000000">
          <w:pPr>
            <w:pStyle w:val="TOC3"/>
            <w:tabs>
              <w:tab w:val="clear" w:pos="9225"/>
              <w:tab w:val="right" w:leader="dot" w:pos="9791"/>
            </w:tabs>
          </w:pPr>
          <w:hyperlink w:anchor="__RefHeading___Toc2099_836813259" w:tooltip="Identity construction and organisational identification">
            <w:r>
              <w:rPr>
                <w:rStyle w:val="IndexLink"/>
                <w:webHidden/>
              </w:rPr>
              <w:t>Identity construction and organisational identification</w:t>
            </w:r>
            <w:r>
              <w:rPr>
                <w:rStyle w:val="IndexLink"/>
                <w:webHidden/>
              </w:rPr>
              <w:tab/>
              <w:t>6</w:t>
            </w:r>
          </w:hyperlink>
        </w:p>
        <w:p w14:paraId="69933353" w14:textId="77777777" w:rsidR="000420F3" w:rsidRDefault="00000000">
          <w:pPr>
            <w:pStyle w:val="TOC2"/>
            <w:tabs>
              <w:tab w:val="clear" w:pos="9509"/>
              <w:tab w:val="right" w:leader="dot" w:pos="9791"/>
            </w:tabs>
          </w:pPr>
          <w:hyperlink w:anchor="__RefHeading___Toc2101_836813259" w:tooltip="2.4 Proposed structured socialisation framework">
            <w:r>
              <w:rPr>
                <w:rStyle w:val="IndexLink"/>
                <w:webHidden/>
              </w:rPr>
              <w:t>2.4 Proposed structured socialisation framework</w:t>
            </w:r>
            <w:r>
              <w:rPr>
                <w:rStyle w:val="IndexLink"/>
                <w:webHidden/>
              </w:rPr>
              <w:tab/>
              <w:t>7</w:t>
            </w:r>
          </w:hyperlink>
        </w:p>
        <w:p w14:paraId="4F24DDA6" w14:textId="77777777" w:rsidR="000420F3" w:rsidRDefault="00000000">
          <w:pPr>
            <w:pStyle w:val="TOC2"/>
            <w:tabs>
              <w:tab w:val="clear" w:pos="9509"/>
              <w:tab w:val="right" w:leader="dot" w:pos="9791"/>
            </w:tabs>
          </w:pPr>
          <w:hyperlink w:anchor="__RefHeading___Toc2103_836813259" w:tooltip="2.5 Mechanisms for identification, ethical professionalism and business activism">
            <w:r>
              <w:rPr>
                <w:rStyle w:val="IndexLink"/>
                <w:webHidden/>
              </w:rPr>
              <w:t>2.5 Mechanisms for identification, ethical professionalism and business activism</w:t>
            </w:r>
            <w:r>
              <w:rPr>
                <w:rStyle w:val="IndexLink"/>
                <w:webHidden/>
              </w:rPr>
              <w:tab/>
              <w:t>7</w:t>
            </w:r>
          </w:hyperlink>
        </w:p>
        <w:p w14:paraId="545804CB" w14:textId="77777777" w:rsidR="000420F3" w:rsidRDefault="00000000">
          <w:pPr>
            <w:pStyle w:val="TOC3"/>
            <w:tabs>
              <w:tab w:val="clear" w:pos="9225"/>
              <w:tab w:val="right" w:leader="dot" w:pos="9791"/>
            </w:tabs>
          </w:pPr>
          <w:hyperlink w:anchor="__RefHeading___Toc2105_836813259" w:tooltip="Organisational identification">
            <w:r>
              <w:rPr>
                <w:rStyle w:val="IndexLink"/>
                <w:webHidden/>
              </w:rPr>
              <w:t>Organisational identification</w:t>
            </w:r>
            <w:r>
              <w:rPr>
                <w:rStyle w:val="IndexLink"/>
                <w:webHidden/>
              </w:rPr>
              <w:tab/>
              <w:t>7</w:t>
            </w:r>
          </w:hyperlink>
        </w:p>
        <w:p w14:paraId="4FBCB144" w14:textId="77777777" w:rsidR="000420F3" w:rsidRDefault="00000000">
          <w:pPr>
            <w:pStyle w:val="TOC3"/>
            <w:tabs>
              <w:tab w:val="clear" w:pos="9225"/>
              <w:tab w:val="right" w:leader="dot" w:pos="9791"/>
            </w:tabs>
          </w:pPr>
          <w:hyperlink w:anchor="__RefHeading___Toc2107_836813259" w:tooltip="Ethical professionalism">
            <w:r>
              <w:rPr>
                <w:rStyle w:val="IndexLink"/>
                <w:webHidden/>
              </w:rPr>
              <w:t>Ethical professionalism</w:t>
            </w:r>
            <w:r>
              <w:rPr>
                <w:rStyle w:val="IndexLink"/>
                <w:webHidden/>
              </w:rPr>
              <w:tab/>
              <w:t>7</w:t>
            </w:r>
          </w:hyperlink>
        </w:p>
        <w:p w14:paraId="14E96F86" w14:textId="77777777" w:rsidR="000420F3" w:rsidRDefault="00000000">
          <w:pPr>
            <w:pStyle w:val="TOC3"/>
            <w:tabs>
              <w:tab w:val="clear" w:pos="9225"/>
              <w:tab w:val="right" w:leader="dot" w:pos="9791"/>
            </w:tabs>
          </w:pPr>
          <w:hyperlink w:anchor="__RefHeading___Toc2109_836813259" w:tooltip="Business activist mindset">
            <w:r>
              <w:rPr>
                <w:rStyle w:val="IndexLink"/>
                <w:webHidden/>
              </w:rPr>
              <w:t>Business activist mindset</w:t>
            </w:r>
            <w:r>
              <w:rPr>
                <w:rStyle w:val="IndexLink"/>
                <w:webHidden/>
              </w:rPr>
              <w:tab/>
              <w:t>7</w:t>
            </w:r>
          </w:hyperlink>
        </w:p>
        <w:p w14:paraId="5A6817C8" w14:textId="77777777" w:rsidR="000420F3" w:rsidRDefault="00000000">
          <w:pPr>
            <w:pStyle w:val="TOC2"/>
            <w:tabs>
              <w:tab w:val="clear" w:pos="9509"/>
              <w:tab w:val="right" w:leader="dot" w:pos="9791"/>
            </w:tabs>
          </w:pPr>
          <w:hyperlink w:anchor="__RefHeading___Toc2111_836813259" w:tooltip="2.6 Risks and controls">
            <w:r>
              <w:rPr>
                <w:rStyle w:val="IndexLink"/>
                <w:webHidden/>
              </w:rPr>
              <w:t>2.6 Risks and controls</w:t>
            </w:r>
            <w:r>
              <w:rPr>
                <w:rStyle w:val="IndexLink"/>
                <w:webHidden/>
              </w:rPr>
              <w:tab/>
              <w:t>8</w:t>
            </w:r>
          </w:hyperlink>
        </w:p>
        <w:p w14:paraId="66654505" w14:textId="77777777" w:rsidR="000420F3" w:rsidRDefault="00000000">
          <w:pPr>
            <w:pStyle w:val="TOC2"/>
            <w:tabs>
              <w:tab w:val="clear" w:pos="9509"/>
              <w:tab w:val="right" w:leader="dot" w:pos="9791"/>
            </w:tabs>
          </w:pPr>
          <w:hyperlink w:anchor="__RefHeading___Toc2113_836813259" w:tooltip="2.7 Measures of success">
            <w:r>
              <w:rPr>
                <w:rStyle w:val="IndexLink"/>
                <w:webHidden/>
              </w:rPr>
              <w:t>2.7 Measures of success</w:t>
            </w:r>
            <w:r>
              <w:rPr>
                <w:rStyle w:val="IndexLink"/>
                <w:webHidden/>
              </w:rPr>
              <w:tab/>
              <w:t>8</w:t>
            </w:r>
          </w:hyperlink>
        </w:p>
        <w:p w14:paraId="5615CA33" w14:textId="77777777" w:rsidR="000420F3" w:rsidRDefault="00000000">
          <w:pPr>
            <w:pStyle w:val="TOC1"/>
            <w:tabs>
              <w:tab w:val="clear" w:pos="9792"/>
              <w:tab w:val="right" w:leader="dot" w:pos="9791"/>
            </w:tabs>
          </w:pPr>
          <w:hyperlink w:anchor="__RefHeading___Toc2115_836813259" w:tooltip="3. Task 2 research and planning notes: Innovative job design">
            <w:r>
              <w:rPr>
                <w:rStyle w:val="IndexLink"/>
                <w:webHidden/>
              </w:rPr>
              <w:t>3. Task 2 research and planning notes: Innovative job design</w:t>
            </w:r>
            <w:r>
              <w:rPr>
                <w:rStyle w:val="IndexLink"/>
                <w:webHidden/>
              </w:rPr>
              <w:tab/>
              <w:t>8</w:t>
            </w:r>
          </w:hyperlink>
        </w:p>
        <w:p w14:paraId="1CFAEA42" w14:textId="77777777" w:rsidR="000420F3" w:rsidRDefault="00000000">
          <w:pPr>
            <w:pStyle w:val="TOC2"/>
            <w:tabs>
              <w:tab w:val="clear" w:pos="9509"/>
              <w:tab w:val="right" w:leader="dot" w:pos="9791"/>
            </w:tabs>
          </w:pPr>
          <w:hyperlink w:anchor="__RefHeading___Toc2117_836813259" w:tooltip="3.1 Proposed overall strategy">
            <w:r>
              <w:rPr>
                <w:rStyle w:val="IndexLink"/>
                <w:webHidden/>
              </w:rPr>
              <w:t>3.1 Proposed overall strategy</w:t>
            </w:r>
            <w:r>
              <w:rPr>
                <w:rStyle w:val="IndexLink"/>
                <w:webHidden/>
              </w:rPr>
              <w:tab/>
              <w:t>8</w:t>
            </w:r>
          </w:hyperlink>
        </w:p>
        <w:p w14:paraId="60F9B6BF" w14:textId="77777777" w:rsidR="000420F3" w:rsidRDefault="00000000">
          <w:pPr>
            <w:pStyle w:val="TOC2"/>
            <w:tabs>
              <w:tab w:val="clear" w:pos="9509"/>
              <w:tab w:val="right" w:leader="dot" w:pos="9791"/>
            </w:tabs>
          </w:pPr>
          <w:hyperlink w:anchor="__RefHeading___Toc2119_836813259" w:tooltip="3.2 Applying the Job Characteristics Model">
            <w:r>
              <w:rPr>
                <w:rStyle w:val="IndexLink"/>
                <w:webHidden/>
              </w:rPr>
              <w:t>3.2 Applying the Job Characteristics Model</w:t>
            </w:r>
            <w:r>
              <w:rPr>
                <w:rStyle w:val="IndexLink"/>
                <w:webHidden/>
              </w:rPr>
              <w:tab/>
              <w:t>9</w:t>
            </w:r>
          </w:hyperlink>
        </w:p>
        <w:p w14:paraId="66E4B63E" w14:textId="77777777" w:rsidR="000420F3" w:rsidRDefault="00000000">
          <w:pPr>
            <w:pStyle w:val="TOC2"/>
            <w:tabs>
              <w:tab w:val="clear" w:pos="9509"/>
              <w:tab w:val="right" w:leader="dot" w:pos="9791"/>
            </w:tabs>
          </w:pPr>
          <w:hyperlink w:anchor="__RefHeading___Toc2121_836813259" w:tooltip="3.3 Controlled job crafting">
            <w:r>
              <w:rPr>
                <w:rStyle w:val="IndexLink"/>
                <w:webHidden/>
              </w:rPr>
              <w:t>3.3 Controlled job crafting</w:t>
            </w:r>
            <w:r>
              <w:rPr>
                <w:rStyle w:val="IndexLink"/>
                <w:webHidden/>
              </w:rPr>
              <w:tab/>
              <w:t>9</w:t>
            </w:r>
          </w:hyperlink>
        </w:p>
        <w:p w14:paraId="6F306833" w14:textId="77777777" w:rsidR="000420F3" w:rsidRDefault="00000000">
          <w:pPr>
            <w:pStyle w:val="TOC2"/>
            <w:tabs>
              <w:tab w:val="clear" w:pos="9509"/>
              <w:tab w:val="right" w:leader="dot" w:pos="9791"/>
            </w:tabs>
          </w:pPr>
          <w:hyperlink w:anchor="__RefHeading___Toc2123_836813259" w:tooltip="3.4 Skills-based architecture and internal talent marketplace">
            <w:r>
              <w:rPr>
                <w:rStyle w:val="IndexLink"/>
                <w:webHidden/>
              </w:rPr>
              <w:t>3.4 Skills-based architecture and internal talent marketplace</w:t>
            </w:r>
            <w:r>
              <w:rPr>
                <w:rStyle w:val="IndexLink"/>
                <w:webHidden/>
              </w:rPr>
              <w:tab/>
              <w:t>10</w:t>
            </w:r>
          </w:hyperlink>
        </w:p>
        <w:p w14:paraId="2F1A5A26" w14:textId="77777777" w:rsidR="000420F3" w:rsidRDefault="00000000">
          <w:pPr>
            <w:pStyle w:val="TOC2"/>
            <w:tabs>
              <w:tab w:val="clear" w:pos="9509"/>
              <w:tab w:val="right" w:leader="dot" w:pos="9791"/>
            </w:tabs>
          </w:pPr>
          <w:hyperlink w:anchor="__RefHeading___Toc2125_836813259" w:tooltip="3.5 Suggested internal marketplace process">
            <w:r>
              <w:rPr>
                <w:rStyle w:val="IndexLink"/>
                <w:webHidden/>
              </w:rPr>
              <w:t>3.5 Suggested internal marketplace process</w:t>
            </w:r>
            <w:r>
              <w:rPr>
                <w:rStyle w:val="IndexLink"/>
                <w:webHidden/>
              </w:rPr>
              <w:tab/>
              <w:t>10</w:t>
            </w:r>
          </w:hyperlink>
        </w:p>
        <w:p w14:paraId="210133C1" w14:textId="77777777" w:rsidR="000420F3" w:rsidRDefault="00000000">
          <w:pPr>
            <w:pStyle w:val="TOC2"/>
            <w:tabs>
              <w:tab w:val="clear" w:pos="9509"/>
              <w:tab w:val="right" w:leader="dot" w:pos="9791"/>
            </w:tabs>
          </w:pPr>
          <w:hyperlink w:anchor="__RefHeading___Toc2127_836813259" w:tooltip="3.6 How the design supports motivation and innovation">
            <w:r>
              <w:rPr>
                <w:rStyle w:val="IndexLink"/>
                <w:webHidden/>
              </w:rPr>
              <w:t>3.6 How the design supports motivation and innovation</w:t>
            </w:r>
            <w:r>
              <w:rPr>
                <w:rStyle w:val="IndexLink"/>
                <w:webHidden/>
              </w:rPr>
              <w:tab/>
              <w:t>10</w:t>
            </w:r>
          </w:hyperlink>
        </w:p>
        <w:p w14:paraId="462B45AF" w14:textId="77777777" w:rsidR="000420F3" w:rsidRDefault="00000000">
          <w:pPr>
            <w:pStyle w:val="TOC2"/>
            <w:tabs>
              <w:tab w:val="clear" w:pos="9509"/>
              <w:tab w:val="right" w:leader="dot" w:pos="9791"/>
            </w:tabs>
          </w:pPr>
          <w:hyperlink w:anchor="__RefHeading___Toc2129_836813259" w:tooltip="3.7 Implementation roadmap">
            <w:r>
              <w:rPr>
                <w:rStyle w:val="IndexLink"/>
                <w:webHidden/>
              </w:rPr>
              <w:t>3.7 Implementation roadmap</w:t>
            </w:r>
            <w:r>
              <w:rPr>
                <w:rStyle w:val="IndexLink"/>
                <w:webHidden/>
              </w:rPr>
              <w:tab/>
              <w:t>11</w:t>
            </w:r>
          </w:hyperlink>
        </w:p>
        <w:p w14:paraId="051D2ADC" w14:textId="77777777" w:rsidR="000420F3" w:rsidRDefault="00000000">
          <w:pPr>
            <w:pStyle w:val="TOC2"/>
            <w:tabs>
              <w:tab w:val="clear" w:pos="9509"/>
              <w:tab w:val="right" w:leader="dot" w:pos="9791"/>
            </w:tabs>
          </w:pPr>
          <w:hyperlink w:anchor="__RefHeading___Toc2131_836813259" w:tooltip="3.8 Risks and controls">
            <w:r>
              <w:rPr>
                <w:rStyle w:val="IndexLink"/>
                <w:webHidden/>
              </w:rPr>
              <w:t>3.8 Risks and controls</w:t>
            </w:r>
            <w:r>
              <w:rPr>
                <w:rStyle w:val="IndexLink"/>
                <w:webHidden/>
              </w:rPr>
              <w:tab/>
              <w:t>11</w:t>
            </w:r>
          </w:hyperlink>
        </w:p>
        <w:p w14:paraId="4B01FD0F" w14:textId="77777777" w:rsidR="000420F3" w:rsidRDefault="00000000">
          <w:pPr>
            <w:pStyle w:val="TOC2"/>
            <w:tabs>
              <w:tab w:val="clear" w:pos="9509"/>
              <w:tab w:val="right" w:leader="dot" w:pos="9791"/>
            </w:tabs>
          </w:pPr>
          <w:hyperlink w:anchor="__RefHeading___Toc2133_836813259" w:tooltip="3.9 Measures of success">
            <w:r>
              <w:rPr>
                <w:rStyle w:val="IndexLink"/>
                <w:webHidden/>
              </w:rPr>
              <w:t>3.9 Measures of success</w:t>
            </w:r>
            <w:r>
              <w:rPr>
                <w:rStyle w:val="IndexLink"/>
                <w:webHidden/>
              </w:rPr>
              <w:tab/>
              <w:t>11</w:t>
            </w:r>
          </w:hyperlink>
        </w:p>
        <w:p w14:paraId="2655F8B3" w14:textId="77777777" w:rsidR="000420F3" w:rsidRDefault="00000000">
          <w:pPr>
            <w:pStyle w:val="TOC1"/>
            <w:tabs>
              <w:tab w:val="clear" w:pos="9792"/>
              <w:tab w:val="right" w:leader="dot" w:pos="9791"/>
            </w:tabs>
          </w:pPr>
          <w:hyperlink w:anchor="__RefHeading___Toc2135_836813259" w:tooltip="4. Task 3 research and reflection guide: AI and employability capabilities">
            <w:r>
              <w:rPr>
                <w:rStyle w:val="IndexLink"/>
                <w:webHidden/>
              </w:rPr>
              <w:t>4. Task 3 research and reflection guide: AI and employability capabilities</w:t>
            </w:r>
            <w:r>
              <w:rPr>
                <w:rStyle w:val="IndexLink"/>
                <w:webHidden/>
              </w:rPr>
              <w:tab/>
              <w:t>12</w:t>
            </w:r>
          </w:hyperlink>
        </w:p>
        <w:p w14:paraId="4B32B31C" w14:textId="77777777" w:rsidR="000420F3" w:rsidRDefault="00000000">
          <w:pPr>
            <w:pStyle w:val="TOC2"/>
            <w:tabs>
              <w:tab w:val="clear" w:pos="9509"/>
              <w:tab w:val="right" w:leader="dot" w:pos="9791"/>
            </w:tabs>
          </w:pPr>
          <w:hyperlink w:anchor="__RefHeading___Toc2137_836813259" w:tooltip="4.1 Using AI as decision support without eroding judgement">
            <w:r>
              <w:rPr>
                <w:rStyle w:val="IndexLink"/>
                <w:webHidden/>
              </w:rPr>
              <w:t>4.1 Using AI as decision support without eroding judgement</w:t>
            </w:r>
            <w:r>
              <w:rPr>
                <w:rStyle w:val="IndexLink"/>
                <w:webHidden/>
              </w:rPr>
              <w:tab/>
              <w:t>12</w:t>
            </w:r>
          </w:hyperlink>
        </w:p>
        <w:p w14:paraId="730E08F8" w14:textId="77777777" w:rsidR="000420F3" w:rsidRDefault="00000000">
          <w:pPr>
            <w:pStyle w:val="TOC2"/>
            <w:tabs>
              <w:tab w:val="clear" w:pos="9509"/>
              <w:tab w:val="right" w:leader="dot" w:pos="9791"/>
            </w:tabs>
          </w:pPr>
          <w:hyperlink w:anchor="__RefHeading___Toc2139_836813259" w:tooltip="4.2 Human-judgement safeguards">
            <w:r>
              <w:rPr>
                <w:rStyle w:val="IndexLink"/>
                <w:webHidden/>
              </w:rPr>
              <w:t>4.2 Human-judgement safeguards</w:t>
            </w:r>
            <w:r>
              <w:rPr>
                <w:rStyle w:val="IndexLink"/>
                <w:webHidden/>
              </w:rPr>
              <w:tab/>
              <w:t>12</w:t>
            </w:r>
          </w:hyperlink>
        </w:p>
        <w:p w14:paraId="7C7AFD17" w14:textId="77777777" w:rsidR="000420F3" w:rsidRDefault="00000000">
          <w:pPr>
            <w:pStyle w:val="TOC2"/>
            <w:tabs>
              <w:tab w:val="clear" w:pos="9509"/>
              <w:tab w:val="right" w:leader="dot" w:pos="9791"/>
            </w:tabs>
          </w:pPr>
          <w:hyperlink w:anchor="__RefHeading___Toc2141_836813259" w:tooltip="4.3 Suggested personal capability development plan">
            <w:r>
              <w:rPr>
                <w:rStyle w:val="IndexLink"/>
                <w:webHidden/>
              </w:rPr>
              <w:t>4.3 Suggested personal capability development plan</w:t>
            </w:r>
            <w:r>
              <w:rPr>
                <w:rStyle w:val="IndexLink"/>
                <w:webHidden/>
              </w:rPr>
              <w:tab/>
              <w:t>13</w:t>
            </w:r>
          </w:hyperlink>
        </w:p>
        <w:p w14:paraId="154C43E2" w14:textId="77777777" w:rsidR="000420F3" w:rsidRDefault="00000000">
          <w:pPr>
            <w:pStyle w:val="TOC2"/>
            <w:tabs>
              <w:tab w:val="clear" w:pos="9509"/>
              <w:tab w:val="right" w:leader="dot" w:pos="9791"/>
            </w:tabs>
          </w:pPr>
          <w:hyperlink w:anchor="__RefHeading___Toc2143_836813259" w:tooltip="4.4 Reflection prompts">
            <w:r>
              <w:rPr>
                <w:rStyle w:val="IndexLink"/>
                <w:webHidden/>
              </w:rPr>
              <w:t>4.4 Reflection prompts</w:t>
            </w:r>
            <w:r>
              <w:rPr>
                <w:rStyle w:val="IndexLink"/>
                <w:webHidden/>
              </w:rPr>
              <w:tab/>
              <w:t>13</w:t>
            </w:r>
          </w:hyperlink>
        </w:p>
        <w:p w14:paraId="29D4F791" w14:textId="77777777" w:rsidR="000420F3" w:rsidRDefault="00000000">
          <w:pPr>
            <w:pStyle w:val="TOC2"/>
            <w:tabs>
              <w:tab w:val="clear" w:pos="9509"/>
              <w:tab w:val="right" w:leader="dot" w:pos="9791"/>
            </w:tabs>
          </w:pPr>
          <w:hyperlink w:anchor="__RefHeading___Toc2145_836813259" w:tooltip="4.5 Sentence starters to adapt">
            <w:r>
              <w:rPr>
                <w:rStyle w:val="IndexLink"/>
                <w:webHidden/>
              </w:rPr>
              <w:t>4.5 Sentence starters to adapt</w:t>
            </w:r>
            <w:r>
              <w:rPr>
                <w:rStyle w:val="IndexLink"/>
                <w:webHidden/>
              </w:rPr>
              <w:tab/>
              <w:t>13</w:t>
            </w:r>
          </w:hyperlink>
        </w:p>
        <w:p w14:paraId="6A2A2D92" w14:textId="77777777" w:rsidR="000420F3" w:rsidRDefault="00000000">
          <w:pPr>
            <w:pStyle w:val="TOC1"/>
            <w:tabs>
              <w:tab w:val="clear" w:pos="9792"/>
              <w:tab w:val="right" w:leader="dot" w:pos="9791"/>
            </w:tabs>
          </w:pPr>
          <w:hyperlink w:anchor="__RefHeading___Toc2147_836813259" w:tooltip="5. Turning the notes into your own report">
            <w:r>
              <w:rPr>
                <w:rStyle w:val="IndexLink"/>
                <w:webHidden/>
              </w:rPr>
              <w:t>5. Turning the notes into your own report</w:t>
            </w:r>
            <w:r>
              <w:rPr>
                <w:rStyle w:val="IndexLink"/>
                <w:webHidden/>
              </w:rPr>
              <w:tab/>
              <w:t>14</w:t>
            </w:r>
          </w:hyperlink>
        </w:p>
        <w:p w14:paraId="6F232735" w14:textId="77777777" w:rsidR="000420F3" w:rsidRDefault="00000000">
          <w:pPr>
            <w:pStyle w:val="TOC2"/>
            <w:tabs>
              <w:tab w:val="clear" w:pos="9509"/>
              <w:tab w:val="right" w:leader="dot" w:pos="9791"/>
            </w:tabs>
          </w:pPr>
          <w:hyperlink w:anchor="__RefHeading___Toc2149_836813259" w:tooltip="5.1 Paragraph method">
            <w:r>
              <w:rPr>
                <w:rStyle w:val="IndexLink"/>
                <w:webHidden/>
              </w:rPr>
              <w:t>5.1 Paragraph method</w:t>
            </w:r>
            <w:r>
              <w:rPr>
                <w:rStyle w:val="IndexLink"/>
                <w:webHidden/>
              </w:rPr>
              <w:tab/>
              <w:t>14</w:t>
            </w:r>
          </w:hyperlink>
        </w:p>
        <w:p w14:paraId="32A40F0C" w14:textId="77777777" w:rsidR="000420F3" w:rsidRDefault="00000000">
          <w:pPr>
            <w:pStyle w:val="TOC2"/>
            <w:tabs>
              <w:tab w:val="clear" w:pos="9509"/>
              <w:tab w:val="right" w:leader="dot" w:pos="9791"/>
            </w:tabs>
          </w:pPr>
          <w:hyperlink w:anchor="__RefHeading___Toc2151_836813259" w:tooltip="5.2 Suggested word allocation">
            <w:r>
              <w:rPr>
                <w:rStyle w:val="IndexLink"/>
                <w:webHidden/>
              </w:rPr>
              <w:t>5.2 Suggested word allocation</w:t>
            </w:r>
            <w:r>
              <w:rPr>
                <w:rStyle w:val="IndexLink"/>
                <w:webHidden/>
              </w:rPr>
              <w:tab/>
              <w:t>14</w:t>
            </w:r>
          </w:hyperlink>
        </w:p>
        <w:p w14:paraId="5AE1FD53" w14:textId="77777777" w:rsidR="000420F3" w:rsidRDefault="00000000">
          <w:pPr>
            <w:pStyle w:val="TOC2"/>
            <w:tabs>
              <w:tab w:val="clear" w:pos="9509"/>
              <w:tab w:val="right" w:leader="dot" w:pos="9791"/>
            </w:tabs>
          </w:pPr>
          <w:hyperlink w:anchor="__RefHeading___Toc2153_836813259" w:tooltip="5.3 Final quality checklist">
            <w:r>
              <w:rPr>
                <w:rStyle w:val="IndexLink"/>
                <w:webHidden/>
              </w:rPr>
              <w:t>5.3 Final quality checklist</w:t>
            </w:r>
            <w:r>
              <w:rPr>
                <w:rStyle w:val="IndexLink"/>
                <w:webHidden/>
              </w:rPr>
              <w:tab/>
              <w:t>14</w:t>
            </w:r>
          </w:hyperlink>
        </w:p>
        <w:p w14:paraId="2AC03B4F" w14:textId="77777777" w:rsidR="000420F3" w:rsidRDefault="00000000">
          <w:pPr>
            <w:pStyle w:val="TOC1"/>
            <w:tabs>
              <w:tab w:val="clear" w:pos="9792"/>
              <w:tab w:val="right" w:leader="dot" w:pos="9791"/>
            </w:tabs>
          </w:pPr>
          <w:hyperlink w:anchor="__RefHeading___Toc2155_836813259" w:tooltip="References">
            <w:r>
              <w:rPr>
                <w:rStyle w:val="IndexLink"/>
                <w:webHidden/>
              </w:rPr>
              <w:t>References</w:t>
            </w:r>
            <w:r>
              <w:rPr>
                <w:rStyle w:val="IndexLink"/>
                <w:webHidden/>
              </w:rPr>
              <w:tab/>
              <w:t>15</w:t>
            </w:r>
          </w:hyperlink>
        </w:p>
        <w:p w14:paraId="2BB01D97" w14:textId="77777777" w:rsidR="000420F3" w:rsidRDefault="00000000">
          <w:pPr>
            <w:pStyle w:val="TOC2"/>
            <w:tabs>
              <w:tab w:val="clear" w:pos="9509"/>
              <w:tab w:val="right" w:leader="dot" w:pos="9791"/>
            </w:tabs>
          </w:pPr>
          <w:hyperlink w:anchor="__RefHeading___Toc2157_836813259" w:tooltip="Source note for the assessment brief">
            <w:r>
              <w:rPr>
                <w:rStyle w:val="IndexLink"/>
                <w:webHidden/>
              </w:rPr>
              <w:t>Source note for the assessment brief</w:t>
            </w:r>
            <w:r>
              <w:rPr>
                <w:rStyle w:val="IndexLink"/>
                <w:webHidden/>
              </w:rPr>
              <w:tab/>
              <w:t>16</w:t>
            </w:r>
          </w:hyperlink>
          <w:r>
            <w:rPr>
              <w:rStyle w:val="IndexLink"/>
            </w:rPr>
            <w:fldChar w:fldCharType="end"/>
          </w:r>
        </w:p>
      </w:sdtContent>
    </w:sdt>
    <w:p w14:paraId="6A7C8F01" w14:textId="77777777" w:rsidR="00871772" w:rsidRDefault="00871772">
      <w:pPr>
        <w:pStyle w:val="Heading1"/>
      </w:pPr>
      <w:bookmarkStart w:id="2" w:name="__RefHeading___Toc2085_836813259"/>
      <w:bookmarkEnd w:id="2"/>
    </w:p>
    <w:p w14:paraId="1FF05AC5" w14:textId="77777777" w:rsidR="00871772" w:rsidRDefault="00871772">
      <w:pPr>
        <w:pStyle w:val="Heading1"/>
      </w:pPr>
    </w:p>
    <w:p w14:paraId="64B12EDE" w14:textId="77777777" w:rsidR="00871772" w:rsidRDefault="00871772">
      <w:pPr>
        <w:pStyle w:val="Heading1"/>
      </w:pPr>
    </w:p>
    <w:p w14:paraId="57DBC6BC" w14:textId="77777777" w:rsidR="00871772" w:rsidRDefault="00871772" w:rsidP="00871772"/>
    <w:p w14:paraId="06EA30C5" w14:textId="77777777" w:rsidR="00871772" w:rsidRDefault="00871772" w:rsidP="00871772"/>
    <w:p w14:paraId="610E1DF6" w14:textId="77777777" w:rsidR="00871772" w:rsidRPr="00871772" w:rsidRDefault="00871772" w:rsidP="00871772"/>
    <w:p w14:paraId="31357112" w14:textId="7C5FF8F9" w:rsidR="000420F3" w:rsidRDefault="00000000">
      <w:pPr>
        <w:pStyle w:val="Heading1"/>
      </w:pPr>
      <w:r>
        <w:lastRenderedPageBreak/>
        <w:t>1. Tata Steel context for strategic renewal</w:t>
      </w:r>
    </w:p>
    <w:p w14:paraId="2577E3AA" w14:textId="77777777" w:rsidR="004C5C65" w:rsidRDefault="004C5C65">
      <w:r w:rsidRPr="004C5C65">
        <w:t>Tata Steel's relocating to electric arc furnace steelmaking at its Port Talbot site is a rejuvenation strategy that provides an example of around 90% reduction in on-site emissions by 2027-28 (Tata Steel UK, 2025; Tata Steel UK, 2026).</w:t>
      </w:r>
    </w:p>
    <w:p w14:paraId="768AB719" w14:textId="77777777" w:rsidR="004C5C65" w:rsidRDefault="004C5C65">
      <w:r w:rsidRPr="004C5C65">
        <w:t>This transformative reconfiguration of required capabilities, roles and identities heightens the need for human capital who are digital, automated and capable of circular materials, and also generates a range of questions pertaining to human capital, involving trust, mobility, fairness and trust's psychological contract.</w:t>
      </w:r>
    </w:p>
    <w:p w14:paraId="45FBB432" w14:textId="6B7EDA23" w:rsidR="000420F3" w:rsidRDefault="004C5C65">
      <w:r w:rsidRPr="004C5C65">
        <w:t xml:space="preserve">The focus on development and safety, and Tata Steel's stated values (integrity, responsibility, excellence, pioneering, unity), offer a framework for understanding and examining </w:t>
      </w:r>
      <w:proofErr w:type="spellStart"/>
      <w:r w:rsidRPr="004C5C65">
        <w:t>socialisation</w:t>
      </w:r>
      <w:proofErr w:type="spellEnd"/>
      <w:r w:rsidRPr="004C5C65">
        <w:t xml:space="preserve"> and job design.</w:t>
      </w:r>
    </w:p>
    <w:tbl>
      <w:tblPr>
        <w:tblStyle w:val="TableGrid"/>
        <w:tblW w:w="9792" w:type="dxa"/>
        <w:jc w:val="center"/>
        <w:tblLayout w:type="fixed"/>
        <w:tblCellMar>
          <w:top w:w="70" w:type="dxa"/>
          <w:left w:w="70" w:type="dxa"/>
          <w:bottom w:w="70" w:type="dxa"/>
          <w:right w:w="70" w:type="dxa"/>
        </w:tblCellMar>
        <w:tblLook w:val="04A0" w:firstRow="1" w:lastRow="0" w:firstColumn="1" w:lastColumn="0" w:noHBand="0" w:noVBand="1"/>
      </w:tblPr>
      <w:tblGrid>
        <w:gridCol w:w="3264"/>
        <w:gridCol w:w="3264"/>
        <w:gridCol w:w="3264"/>
      </w:tblGrid>
      <w:tr w:rsidR="000420F3" w14:paraId="2DF2E6B3" w14:textId="77777777">
        <w:trPr>
          <w:cantSplit/>
          <w:tblHeader/>
          <w:jc w:val="center"/>
        </w:trPr>
        <w:tc>
          <w:tcPr>
            <w:tcW w:w="3264" w:type="dxa"/>
            <w:shd w:val="clear" w:color="auto" w:fill="D9EAF7"/>
            <w:vAlign w:val="center"/>
          </w:tcPr>
          <w:p w14:paraId="643CB8B4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b/>
                <w:sz w:val="18"/>
              </w:rPr>
              <w:t>Strategic change</w:t>
            </w:r>
          </w:p>
        </w:tc>
        <w:tc>
          <w:tcPr>
            <w:tcW w:w="3264" w:type="dxa"/>
            <w:shd w:val="clear" w:color="auto" w:fill="D9EAF7"/>
            <w:vAlign w:val="center"/>
          </w:tcPr>
          <w:p w14:paraId="0886C9BB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b/>
                <w:sz w:val="18"/>
              </w:rPr>
              <w:t>Human-capital implication</w:t>
            </w:r>
          </w:p>
        </w:tc>
        <w:tc>
          <w:tcPr>
            <w:tcW w:w="3264" w:type="dxa"/>
            <w:shd w:val="clear" w:color="auto" w:fill="D9EAF7"/>
            <w:vAlign w:val="center"/>
          </w:tcPr>
          <w:p w14:paraId="35F5B379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b/>
                <w:sz w:val="18"/>
              </w:rPr>
              <w:t>Relevant assignment theory</w:t>
            </w:r>
          </w:p>
        </w:tc>
      </w:tr>
      <w:tr w:rsidR="000420F3" w14:paraId="13BE2FE0" w14:textId="77777777">
        <w:trPr>
          <w:cantSplit/>
          <w:jc w:val="center"/>
        </w:trPr>
        <w:tc>
          <w:tcPr>
            <w:tcW w:w="3264" w:type="dxa"/>
            <w:vAlign w:val="center"/>
          </w:tcPr>
          <w:p w14:paraId="5A892E47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8"/>
              </w:rPr>
              <w:t>Electric arc furnace transition</w:t>
            </w:r>
          </w:p>
        </w:tc>
        <w:tc>
          <w:tcPr>
            <w:tcW w:w="3264" w:type="dxa"/>
            <w:vAlign w:val="center"/>
          </w:tcPr>
          <w:p w14:paraId="5BC13E0C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8"/>
              </w:rPr>
              <w:t>Reskilling and changing professional identities</w:t>
            </w:r>
          </w:p>
        </w:tc>
        <w:tc>
          <w:tcPr>
            <w:tcW w:w="3264" w:type="dxa"/>
            <w:vAlign w:val="center"/>
          </w:tcPr>
          <w:p w14:paraId="1F762D8D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proofErr w:type="spellStart"/>
            <w:r>
              <w:rPr>
                <w:rFonts w:eastAsia="MS Mincho"/>
                <w:sz w:val="18"/>
              </w:rPr>
              <w:t>Socialisation</w:t>
            </w:r>
            <w:proofErr w:type="spellEnd"/>
            <w:r>
              <w:rPr>
                <w:rFonts w:eastAsia="MS Mincho"/>
                <w:sz w:val="18"/>
              </w:rPr>
              <w:t>, psychological contract, identity construction</w:t>
            </w:r>
          </w:p>
        </w:tc>
      </w:tr>
      <w:tr w:rsidR="000420F3" w14:paraId="5B131F89" w14:textId="77777777">
        <w:trPr>
          <w:cantSplit/>
          <w:jc w:val="center"/>
        </w:trPr>
        <w:tc>
          <w:tcPr>
            <w:tcW w:w="3264" w:type="dxa"/>
            <w:vAlign w:val="center"/>
          </w:tcPr>
          <w:p w14:paraId="023F59F4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8"/>
              </w:rPr>
              <w:t>Digital and automated operations</w:t>
            </w:r>
          </w:p>
        </w:tc>
        <w:tc>
          <w:tcPr>
            <w:tcW w:w="3264" w:type="dxa"/>
            <w:vAlign w:val="center"/>
          </w:tcPr>
          <w:p w14:paraId="536A943F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8"/>
              </w:rPr>
              <w:t>New technical and data capability</w:t>
            </w:r>
          </w:p>
        </w:tc>
        <w:tc>
          <w:tcPr>
            <w:tcW w:w="3264" w:type="dxa"/>
            <w:vAlign w:val="center"/>
          </w:tcPr>
          <w:p w14:paraId="3AC60DFB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8"/>
              </w:rPr>
              <w:t>Job Characteristics Model, job crafting, skills architecture</w:t>
            </w:r>
          </w:p>
        </w:tc>
      </w:tr>
      <w:tr w:rsidR="000420F3" w14:paraId="14D7D86C" w14:textId="77777777">
        <w:trPr>
          <w:cantSplit/>
          <w:jc w:val="center"/>
        </w:trPr>
        <w:tc>
          <w:tcPr>
            <w:tcW w:w="3264" w:type="dxa"/>
            <w:vAlign w:val="center"/>
          </w:tcPr>
          <w:p w14:paraId="07ADC44F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proofErr w:type="spellStart"/>
            <w:r>
              <w:rPr>
                <w:rFonts w:eastAsia="MS Mincho"/>
                <w:sz w:val="18"/>
              </w:rPr>
              <w:t>Decarbonisation</w:t>
            </w:r>
            <w:proofErr w:type="spellEnd"/>
            <w:r>
              <w:rPr>
                <w:rFonts w:eastAsia="MS Mincho"/>
                <w:sz w:val="18"/>
              </w:rPr>
              <w:t xml:space="preserve"> and stakeholder scrutiny</w:t>
            </w:r>
          </w:p>
        </w:tc>
        <w:tc>
          <w:tcPr>
            <w:tcW w:w="3264" w:type="dxa"/>
            <w:vAlign w:val="center"/>
          </w:tcPr>
          <w:p w14:paraId="3050AFA4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8"/>
              </w:rPr>
              <w:t>Stronger ethical and stakeholder awareness</w:t>
            </w:r>
          </w:p>
        </w:tc>
        <w:tc>
          <w:tcPr>
            <w:tcW w:w="3264" w:type="dxa"/>
            <w:vAlign w:val="center"/>
          </w:tcPr>
          <w:p w14:paraId="226EEF1C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8"/>
              </w:rPr>
              <w:t>Business activist mindset, stakeholder capitalism</w:t>
            </w:r>
          </w:p>
        </w:tc>
      </w:tr>
      <w:tr w:rsidR="000420F3" w14:paraId="61E18CAC" w14:textId="77777777">
        <w:trPr>
          <w:cantSplit/>
          <w:jc w:val="center"/>
        </w:trPr>
        <w:tc>
          <w:tcPr>
            <w:tcW w:w="3264" w:type="dxa"/>
            <w:vAlign w:val="center"/>
          </w:tcPr>
          <w:p w14:paraId="37965325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8"/>
              </w:rPr>
              <w:t>Workforce restructuring and uncertainty</w:t>
            </w:r>
          </w:p>
        </w:tc>
        <w:tc>
          <w:tcPr>
            <w:tcW w:w="3264" w:type="dxa"/>
            <w:vAlign w:val="center"/>
          </w:tcPr>
          <w:p w14:paraId="1D0076DA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8"/>
              </w:rPr>
              <w:t>Risk of mistrust and perceived broken promises</w:t>
            </w:r>
          </w:p>
        </w:tc>
        <w:tc>
          <w:tcPr>
            <w:tcW w:w="3264" w:type="dxa"/>
            <w:vAlign w:val="center"/>
          </w:tcPr>
          <w:p w14:paraId="35DC5CD1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8"/>
              </w:rPr>
              <w:t>Psychological contract theory, employee voice</w:t>
            </w:r>
          </w:p>
        </w:tc>
      </w:tr>
    </w:tbl>
    <w:p w14:paraId="24DE9F04" w14:textId="77777777" w:rsidR="000420F3" w:rsidRDefault="00000000">
      <w:pPr>
        <w:pStyle w:val="Heading1"/>
      </w:pPr>
      <w:bookmarkStart w:id="3" w:name="__RefHeading___Toc2087_836813259"/>
      <w:bookmarkEnd w:id="3"/>
      <w:r>
        <w:t xml:space="preserve">2. Task 1 research and planning notes: </w:t>
      </w:r>
      <w:proofErr w:type="spellStart"/>
      <w:r>
        <w:t>Socialisation</w:t>
      </w:r>
      <w:proofErr w:type="spellEnd"/>
      <w:r>
        <w:t>, identity and business activism</w:t>
      </w:r>
    </w:p>
    <w:p w14:paraId="0B8731F3" w14:textId="77777777" w:rsidR="000420F3" w:rsidRDefault="00000000">
      <w:pPr>
        <w:pStyle w:val="Heading2"/>
      </w:pPr>
      <w:bookmarkStart w:id="4" w:name="__RefHeading___Toc2089_836813259"/>
      <w:bookmarkEnd w:id="4"/>
      <w:r>
        <w:t>2.1 Purpose of the section</w:t>
      </w:r>
    </w:p>
    <w:p w14:paraId="40B184EA" w14:textId="6FE881F8" w:rsidR="004C5C65" w:rsidRDefault="004C5C65" w:rsidP="004C5C65">
      <w:pPr>
        <w:pStyle w:val="ListBullet"/>
        <w:numPr>
          <w:ilvl w:val="0"/>
          <w:numId w:val="0"/>
        </w:numPr>
        <w:ind w:left="360" w:hanging="360"/>
      </w:pPr>
      <w:r>
        <w:t xml:space="preserve">     </w:t>
      </w:r>
      <w:r w:rsidRPr="004C5C65">
        <w:t>This section should demonstrate that it is not enough to do a good brief induction when the</w:t>
      </w:r>
      <w:r>
        <w:t xml:space="preserve"> </w:t>
      </w:r>
      <w:r w:rsidRPr="004C5C65">
        <w:t xml:space="preserve">change is significant, but that there needs to be a blueprint, systematic </w:t>
      </w:r>
      <w:proofErr w:type="spellStart"/>
      <w:r w:rsidRPr="004C5C65">
        <w:t>socialisation</w:t>
      </w:r>
      <w:proofErr w:type="spellEnd"/>
      <w:r w:rsidRPr="004C5C65">
        <w:t xml:space="preserve"> process for the year of school and career change, including safety, competence, identity, ethics and stakeholder awareness. </w:t>
      </w:r>
    </w:p>
    <w:p w14:paraId="3948FC59" w14:textId="77777777" w:rsidR="004C5C65" w:rsidRDefault="004C5C65">
      <w:pPr>
        <w:pStyle w:val="ListBullet"/>
        <w:ind w:hanging="230"/>
      </w:pPr>
      <w:r w:rsidRPr="004C5C65">
        <w:t>Use transformation as a means of expression rather than description.</w:t>
      </w:r>
    </w:p>
    <w:p w14:paraId="371AA1A1" w14:textId="77777777" w:rsidR="004C5C65" w:rsidRDefault="004C5C65" w:rsidP="004C5C65">
      <w:pPr>
        <w:pStyle w:val="ListBullet"/>
        <w:ind w:hanging="230"/>
      </w:pPr>
      <w:r w:rsidRPr="004C5C65">
        <w:t>Understand benefits, limitations, responsibilities and evidence of evaluation.</w:t>
      </w:r>
    </w:p>
    <w:p w14:paraId="0FF07752" w14:textId="0C29B53D" w:rsidR="004C5C65" w:rsidRPr="004C5C65" w:rsidRDefault="004C5C65" w:rsidP="004C5C65">
      <w:pPr>
        <w:pStyle w:val="ListBullet"/>
        <w:ind w:hanging="230"/>
      </w:pPr>
      <w:proofErr w:type="spellStart"/>
      <w:r w:rsidRPr="004C5C65">
        <w:t>Socialisation</w:t>
      </w:r>
      <w:proofErr w:type="spellEnd"/>
      <w:r w:rsidRPr="004C5C65">
        <w:t xml:space="preserve"> is not enough to correct engagement or retention practices; other factors such as leadership, reward and job security are essential.</w:t>
      </w:r>
    </w:p>
    <w:p w14:paraId="603723DD" w14:textId="6670C989" w:rsidR="000420F3" w:rsidRDefault="00000000">
      <w:pPr>
        <w:pStyle w:val="Heading2"/>
      </w:pPr>
      <w:r>
        <w:lastRenderedPageBreak/>
        <w:t xml:space="preserve">2.2 Traditional onboarding versus strategic </w:t>
      </w:r>
      <w:proofErr w:type="spellStart"/>
      <w:r>
        <w:t>organisational</w:t>
      </w:r>
      <w:proofErr w:type="spellEnd"/>
      <w:r>
        <w:t xml:space="preserve"> </w:t>
      </w:r>
      <w:proofErr w:type="spellStart"/>
      <w:r>
        <w:t>socialisation</w:t>
      </w:r>
      <w:proofErr w:type="spellEnd"/>
    </w:p>
    <w:tbl>
      <w:tblPr>
        <w:tblStyle w:val="TableGrid"/>
        <w:tblW w:w="9792" w:type="dxa"/>
        <w:jc w:val="center"/>
        <w:tblLayout w:type="fixed"/>
        <w:tblCellMar>
          <w:top w:w="70" w:type="dxa"/>
          <w:left w:w="70" w:type="dxa"/>
          <w:bottom w:w="70" w:type="dxa"/>
          <w:right w:w="70" w:type="dxa"/>
        </w:tblCellMar>
        <w:tblLook w:val="04A0" w:firstRow="1" w:lastRow="0" w:firstColumn="1" w:lastColumn="0" w:noHBand="0" w:noVBand="1"/>
      </w:tblPr>
      <w:tblGrid>
        <w:gridCol w:w="3264"/>
        <w:gridCol w:w="3264"/>
        <w:gridCol w:w="3264"/>
      </w:tblGrid>
      <w:tr w:rsidR="000420F3" w14:paraId="380D0BB9" w14:textId="77777777">
        <w:trPr>
          <w:cantSplit/>
          <w:tblHeader/>
          <w:jc w:val="center"/>
        </w:trPr>
        <w:tc>
          <w:tcPr>
            <w:tcW w:w="3264" w:type="dxa"/>
            <w:shd w:val="clear" w:color="auto" w:fill="D9EAF7"/>
            <w:vAlign w:val="center"/>
          </w:tcPr>
          <w:p w14:paraId="3E67BC9D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b/>
                <w:sz w:val="17"/>
              </w:rPr>
              <w:t>Dimension</w:t>
            </w:r>
          </w:p>
        </w:tc>
        <w:tc>
          <w:tcPr>
            <w:tcW w:w="3264" w:type="dxa"/>
            <w:shd w:val="clear" w:color="auto" w:fill="D9EAF7"/>
            <w:vAlign w:val="center"/>
          </w:tcPr>
          <w:p w14:paraId="2CBB9905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b/>
                <w:sz w:val="17"/>
              </w:rPr>
              <w:t>Traditional onboarding</w:t>
            </w:r>
          </w:p>
        </w:tc>
        <w:tc>
          <w:tcPr>
            <w:tcW w:w="3264" w:type="dxa"/>
            <w:shd w:val="clear" w:color="auto" w:fill="D9EAF7"/>
            <w:vAlign w:val="center"/>
          </w:tcPr>
          <w:p w14:paraId="33EA2152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b/>
                <w:sz w:val="17"/>
              </w:rPr>
              <w:t xml:space="preserve">Strategic </w:t>
            </w:r>
            <w:proofErr w:type="spellStart"/>
            <w:r>
              <w:rPr>
                <w:rFonts w:eastAsia="MS Mincho"/>
                <w:b/>
                <w:sz w:val="17"/>
              </w:rPr>
              <w:t>socialisation</w:t>
            </w:r>
            <w:proofErr w:type="spellEnd"/>
          </w:p>
        </w:tc>
      </w:tr>
      <w:tr w:rsidR="000420F3" w14:paraId="6E820130" w14:textId="77777777">
        <w:trPr>
          <w:cantSplit/>
          <w:jc w:val="center"/>
        </w:trPr>
        <w:tc>
          <w:tcPr>
            <w:tcW w:w="3264" w:type="dxa"/>
            <w:vAlign w:val="center"/>
          </w:tcPr>
          <w:p w14:paraId="6787963D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7"/>
              </w:rPr>
              <w:t>Time horizon</w:t>
            </w:r>
          </w:p>
        </w:tc>
        <w:tc>
          <w:tcPr>
            <w:tcW w:w="3264" w:type="dxa"/>
            <w:vAlign w:val="center"/>
          </w:tcPr>
          <w:p w14:paraId="579BA0CA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7"/>
              </w:rPr>
              <w:t>Often concentrated in the first day or weeks</w:t>
            </w:r>
          </w:p>
        </w:tc>
        <w:tc>
          <w:tcPr>
            <w:tcW w:w="3264" w:type="dxa"/>
            <w:vAlign w:val="center"/>
          </w:tcPr>
          <w:p w14:paraId="08743E2D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7"/>
              </w:rPr>
              <w:t>Begins before joining and continues through the first year</w:t>
            </w:r>
          </w:p>
        </w:tc>
      </w:tr>
      <w:tr w:rsidR="000420F3" w14:paraId="79D51A1F" w14:textId="77777777">
        <w:trPr>
          <w:cantSplit/>
          <w:jc w:val="center"/>
        </w:trPr>
        <w:tc>
          <w:tcPr>
            <w:tcW w:w="3264" w:type="dxa"/>
            <w:vAlign w:val="center"/>
          </w:tcPr>
          <w:p w14:paraId="0C747B29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7"/>
              </w:rPr>
              <w:t>Primary focus</w:t>
            </w:r>
          </w:p>
        </w:tc>
        <w:tc>
          <w:tcPr>
            <w:tcW w:w="3264" w:type="dxa"/>
            <w:vAlign w:val="center"/>
          </w:tcPr>
          <w:p w14:paraId="6BA59CF3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7"/>
              </w:rPr>
              <w:t>Forms, policies, systems, health and safety, immediate job information</w:t>
            </w:r>
          </w:p>
        </w:tc>
        <w:tc>
          <w:tcPr>
            <w:tcW w:w="3264" w:type="dxa"/>
            <w:vAlign w:val="center"/>
          </w:tcPr>
          <w:p w14:paraId="4B82F3F0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7"/>
              </w:rPr>
              <w:t>Role clarity, competence, relationships, identity, values, voice and strategic contribution</w:t>
            </w:r>
          </w:p>
        </w:tc>
      </w:tr>
      <w:tr w:rsidR="000420F3" w14:paraId="167EFF79" w14:textId="77777777">
        <w:trPr>
          <w:cantSplit/>
          <w:jc w:val="center"/>
        </w:trPr>
        <w:tc>
          <w:tcPr>
            <w:tcW w:w="3264" w:type="dxa"/>
            <w:vAlign w:val="center"/>
          </w:tcPr>
          <w:p w14:paraId="7F581297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7"/>
              </w:rPr>
              <w:t>Learning method</w:t>
            </w:r>
          </w:p>
        </w:tc>
        <w:tc>
          <w:tcPr>
            <w:tcW w:w="3264" w:type="dxa"/>
            <w:vAlign w:val="center"/>
          </w:tcPr>
          <w:p w14:paraId="70CE2A75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7"/>
              </w:rPr>
              <w:t>Presentations and mandatory modules</w:t>
            </w:r>
          </w:p>
        </w:tc>
        <w:tc>
          <w:tcPr>
            <w:tcW w:w="3264" w:type="dxa"/>
            <w:vAlign w:val="center"/>
          </w:tcPr>
          <w:p w14:paraId="303FB13B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7"/>
              </w:rPr>
              <w:t>Formal learning plus mentoring, practice, cross-functional exposure and reflection</w:t>
            </w:r>
          </w:p>
        </w:tc>
      </w:tr>
      <w:tr w:rsidR="000420F3" w14:paraId="7C1D85BF" w14:textId="77777777">
        <w:trPr>
          <w:cantSplit/>
          <w:jc w:val="center"/>
        </w:trPr>
        <w:tc>
          <w:tcPr>
            <w:tcW w:w="3264" w:type="dxa"/>
            <w:vAlign w:val="center"/>
          </w:tcPr>
          <w:p w14:paraId="211B9309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7"/>
              </w:rPr>
              <w:t>Employee position</w:t>
            </w:r>
          </w:p>
        </w:tc>
        <w:tc>
          <w:tcPr>
            <w:tcW w:w="3264" w:type="dxa"/>
            <w:vAlign w:val="center"/>
          </w:tcPr>
          <w:p w14:paraId="39E47E16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7"/>
              </w:rPr>
              <w:t>Recipient of information</w:t>
            </w:r>
          </w:p>
        </w:tc>
        <w:tc>
          <w:tcPr>
            <w:tcW w:w="3264" w:type="dxa"/>
            <w:vAlign w:val="center"/>
          </w:tcPr>
          <w:p w14:paraId="0DC5E637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7"/>
              </w:rPr>
              <w:t xml:space="preserve">Active participant whose prior skills and identity are </w:t>
            </w:r>
            <w:proofErr w:type="spellStart"/>
            <w:r>
              <w:rPr>
                <w:rFonts w:eastAsia="MS Mincho"/>
                <w:sz w:val="17"/>
              </w:rPr>
              <w:t>recognised</w:t>
            </w:r>
            <w:proofErr w:type="spellEnd"/>
          </w:p>
        </w:tc>
      </w:tr>
      <w:tr w:rsidR="000420F3" w14:paraId="7D24EEFE" w14:textId="77777777">
        <w:trPr>
          <w:cantSplit/>
          <w:jc w:val="center"/>
        </w:trPr>
        <w:tc>
          <w:tcPr>
            <w:tcW w:w="3264" w:type="dxa"/>
            <w:vAlign w:val="center"/>
          </w:tcPr>
          <w:p w14:paraId="13A0F251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7"/>
              </w:rPr>
              <w:t>Main strength</w:t>
            </w:r>
          </w:p>
        </w:tc>
        <w:tc>
          <w:tcPr>
            <w:tcW w:w="3264" w:type="dxa"/>
            <w:vAlign w:val="center"/>
          </w:tcPr>
          <w:p w14:paraId="207CBFB4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7"/>
              </w:rPr>
              <w:t>Efficient and consistent for compliance and basic orientation</w:t>
            </w:r>
          </w:p>
        </w:tc>
        <w:tc>
          <w:tcPr>
            <w:tcW w:w="3264" w:type="dxa"/>
            <w:vAlign w:val="center"/>
          </w:tcPr>
          <w:p w14:paraId="6CD331A8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7"/>
              </w:rPr>
              <w:t>Supports deeper adjustment, belonging, commitment and sustained capability</w:t>
            </w:r>
          </w:p>
        </w:tc>
      </w:tr>
      <w:tr w:rsidR="000420F3" w14:paraId="4107466D" w14:textId="77777777">
        <w:trPr>
          <w:cantSplit/>
          <w:jc w:val="center"/>
        </w:trPr>
        <w:tc>
          <w:tcPr>
            <w:tcW w:w="3264" w:type="dxa"/>
            <w:vAlign w:val="center"/>
          </w:tcPr>
          <w:p w14:paraId="0CF174F2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7"/>
              </w:rPr>
              <w:t>Main limitation</w:t>
            </w:r>
          </w:p>
        </w:tc>
        <w:tc>
          <w:tcPr>
            <w:tcW w:w="3264" w:type="dxa"/>
            <w:vAlign w:val="center"/>
          </w:tcPr>
          <w:p w14:paraId="26202655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7"/>
              </w:rPr>
              <w:t>May become an administrative checklist</w:t>
            </w:r>
          </w:p>
        </w:tc>
        <w:tc>
          <w:tcPr>
            <w:tcW w:w="3264" w:type="dxa"/>
            <w:vAlign w:val="center"/>
          </w:tcPr>
          <w:p w14:paraId="3A6B4A1E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7"/>
              </w:rPr>
              <w:t>Can become over-engineered, costly or overly conformist if individuality is suppressed</w:t>
            </w:r>
          </w:p>
        </w:tc>
      </w:tr>
    </w:tbl>
    <w:p w14:paraId="4F25A228" w14:textId="77777777" w:rsidR="000420F3" w:rsidRDefault="00000000">
      <w:r>
        <w:t xml:space="preserve">Critical judgement: formal onboarding remains necessary for safety and regulatory reasons, but should be embedded within a broader </w:t>
      </w:r>
      <w:proofErr w:type="spellStart"/>
      <w:r>
        <w:t>socialisation</w:t>
      </w:r>
      <w:proofErr w:type="spellEnd"/>
      <w:r>
        <w:t xml:space="preserve"> process continuing after the employee becomes operational.</w:t>
      </w:r>
    </w:p>
    <w:p w14:paraId="71CABB36" w14:textId="77777777" w:rsidR="000420F3" w:rsidRDefault="00000000">
      <w:pPr>
        <w:pStyle w:val="Heading2"/>
      </w:pPr>
      <w:bookmarkStart w:id="5" w:name="__RefHeading___Toc2093_836813259"/>
      <w:bookmarkEnd w:id="5"/>
      <w:r>
        <w:t>2.3 Theory notes to apply</w:t>
      </w:r>
    </w:p>
    <w:p w14:paraId="097CE8ED" w14:textId="77777777" w:rsidR="000420F3" w:rsidRDefault="00000000">
      <w:pPr>
        <w:pStyle w:val="Heading3"/>
      </w:pPr>
      <w:bookmarkStart w:id="6" w:name="__RefHeading___Toc2095_836813259"/>
      <w:bookmarkEnd w:id="6"/>
      <w:r>
        <w:t xml:space="preserve">Van Maanen and Schein’s </w:t>
      </w:r>
      <w:proofErr w:type="spellStart"/>
      <w:r>
        <w:t>socialisation</w:t>
      </w:r>
      <w:proofErr w:type="spellEnd"/>
      <w:r>
        <w:t xml:space="preserve"> tactics</w:t>
      </w:r>
    </w:p>
    <w:p w14:paraId="18008B91" w14:textId="77777777" w:rsidR="000420F3" w:rsidRDefault="00000000">
      <w:r>
        <w:t xml:space="preserve">Van Maanen and Schein (1979) describe six tactic pairs shaping newcomer adjustment; the following combination suits a safety-critical </w:t>
      </w:r>
      <w:proofErr w:type="spellStart"/>
      <w:r>
        <w:t>organisation</w:t>
      </w:r>
      <w:proofErr w:type="spellEnd"/>
      <w:r>
        <w:t xml:space="preserve"> undergoing technological renewal:</w:t>
      </w:r>
    </w:p>
    <w:tbl>
      <w:tblPr>
        <w:tblStyle w:val="TableGrid"/>
        <w:tblW w:w="9792" w:type="dxa"/>
        <w:jc w:val="center"/>
        <w:tblLayout w:type="fixed"/>
        <w:tblCellMar>
          <w:top w:w="70" w:type="dxa"/>
          <w:left w:w="70" w:type="dxa"/>
          <w:bottom w:w="70" w:type="dxa"/>
          <w:right w:w="70" w:type="dxa"/>
        </w:tblCellMar>
        <w:tblLook w:val="04A0" w:firstRow="1" w:lastRow="0" w:firstColumn="1" w:lastColumn="0" w:noHBand="0" w:noVBand="1"/>
      </w:tblPr>
      <w:tblGrid>
        <w:gridCol w:w="3264"/>
        <w:gridCol w:w="3264"/>
        <w:gridCol w:w="3264"/>
      </w:tblGrid>
      <w:tr w:rsidR="000420F3" w14:paraId="147735C0" w14:textId="77777777">
        <w:trPr>
          <w:cantSplit/>
          <w:tblHeader/>
          <w:jc w:val="center"/>
        </w:trPr>
        <w:tc>
          <w:tcPr>
            <w:tcW w:w="3264" w:type="dxa"/>
            <w:shd w:val="clear" w:color="auto" w:fill="D9EAF7"/>
            <w:vAlign w:val="center"/>
          </w:tcPr>
          <w:p w14:paraId="67F6E761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b/>
                <w:sz w:val="17"/>
              </w:rPr>
              <w:t>Tactic</w:t>
            </w:r>
          </w:p>
        </w:tc>
        <w:tc>
          <w:tcPr>
            <w:tcW w:w="3264" w:type="dxa"/>
            <w:shd w:val="clear" w:color="auto" w:fill="D9EAF7"/>
            <w:vAlign w:val="center"/>
          </w:tcPr>
          <w:p w14:paraId="06176CCD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b/>
                <w:sz w:val="17"/>
              </w:rPr>
              <w:t>Suggested Tata Steel application</w:t>
            </w:r>
          </w:p>
        </w:tc>
        <w:tc>
          <w:tcPr>
            <w:tcW w:w="3264" w:type="dxa"/>
            <w:shd w:val="clear" w:color="auto" w:fill="D9EAF7"/>
            <w:vAlign w:val="center"/>
          </w:tcPr>
          <w:p w14:paraId="4BB5B1EA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b/>
                <w:sz w:val="17"/>
              </w:rPr>
              <w:t>Critical qualification</w:t>
            </w:r>
          </w:p>
        </w:tc>
      </w:tr>
      <w:tr w:rsidR="000420F3" w14:paraId="5329A786" w14:textId="77777777">
        <w:trPr>
          <w:cantSplit/>
          <w:jc w:val="center"/>
        </w:trPr>
        <w:tc>
          <w:tcPr>
            <w:tcW w:w="3264" w:type="dxa"/>
            <w:vAlign w:val="center"/>
          </w:tcPr>
          <w:p w14:paraId="3C55D520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7"/>
              </w:rPr>
              <w:t>Collective + individual</w:t>
            </w:r>
          </w:p>
        </w:tc>
        <w:tc>
          <w:tcPr>
            <w:tcW w:w="3264" w:type="dxa"/>
            <w:vAlign w:val="center"/>
          </w:tcPr>
          <w:p w14:paraId="43DE0650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7"/>
              </w:rPr>
              <w:t>Cohort learning for common safety and values, followed by role-specific coaching</w:t>
            </w:r>
          </w:p>
        </w:tc>
        <w:tc>
          <w:tcPr>
            <w:tcW w:w="3264" w:type="dxa"/>
            <w:vAlign w:val="center"/>
          </w:tcPr>
          <w:p w14:paraId="37A51529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7"/>
              </w:rPr>
              <w:t>Cohort consistency should not replace individual skill diagnosis</w:t>
            </w:r>
          </w:p>
        </w:tc>
      </w:tr>
      <w:tr w:rsidR="000420F3" w14:paraId="6B6BE736" w14:textId="77777777">
        <w:trPr>
          <w:cantSplit/>
          <w:jc w:val="center"/>
        </w:trPr>
        <w:tc>
          <w:tcPr>
            <w:tcW w:w="3264" w:type="dxa"/>
            <w:vAlign w:val="center"/>
          </w:tcPr>
          <w:p w14:paraId="000CB386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7"/>
              </w:rPr>
              <w:t>Formal + informal</w:t>
            </w:r>
          </w:p>
        </w:tc>
        <w:tc>
          <w:tcPr>
            <w:tcW w:w="3264" w:type="dxa"/>
            <w:vAlign w:val="center"/>
          </w:tcPr>
          <w:p w14:paraId="024FC81E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7"/>
              </w:rPr>
              <w:t>Protected training away from production plus guided learning in the workplace</w:t>
            </w:r>
          </w:p>
        </w:tc>
        <w:tc>
          <w:tcPr>
            <w:tcW w:w="3264" w:type="dxa"/>
            <w:vAlign w:val="center"/>
          </w:tcPr>
          <w:p w14:paraId="49BCCF5C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7"/>
              </w:rPr>
              <w:t>Informal learning must not transmit unsafe shortcuts</w:t>
            </w:r>
          </w:p>
        </w:tc>
      </w:tr>
      <w:tr w:rsidR="000420F3" w14:paraId="518CDD9F" w14:textId="77777777">
        <w:trPr>
          <w:cantSplit/>
          <w:jc w:val="center"/>
        </w:trPr>
        <w:tc>
          <w:tcPr>
            <w:tcW w:w="3264" w:type="dxa"/>
            <w:vAlign w:val="center"/>
          </w:tcPr>
          <w:p w14:paraId="2591F4BC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7"/>
              </w:rPr>
              <w:t>Sequential</w:t>
            </w:r>
          </w:p>
        </w:tc>
        <w:tc>
          <w:tcPr>
            <w:tcW w:w="3264" w:type="dxa"/>
            <w:vAlign w:val="center"/>
          </w:tcPr>
          <w:p w14:paraId="6B669C59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7"/>
              </w:rPr>
              <w:t>Clear competence pathway from orientation to supervised practice and independent work</w:t>
            </w:r>
          </w:p>
        </w:tc>
        <w:tc>
          <w:tcPr>
            <w:tcW w:w="3264" w:type="dxa"/>
            <w:vAlign w:val="center"/>
          </w:tcPr>
          <w:p w14:paraId="5A88EA2E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7"/>
              </w:rPr>
              <w:t>Milestones should be evidence-based rather than bureaucratic</w:t>
            </w:r>
          </w:p>
        </w:tc>
      </w:tr>
      <w:tr w:rsidR="000420F3" w14:paraId="719CA7FB" w14:textId="77777777">
        <w:trPr>
          <w:cantSplit/>
          <w:jc w:val="center"/>
        </w:trPr>
        <w:tc>
          <w:tcPr>
            <w:tcW w:w="3264" w:type="dxa"/>
            <w:vAlign w:val="center"/>
          </w:tcPr>
          <w:p w14:paraId="241F00B8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7"/>
              </w:rPr>
              <w:t>Fixed with flexibility</w:t>
            </w:r>
          </w:p>
        </w:tc>
        <w:tc>
          <w:tcPr>
            <w:tcW w:w="3264" w:type="dxa"/>
            <w:vAlign w:val="center"/>
          </w:tcPr>
          <w:p w14:paraId="546B5228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7"/>
              </w:rPr>
              <w:t>30-, 60-, 90-day, six-month and twelve-month reviews</w:t>
            </w:r>
          </w:p>
        </w:tc>
        <w:tc>
          <w:tcPr>
            <w:tcW w:w="3264" w:type="dxa"/>
            <w:vAlign w:val="center"/>
          </w:tcPr>
          <w:p w14:paraId="343BB507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7"/>
              </w:rPr>
              <w:t>Different technical roles may require different learning speeds</w:t>
            </w:r>
          </w:p>
        </w:tc>
      </w:tr>
      <w:tr w:rsidR="000420F3" w14:paraId="4764F297" w14:textId="77777777">
        <w:trPr>
          <w:cantSplit/>
          <w:jc w:val="center"/>
        </w:trPr>
        <w:tc>
          <w:tcPr>
            <w:tcW w:w="3264" w:type="dxa"/>
            <w:vAlign w:val="center"/>
          </w:tcPr>
          <w:p w14:paraId="21E52B3E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7"/>
              </w:rPr>
              <w:t>Serial</w:t>
            </w:r>
          </w:p>
        </w:tc>
        <w:tc>
          <w:tcPr>
            <w:tcW w:w="3264" w:type="dxa"/>
            <w:vAlign w:val="center"/>
          </w:tcPr>
          <w:p w14:paraId="6FB8A217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7"/>
              </w:rPr>
              <w:t>Experienced employees act as trained mentors or buddies</w:t>
            </w:r>
          </w:p>
        </w:tc>
        <w:tc>
          <w:tcPr>
            <w:tcW w:w="3264" w:type="dxa"/>
            <w:vAlign w:val="center"/>
          </w:tcPr>
          <w:p w14:paraId="192F51E1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7"/>
              </w:rPr>
              <w:t>Mentors need time, selection criteria and accountability</w:t>
            </w:r>
          </w:p>
        </w:tc>
      </w:tr>
      <w:tr w:rsidR="000420F3" w14:paraId="642F167C" w14:textId="77777777">
        <w:trPr>
          <w:cantSplit/>
          <w:jc w:val="center"/>
        </w:trPr>
        <w:tc>
          <w:tcPr>
            <w:tcW w:w="3264" w:type="dxa"/>
            <w:vAlign w:val="center"/>
          </w:tcPr>
          <w:p w14:paraId="06BB5A22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7"/>
              </w:rPr>
              <w:t>Investiture</w:t>
            </w:r>
          </w:p>
        </w:tc>
        <w:tc>
          <w:tcPr>
            <w:tcW w:w="3264" w:type="dxa"/>
            <w:vAlign w:val="center"/>
          </w:tcPr>
          <w:p w14:paraId="5C7D8492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proofErr w:type="spellStart"/>
            <w:r>
              <w:rPr>
                <w:rFonts w:eastAsia="MS Mincho"/>
                <w:sz w:val="17"/>
              </w:rPr>
              <w:t>Recognise</w:t>
            </w:r>
            <w:proofErr w:type="spellEnd"/>
            <w:r>
              <w:rPr>
                <w:rFonts w:eastAsia="MS Mincho"/>
                <w:sz w:val="17"/>
              </w:rPr>
              <w:t xml:space="preserve"> employees’ prior expertise and invite improvement ideas</w:t>
            </w:r>
          </w:p>
        </w:tc>
        <w:tc>
          <w:tcPr>
            <w:tcW w:w="3264" w:type="dxa"/>
            <w:vAlign w:val="center"/>
          </w:tcPr>
          <w:p w14:paraId="5653B40C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7"/>
              </w:rPr>
              <w:t>Existing assumptions must still be challenged where technology or safety has changed</w:t>
            </w:r>
          </w:p>
        </w:tc>
      </w:tr>
    </w:tbl>
    <w:p w14:paraId="7D7E82FC" w14:textId="77777777" w:rsidR="000420F3" w:rsidRDefault="00000000">
      <w:r>
        <w:t xml:space="preserve">Meta-analytic evidence links </w:t>
      </w:r>
      <w:proofErr w:type="spellStart"/>
      <w:r>
        <w:t>institutionalised</w:t>
      </w:r>
      <w:proofErr w:type="spellEnd"/>
      <w:r>
        <w:t xml:space="preserve"> </w:t>
      </w:r>
      <w:proofErr w:type="spellStart"/>
      <w:r>
        <w:t>socialisation</w:t>
      </w:r>
      <w:proofErr w:type="spellEnd"/>
      <w:r>
        <w:t xml:space="preserve"> tactics to stronger role clarity, self-efficacy and commitment, though effects vary by context (Saks, Uggerslev and </w:t>
      </w:r>
      <w:proofErr w:type="spellStart"/>
      <w:r>
        <w:t>Fassina</w:t>
      </w:r>
      <w:proofErr w:type="spellEnd"/>
      <w:r>
        <w:t>, 2007).</w:t>
      </w:r>
    </w:p>
    <w:p w14:paraId="79740BFB" w14:textId="77777777" w:rsidR="000420F3" w:rsidRDefault="00000000">
      <w:pPr>
        <w:pStyle w:val="Heading3"/>
      </w:pPr>
      <w:bookmarkStart w:id="7" w:name="__RefHeading___Toc2097_836813259"/>
      <w:bookmarkEnd w:id="7"/>
      <w:r>
        <w:lastRenderedPageBreak/>
        <w:t>Psychological contract theory</w:t>
      </w:r>
    </w:p>
    <w:p w14:paraId="73FCA7EC" w14:textId="77777777" w:rsidR="000420F3" w:rsidRDefault="00000000">
      <w:r>
        <w:t>Rousseau (1989, 1995) defines the psychological contract as employees’ beliefs about reciprocal obligations; realistic communication is essential during restructuring.</w:t>
      </w:r>
    </w:p>
    <w:p w14:paraId="3EC2FFCC" w14:textId="77777777" w:rsidR="000420F3" w:rsidRDefault="00000000">
      <w:pPr>
        <w:pStyle w:val="ListBullet"/>
        <w:ind w:hanging="230"/>
      </w:pPr>
      <w:r>
        <w:t>Be explicit about what can and cannot be promised on role continuity, training and future capability needs.</w:t>
      </w:r>
    </w:p>
    <w:p w14:paraId="59DC00B6" w14:textId="77777777" w:rsidR="000420F3" w:rsidRDefault="00000000">
      <w:pPr>
        <w:pStyle w:val="ListBullet"/>
        <w:ind w:hanging="230"/>
      </w:pPr>
      <w:r>
        <w:t>Use realistic job previews rather than only positive messages.</w:t>
      </w:r>
    </w:p>
    <w:p w14:paraId="68142A85" w14:textId="77777777" w:rsidR="000420F3" w:rsidRDefault="00000000">
      <w:pPr>
        <w:pStyle w:val="ListBullet"/>
        <w:ind w:hanging="230"/>
      </w:pPr>
      <w:r>
        <w:t>Record development commitments and review progress regularly.</w:t>
      </w:r>
    </w:p>
    <w:p w14:paraId="68B01970" w14:textId="77777777" w:rsidR="000420F3" w:rsidRDefault="00000000">
      <w:pPr>
        <w:pStyle w:val="ListBullet"/>
        <w:ind w:hanging="230"/>
      </w:pPr>
      <w:r>
        <w:t>Provide fair processes and employee voice when requirements change.</w:t>
      </w:r>
    </w:p>
    <w:p w14:paraId="46CCD7D2" w14:textId="77777777" w:rsidR="000420F3" w:rsidRDefault="00000000">
      <w:pPr>
        <w:pStyle w:val="Heading3"/>
      </w:pPr>
      <w:bookmarkStart w:id="8" w:name="__RefHeading___Toc2099_836813259"/>
      <w:bookmarkEnd w:id="8"/>
      <w:r>
        <w:t xml:space="preserve">Identity construction and </w:t>
      </w:r>
      <w:proofErr w:type="spellStart"/>
      <w:r>
        <w:t>organisational</w:t>
      </w:r>
      <w:proofErr w:type="spellEnd"/>
      <w:r>
        <w:t xml:space="preserve"> identification</w:t>
      </w:r>
    </w:p>
    <w:p w14:paraId="3B806FFA" w14:textId="77777777" w:rsidR="000420F3" w:rsidRDefault="00000000">
      <w:proofErr w:type="spellStart"/>
      <w:r>
        <w:t>Organisational</w:t>
      </w:r>
      <w:proofErr w:type="spellEnd"/>
      <w:r>
        <w:t xml:space="preserve"> identification is a sense of oneness with the </w:t>
      </w:r>
      <w:proofErr w:type="spellStart"/>
      <w:r>
        <w:t>organisation</w:t>
      </w:r>
      <w:proofErr w:type="spellEnd"/>
      <w:r>
        <w:t xml:space="preserve"> (Ashforth and Mael, 1989); </w:t>
      </w:r>
      <w:proofErr w:type="spellStart"/>
      <w:r>
        <w:t>socialisation</w:t>
      </w:r>
      <w:proofErr w:type="spellEnd"/>
      <w:r>
        <w:t xml:space="preserve"> should connect work to purpose without creating unquestioning loyalty.</w:t>
      </w:r>
    </w:p>
    <w:p w14:paraId="495497BF" w14:textId="77777777" w:rsidR="000420F3" w:rsidRDefault="00000000">
      <w:pPr>
        <w:pStyle w:val="ListBullet"/>
        <w:ind w:hanging="230"/>
      </w:pPr>
      <w:r>
        <w:t>Connect roles to lower-carbon steel, customer reliability and regional economic contribution.</w:t>
      </w:r>
    </w:p>
    <w:p w14:paraId="4D4E50A1" w14:textId="77777777" w:rsidR="000420F3" w:rsidRDefault="00000000">
      <w:pPr>
        <w:pStyle w:val="ListBullet"/>
        <w:ind w:hanging="230"/>
      </w:pPr>
      <w:r>
        <w:t>Use credible stories from employees, customers and communities rather than slogans.</w:t>
      </w:r>
    </w:p>
    <w:p w14:paraId="50780CF3" w14:textId="77777777" w:rsidR="000420F3" w:rsidRDefault="00000000">
      <w:pPr>
        <w:pStyle w:val="ListBullet"/>
        <w:ind w:hanging="230"/>
      </w:pPr>
      <w:r>
        <w:t>Encourage employees to challenge unsafe or unethical practice, alongside psychological safety.</w:t>
      </w:r>
    </w:p>
    <w:p w14:paraId="2895A5AA" w14:textId="77777777" w:rsidR="000420F3" w:rsidRDefault="00000000">
      <w:pPr>
        <w:pStyle w:val="Heading2"/>
      </w:pPr>
      <w:bookmarkStart w:id="9" w:name="__RefHeading___Toc2101_836813259"/>
      <w:bookmarkEnd w:id="9"/>
      <w:r>
        <w:t xml:space="preserve">2.4 Proposed structured </w:t>
      </w:r>
      <w:proofErr w:type="spellStart"/>
      <w:r>
        <w:t>socialisation</w:t>
      </w:r>
      <w:proofErr w:type="spellEnd"/>
      <w:r>
        <w:t xml:space="preserve"> framework</w:t>
      </w:r>
    </w:p>
    <w:tbl>
      <w:tblPr>
        <w:tblStyle w:val="TableGrid"/>
        <w:tblW w:w="9792" w:type="dxa"/>
        <w:jc w:val="center"/>
        <w:tblLayout w:type="fixed"/>
        <w:tblCellMar>
          <w:top w:w="70" w:type="dxa"/>
          <w:left w:w="70" w:type="dxa"/>
          <w:bottom w:w="70" w:type="dxa"/>
          <w:right w:w="70" w:type="dxa"/>
        </w:tblCellMar>
        <w:tblLook w:val="04A0" w:firstRow="1" w:lastRow="0" w:firstColumn="1" w:lastColumn="0" w:noHBand="0" w:noVBand="1"/>
      </w:tblPr>
      <w:tblGrid>
        <w:gridCol w:w="2448"/>
        <w:gridCol w:w="2448"/>
        <w:gridCol w:w="2448"/>
        <w:gridCol w:w="2448"/>
      </w:tblGrid>
      <w:tr w:rsidR="000420F3" w14:paraId="316A8FDB" w14:textId="77777777">
        <w:trPr>
          <w:cantSplit/>
          <w:tblHeader/>
          <w:jc w:val="center"/>
        </w:trPr>
        <w:tc>
          <w:tcPr>
            <w:tcW w:w="2448" w:type="dxa"/>
            <w:shd w:val="clear" w:color="auto" w:fill="D9EAF7"/>
            <w:vAlign w:val="center"/>
          </w:tcPr>
          <w:p w14:paraId="10012701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b/>
                <w:sz w:val="16"/>
              </w:rPr>
              <w:t>Stage</w:t>
            </w:r>
          </w:p>
        </w:tc>
        <w:tc>
          <w:tcPr>
            <w:tcW w:w="2448" w:type="dxa"/>
            <w:shd w:val="clear" w:color="auto" w:fill="D9EAF7"/>
            <w:vAlign w:val="center"/>
          </w:tcPr>
          <w:p w14:paraId="17420657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b/>
                <w:sz w:val="16"/>
              </w:rPr>
              <w:t>Key activities</w:t>
            </w:r>
          </w:p>
        </w:tc>
        <w:tc>
          <w:tcPr>
            <w:tcW w:w="2448" w:type="dxa"/>
            <w:shd w:val="clear" w:color="auto" w:fill="D9EAF7"/>
            <w:vAlign w:val="center"/>
          </w:tcPr>
          <w:p w14:paraId="5AF9FB31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b/>
                <w:sz w:val="16"/>
              </w:rPr>
              <w:t>Responsibility</w:t>
            </w:r>
          </w:p>
        </w:tc>
        <w:tc>
          <w:tcPr>
            <w:tcW w:w="2448" w:type="dxa"/>
            <w:shd w:val="clear" w:color="auto" w:fill="D9EAF7"/>
            <w:vAlign w:val="center"/>
          </w:tcPr>
          <w:p w14:paraId="43265A7F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b/>
                <w:sz w:val="16"/>
              </w:rPr>
              <w:t>Evidence of progress</w:t>
            </w:r>
          </w:p>
        </w:tc>
      </w:tr>
      <w:tr w:rsidR="000420F3" w14:paraId="61A62B98" w14:textId="77777777">
        <w:trPr>
          <w:cantSplit/>
          <w:jc w:val="center"/>
        </w:trPr>
        <w:tc>
          <w:tcPr>
            <w:tcW w:w="2448" w:type="dxa"/>
            <w:vAlign w:val="center"/>
          </w:tcPr>
          <w:p w14:paraId="601D969A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6"/>
              </w:rPr>
              <w:t>Pre-boarding</w:t>
            </w:r>
          </w:p>
        </w:tc>
        <w:tc>
          <w:tcPr>
            <w:tcW w:w="2448" w:type="dxa"/>
            <w:vAlign w:val="center"/>
          </w:tcPr>
          <w:p w14:paraId="6A278E2D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6"/>
              </w:rPr>
              <w:t>Realistic job and transformation briefing; digital welcome portal; values introduction; initial skills profile; buddy allocation.</w:t>
            </w:r>
          </w:p>
        </w:tc>
        <w:tc>
          <w:tcPr>
            <w:tcW w:w="2448" w:type="dxa"/>
            <w:vAlign w:val="center"/>
          </w:tcPr>
          <w:p w14:paraId="0A863456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6"/>
              </w:rPr>
              <w:t>Recruitment, HR, line manager</w:t>
            </w:r>
          </w:p>
        </w:tc>
        <w:tc>
          <w:tcPr>
            <w:tcW w:w="2448" w:type="dxa"/>
            <w:vAlign w:val="center"/>
          </w:tcPr>
          <w:p w14:paraId="59926E81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6"/>
              </w:rPr>
              <w:t>Portal completion, questions logged, initial skills baseline, pre-joining pulse check</w:t>
            </w:r>
          </w:p>
        </w:tc>
      </w:tr>
      <w:tr w:rsidR="000420F3" w14:paraId="72382B1C" w14:textId="77777777">
        <w:trPr>
          <w:cantSplit/>
          <w:jc w:val="center"/>
        </w:trPr>
        <w:tc>
          <w:tcPr>
            <w:tcW w:w="2448" w:type="dxa"/>
            <w:vAlign w:val="center"/>
          </w:tcPr>
          <w:p w14:paraId="3EE3532A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6"/>
              </w:rPr>
              <w:t>Days 1-30</w:t>
            </w:r>
          </w:p>
        </w:tc>
        <w:tc>
          <w:tcPr>
            <w:tcW w:w="2448" w:type="dxa"/>
            <w:vAlign w:val="center"/>
          </w:tcPr>
          <w:p w14:paraId="31FA5025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6"/>
              </w:rPr>
              <w:t>Safety and ethics learning; site orientation; supervised technical practice; weekly manager check-ins; buddy support.</w:t>
            </w:r>
          </w:p>
        </w:tc>
        <w:tc>
          <w:tcPr>
            <w:tcW w:w="2448" w:type="dxa"/>
            <w:vAlign w:val="center"/>
          </w:tcPr>
          <w:p w14:paraId="6AE165C5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6"/>
              </w:rPr>
              <w:t>Line manager, safety specialists, HR, buddy</w:t>
            </w:r>
          </w:p>
        </w:tc>
        <w:tc>
          <w:tcPr>
            <w:tcW w:w="2448" w:type="dxa"/>
            <w:vAlign w:val="center"/>
          </w:tcPr>
          <w:p w14:paraId="640A1799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6"/>
              </w:rPr>
              <w:t>Mandatory competence records, role-clarity check, manager observation, employee feedback</w:t>
            </w:r>
          </w:p>
        </w:tc>
      </w:tr>
      <w:tr w:rsidR="000420F3" w14:paraId="69387E6E" w14:textId="77777777">
        <w:trPr>
          <w:cantSplit/>
          <w:jc w:val="center"/>
        </w:trPr>
        <w:tc>
          <w:tcPr>
            <w:tcW w:w="2448" w:type="dxa"/>
            <w:vAlign w:val="center"/>
          </w:tcPr>
          <w:p w14:paraId="6FDACBE7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6"/>
              </w:rPr>
              <w:t>Days 31-90</w:t>
            </w:r>
          </w:p>
        </w:tc>
        <w:tc>
          <w:tcPr>
            <w:tcW w:w="2448" w:type="dxa"/>
            <w:vAlign w:val="center"/>
          </w:tcPr>
          <w:p w14:paraId="37CD4B23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6"/>
              </w:rPr>
              <w:t>Cross-functional exposure; small improvement project; sustainability learning; 60- and 90-day reviews; career discussion.</w:t>
            </w:r>
          </w:p>
        </w:tc>
        <w:tc>
          <w:tcPr>
            <w:tcW w:w="2448" w:type="dxa"/>
            <w:vAlign w:val="center"/>
          </w:tcPr>
          <w:p w14:paraId="59C85F0C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6"/>
              </w:rPr>
              <w:t>Manager, project sponsor, learning team</w:t>
            </w:r>
          </w:p>
        </w:tc>
        <w:tc>
          <w:tcPr>
            <w:tcW w:w="2448" w:type="dxa"/>
            <w:vAlign w:val="center"/>
          </w:tcPr>
          <w:p w14:paraId="76F32752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6"/>
              </w:rPr>
              <w:t>Project outcome, competence sign-off, network map, 90-day adjustment review</w:t>
            </w:r>
          </w:p>
        </w:tc>
      </w:tr>
      <w:tr w:rsidR="000420F3" w14:paraId="682491BB" w14:textId="77777777">
        <w:trPr>
          <w:cantSplit/>
          <w:jc w:val="center"/>
        </w:trPr>
        <w:tc>
          <w:tcPr>
            <w:tcW w:w="2448" w:type="dxa"/>
            <w:vAlign w:val="center"/>
          </w:tcPr>
          <w:p w14:paraId="375735BA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6"/>
              </w:rPr>
              <w:t>Months 4-12</w:t>
            </w:r>
          </w:p>
        </w:tc>
        <w:tc>
          <w:tcPr>
            <w:tcW w:w="2448" w:type="dxa"/>
            <w:vAlign w:val="center"/>
          </w:tcPr>
          <w:p w14:paraId="27B4EC66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6"/>
              </w:rPr>
              <w:t>Advanced reskilling; mentoring; internal mobility opportunity; ethics workshops; six- and twelve-month reviews; development plan.</w:t>
            </w:r>
          </w:p>
        </w:tc>
        <w:tc>
          <w:tcPr>
            <w:tcW w:w="2448" w:type="dxa"/>
            <w:vAlign w:val="center"/>
          </w:tcPr>
          <w:p w14:paraId="62DDD800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6"/>
              </w:rPr>
              <w:t>Business leader, HR, mentor, employee</w:t>
            </w:r>
          </w:p>
        </w:tc>
        <w:tc>
          <w:tcPr>
            <w:tcW w:w="2448" w:type="dxa"/>
            <w:vAlign w:val="center"/>
          </w:tcPr>
          <w:p w14:paraId="73B454C2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6"/>
              </w:rPr>
              <w:t>Retention, internal applications, development progress, engagement, innovation contribution</w:t>
            </w:r>
          </w:p>
        </w:tc>
      </w:tr>
    </w:tbl>
    <w:p w14:paraId="5DF7AB7E" w14:textId="77777777" w:rsidR="000420F3" w:rsidRDefault="00000000">
      <w:pPr>
        <w:pStyle w:val="Heading2"/>
      </w:pPr>
      <w:bookmarkStart w:id="10" w:name="__RefHeading___Toc2103_836813259"/>
      <w:bookmarkEnd w:id="10"/>
      <w:r>
        <w:lastRenderedPageBreak/>
        <w:t>2.5 Mechanisms for identification, ethical professionalism and business activism</w:t>
      </w:r>
    </w:p>
    <w:p w14:paraId="017AE495" w14:textId="77777777" w:rsidR="000420F3" w:rsidRDefault="00000000">
      <w:pPr>
        <w:pStyle w:val="Heading3"/>
      </w:pPr>
      <w:bookmarkStart w:id="11" w:name="__RefHeading___Toc2105_836813259"/>
      <w:bookmarkEnd w:id="11"/>
      <w:proofErr w:type="spellStart"/>
      <w:r>
        <w:t>Organisational</w:t>
      </w:r>
      <w:proofErr w:type="spellEnd"/>
      <w:r>
        <w:t xml:space="preserve"> identification</w:t>
      </w:r>
    </w:p>
    <w:p w14:paraId="629FD981" w14:textId="77777777" w:rsidR="000420F3" w:rsidRDefault="00000000">
      <w:pPr>
        <w:pStyle w:val="ListBullet"/>
        <w:ind w:hanging="230"/>
      </w:pPr>
      <w:r>
        <w:t>A purpose narrative linking individual work to safe, lower-carbon steel.</w:t>
      </w:r>
    </w:p>
    <w:p w14:paraId="29681E9B" w14:textId="77777777" w:rsidR="000420F3" w:rsidRDefault="00000000">
      <w:pPr>
        <w:pStyle w:val="ListBullet"/>
        <w:ind w:hanging="230"/>
      </w:pPr>
      <w:r>
        <w:t>Cross-functional networks that prevent narrow departmental identification.</w:t>
      </w:r>
    </w:p>
    <w:p w14:paraId="1A6ADF1A" w14:textId="77777777" w:rsidR="000420F3" w:rsidRDefault="00000000">
      <w:pPr>
        <w:pStyle w:val="ListBullet"/>
        <w:ind w:hanging="230"/>
      </w:pPr>
      <w:r>
        <w:t>Recognition for learning, safety improvement and responsible innovation, not only output.</w:t>
      </w:r>
    </w:p>
    <w:p w14:paraId="10FDA42B" w14:textId="77777777" w:rsidR="000420F3" w:rsidRDefault="00000000">
      <w:pPr>
        <w:pStyle w:val="ListBullet"/>
        <w:ind w:hanging="230"/>
      </w:pPr>
      <w:r>
        <w:t>Community and customer exposure to operational consequences.</w:t>
      </w:r>
    </w:p>
    <w:p w14:paraId="6D8FB02E" w14:textId="77777777" w:rsidR="000420F3" w:rsidRDefault="00000000">
      <w:pPr>
        <w:pStyle w:val="Heading3"/>
      </w:pPr>
      <w:bookmarkStart w:id="12" w:name="__RefHeading___Toc2107_836813259"/>
      <w:bookmarkEnd w:id="12"/>
      <w:r>
        <w:t>Ethical professionalism</w:t>
      </w:r>
    </w:p>
    <w:p w14:paraId="3C66B525" w14:textId="77777777" w:rsidR="000420F3" w:rsidRDefault="00000000">
      <w:pPr>
        <w:pStyle w:val="ListBullet"/>
        <w:ind w:hanging="230"/>
      </w:pPr>
      <w:r>
        <w:t>Practical scenarios on safety, data use, procurement and speaking up.</w:t>
      </w:r>
    </w:p>
    <w:p w14:paraId="4B401D97" w14:textId="77777777" w:rsidR="000420F3" w:rsidRDefault="00000000">
      <w:pPr>
        <w:pStyle w:val="ListBullet"/>
        <w:ind w:hanging="230"/>
      </w:pPr>
      <w:r>
        <w:t>A clear line between meeting targets and overriding non-negotiable safety or ethical standards.</w:t>
      </w:r>
    </w:p>
    <w:p w14:paraId="75BBF8D4" w14:textId="77777777" w:rsidR="000420F3" w:rsidRDefault="00000000">
      <w:pPr>
        <w:pStyle w:val="ListBullet"/>
        <w:ind w:hanging="230"/>
      </w:pPr>
      <w:r>
        <w:t>Protected reporting routes and visible senior-leader responses.</w:t>
      </w:r>
    </w:p>
    <w:p w14:paraId="4745C817" w14:textId="77777777" w:rsidR="000420F3" w:rsidRDefault="00000000">
      <w:pPr>
        <w:pStyle w:val="ListBullet"/>
        <w:ind w:hanging="230"/>
      </w:pPr>
      <w:r>
        <w:t xml:space="preserve">Ethics measures assessing understanding and </w:t>
      </w:r>
      <w:proofErr w:type="spellStart"/>
      <w:r>
        <w:t>behaviour</w:t>
      </w:r>
      <w:proofErr w:type="spellEnd"/>
      <w:r>
        <w:t>, not just training completion.</w:t>
      </w:r>
    </w:p>
    <w:p w14:paraId="5B19E38F" w14:textId="77777777" w:rsidR="000420F3" w:rsidRDefault="00000000">
      <w:pPr>
        <w:pStyle w:val="Heading3"/>
      </w:pPr>
      <w:bookmarkStart w:id="13" w:name="__RefHeading___Toc2109_836813259"/>
      <w:bookmarkEnd w:id="13"/>
      <w:r>
        <w:t>Business activist mindset</w:t>
      </w:r>
    </w:p>
    <w:p w14:paraId="0B3BD08D" w14:textId="77777777" w:rsidR="000420F3" w:rsidRDefault="00000000">
      <w:r>
        <w:t xml:space="preserve">Ulrich’s outside-in view of HR </w:t>
      </w:r>
      <w:proofErr w:type="spellStart"/>
      <w:r>
        <w:t>emphasises</w:t>
      </w:r>
      <w:proofErr w:type="spellEnd"/>
      <w:r>
        <w:t xml:space="preserve"> value for multiple </w:t>
      </w:r>
      <w:proofErr w:type="gramStart"/>
      <w:r>
        <w:t>stakeholders</w:t>
      </w:r>
      <w:proofErr w:type="gramEnd"/>
      <w:r>
        <w:t xml:space="preserve"> over internal process; at Tata Steel this mindset can extend beyond HR so employees weigh commercial realities alongside customers, communities and the environment.</w:t>
      </w:r>
    </w:p>
    <w:p w14:paraId="10BC5E68" w14:textId="77777777" w:rsidR="000420F3" w:rsidRDefault="00000000">
      <w:pPr>
        <w:pStyle w:val="ListBullet"/>
        <w:ind w:hanging="230"/>
      </w:pPr>
      <w:r>
        <w:t>Stakeholder workshops using real trade-offs.</w:t>
      </w:r>
    </w:p>
    <w:p w14:paraId="257E8391" w14:textId="77777777" w:rsidR="000420F3" w:rsidRDefault="00000000">
      <w:pPr>
        <w:pStyle w:val="ListBullet"/>
        <w:ind w:hanging="230"/>
      </w:pPr>
      <w:r>
        <w:t>Cross-functional challenges with commercial, safety and sustainability criteria.</w:t>
      </w:r>
    </w:p>
    <w:p w14:paraId="018A059B" w14:textId="77777777" w:rsidR="000420F3" w:rsidRDefault="00000000">
      <w:pPr>
        <w:pStyle w:val="ListBullet"/>
        <w:ind w:hanging="230"/>
      </w:pPr>
      <w:r>
        <w:t>Senior-leader dialogues on how customers and policy shape strategic choices.</w:t>
      </w:r>
    </w:p>
    <w:p w14:paraId="2705BA11" w14:textId="77777777" w:rsidR="000420F3" w:rsidRDefault="00000000">
      <w:pPr>
        <w:pStyle w:val="ListBullet"/>
        <w:ind w:hanging="230"/>
      </w:pPr>
      <w:r>
        <w:t>Training in evidence-based challenge and influencing skills.</w:t>
      </w:r>
    </w:p>
    <w:p w14:paraId="21BFDED8" w14:textId="77777777" w:rsidR="000420F3" w:rsidRDefault="00000000">
      <w:pPr>
        <w:pStyle w:val="Heading2"/>
      </w:pPr>
      <w:bookmarkStart w:id="14" w:name="__RefHeading___Toc2111_836813259"/>
      <w:bookmarkEnd w:id="14"/>
      <w:r>
        <w:t>2.6 Risks and controls</w:t>
      </w:r>
    </w:p>
    <w:tbl>
      <w:tblPr>
        <w:tblStyle w:val="TableGrid"/>
        <w:tblW w:w="9792" w:type="dxa"/>
        <w:jc w:val="center"/>
        <w:tblLayout w:type="fixed"/>
        <w:tblCellMar>
          <w:top w:w="70" w:type="dxa"/>
          <w:left w:w="70" w:type="dxa"/>
          <w:bottom w:w="70" w:type="dxa"/>
          <w:right w:w="70" w:type="dxa"/>
        </w:tblCellMar>
        <w:tblLook w:val="04A0" w:firstRow="1" w:lastRow="0" w:firstColumn="1" w:lastColumn="0" w:noHBand="0" w:noVBand="1"/>
      </w:tblPr>
      <w:tblGrid>
        <w:gridCol w:w="4896"/>
        <w:gridCol w:w="4896"/>
      </w:tblGrid>
      <w:tr w:rsidR="000420F3" w14:paraId="5F0B6DCD" w14:textId="77777777">
        <w:trPr>
          <w:cantSplit/>
          <w:tblHeader/>
          <w:jc w:val="center"/>
        </w:trPr>
        <w:tc>
          <w:tcPr>
            <w:tcW w:w="4896" w:type="dxa"/>
            <w:shd w:val="clear" w:color="auto" w:fill="D9EAF7"/>
            <w:vAlign w:val="center"/>
          </w:tcPr>
          <w:p w14:paraId="58D4BA14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b/>
                <w:sz w:val="18"/>
              </w:rPr>
              <w:t>Risk</w:t>
            </w:r>
          </w:p>
        </w:tc>
        <w:tc>
          <w:tcPr>
            <w:tcW w:w="4896" w:type="dxa"/>
            <w:shd w:val="clear" w:color="auto" w:fill="D9EAF7"/>
            <w:vAlign w:val="center"/>
          </w:tcPr>
          <w:p w14:paraId="73F37CE6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b/>
                <w:sz w:val="18"/>
              </w:rPr>
              <w:t>Control</w:t>
            </w:r>
          </w:p>
        </w:tc>
      </w:tr>
      <w:tr w:rsidR="000420F3" w14:paraId="777166C2" w14:textId="77777777">
        <w:trPr>
          <w:cantSplit/>
          <w:jc w:val="center"/>
        </w:trPr>
        <w:tc>
          <w:tcPr>
            <w:tcW w:w="4896" w:type="dxa"/>
            <w:vAlign w:val="center"/>
          </w:tcPr>
          <w:p w14:paraId="54804131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proofErr w:type="spellStart"/>
            <w:r>
              <w:rPr>
                <w:rFonts w:eastAsia="MS Mincho"/>
                <w:sz w:val="18"/>
              </w:rPr>
              <w:t>Socialisation</w:t>
            </w:r>
            <w:proofErr w:type="spellEnd"/>
            <w:r>
              <w:rPr>
                <w:rFonts w:eastAsia="MS Mincho"/>
                <w:sz w:val="18"/>
              </w:rPr>
              <w:t xml:space="preserve"> becomes corporate indoctrination</w:t>
            </w:r>
          </w:p>
        </w:tc>
        <w:tc>
          <w:tcPr>
            <w:tcW w:w="4896" w:type="dxa"/>
            <w:vAlign w:val="center"/>
          </w:tcPr>
          <w:p w14:paraId="5751C7F8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8"/>
              </w:rPr>
              <w:t>Protect employee voice and speaking-up mechanisms</w:t>
            </w:r>
          </w:p>
        </w:tc>
      </w:tr>
      <w:tr w:rsidR="000420F3" w14:paraId="0CD71EC0" w14:textId="77777777">
        <w:trPr>
          <w:cantSplit/>
          <w:jc w:val="center"/>
        </w:trPr>
        <w:tc>
          <w:tcPr>
            <w:tcW w:w="4896" w:type="dxa"/>
            <w:vAlign w:val="center"/>
          </w:tcPr>
          <w:p w14:paraId="54800F5F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8"/>
              </w:rPr>
              <w:t>Mentors reproduce outdated practice</w:t>
            </w:r>
          </w:p>
        </w:tc>
        <w:tc>
          <w:tcPr>
            <w:tcW w:w="4896" w:type="dxa"/>
            <w:vAlign w:val="center"/>
          </w:tcPr>
          <w:p w14:paraId="4FDA82C2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8"/>
              </w:rPr>
              <w:t>Train and rotate mentors; monitor learning quality</w:t>
            </w:r>
          </w:p>
        </w:tc>
      </w:tr>
      <w:tr w:rsidR="000420F3" w14:paraId="3FF79EB4" w14:textId="77777777">
        <w:trPr>
          <w:cantSplit/>
          <w:jc w:val="center"/>
        </w:trPr>
        <w:tc>
          <w:tcPr>
            <w:tcW w:w="4896" w:type="dxa"/>
            <w:vAlign w:val="center"/>
          </w:tcPr>
          <w:p w14:paraId="33C37029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8"/>
              </w:rPr>
              <w:t>Information overload during the first month</w:t>
            </w:r>
          </w:p>
        </w:tc>
        <w:tc>
          <w:tcPr>
            <w:tcW w:w="4896" w:type="dxa"/>
            <w:vAlign w:val="center"/>
          </w:tcPr>
          <w:p w14:paraId="6BB2A883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8"/>
              </w:rPr>
              <w:t>Sequence learning and provide searchable job aids</w:t>
            </w:r>
          </w:p>
        </w:tc>
      </w:tr>
      <w:tr w:rsidR="000420F3" w14:paraId="0F233073" w14:textId="77777777">
        <w:trPr>
          <w:cantSplit/>
          <w:jc w:val="center"/>
        </w:trPr>
        <w:tc>
          <w:tcPr>
            <w:tcW w:w="4896" w:type="dxa"/>
            <w:vAlign w:val="center"/>
          </w:tcPr>
          <w:p w14:paraId="199035A3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8"/>
              </w:rPr>
              <w:t xml:space="preserve">Generic </w:t>
            </w:r>
            <w:proofErr w:type="spellStart"/>
            <w:r>
              <w:rPr>
                <w:rFonts w:eastAsia="MS Mincho"/>
                <w:sz w:val="18"/>
              </w:rPr>
              <w:t>programme</w:t>
            </w:r>
            <w:proofErr w:type="spellEnd"/>
            <w:r>
              <w:rPr>
                <w:rFonts w:eastAsia="MS Mincho"/>
                <w:sz w:val="18"/>
              </w:rPr>
              <w:t xml:space="preserve"> ignores role differences</w:t>
            </w:r>
          </w:p>
        </w:tc>
        <w:tc>
          <w:tcPr>
            <w:tcW w:w="4896" w:type="dxa"/>
            <w:vAlign w:val="center"/>
          </w:tcPr>
          <w:p w14:paraId="4C666450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8"/>
              </w:rPr>
              <w:t>Use a common core plus role-specific competence pathways</w:t>
            </w:r>
          </w:p>
        </w:tc>
      </w:tr>
      <w:tr w:rsidR="000420F3" w14:paraId="3FD5B91E" w14:textId="77777777">
        <w:trPr>
          <w:cantSplit/>
          <w:jc w:val="center"/>
        </w:trPr>
        <w:tc>
          <w:tcPr>
            <w:tcW w:w="4896" w:type="dxa"/>
            <w:vAlign w:val="center"/>
          </w:tcPr>
          <w:p w14:paraId="54066805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8"/>
              </w:rPr>
              <w:t>Manager inconsistency</w:t>
            </w:r>
          </w:p>
        </w:tc>
        <w:tc>
          <w:tcPr>
            <w:tcW w:w="4896" w:type="dxa"/>
            <w:vAlign w:val="center"/>
          </w:tcPr>
          <w:p w14:paraId="14D16328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8"/>
              </w:rPr>
              <w:t>Set minimum standards and audit completion quality</w:t>
            </w:r>
          </w:p>
        </w:tc>
      </w:tr>
      <w:tr w:rsidR="000420F3" w14:paraId="2B20743C" w14:textId="77777777">
        <w:trPr>
          <w:cantSplit/>
          <w:jc w:val="center"/>
        </w:trPr>
        <w:tc>
          <w:tcPr>
            <w:tcW w:w="4896" w:type="dxa"/>
            <w:vAlign w:val="center"/>
          </w:tcPr>
          <w:p w14:paraId="052B8799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8"/>
              </w:rPr>
              <w:t>Promises about careers are not delivered</w:t>
            </w:r>
          </w:p>
        </w:tc>
        <w:tc>
          <w:tcPr>
            <w:tcW w:w="4896" w:type="dxa"/>
            <w:vAlign w:val="center"/>
          </w:tcPr>
          <w:p w14:paraId="71FDA7EF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8"/>
              </w:rPr>
              <w:t>Use realistic language and publish opportunity criteria</w:t>
            </w:r>
          </w:p>
        </w:tc>
      </w:tr>
    </w:tbl>
    <w:p w14:paraId="1717F7BE" w14:textId="77777777" w:rsidR="000420F3" w:rsidRDefault="00000000">
      <w:pPr>
        <w:pStyle w:val="Heading2"/>
      </w:pPr>
      <w:bookmarkStart w:id="15" w:name="__RefHeading___Toc2113_836813259"/>
      <w:bookmarkEnd w:id="15"/>
      <w:r>
        <w:lastRenderedPageBreak/>
        <w:t>2.7 Measures of success</w:t>
      </w:r>
    </w:p>
    <w:p w14:paraId="0D87F49D" w14:textId="77777777" w:rsidR="000420F3" w:rsidRDefault="00000000">
      <w:pPr>
        <w:pStyle w:val="ListBullet"/>
        <w:ind w:hanging="230"/>
      </w:pPr>
      <w:r>
        <w:t>Time to independent competence and role clarity.</w:t>
      </w:r>
    </w:p>
    <w:p w14:paraId="33BFF48A" w14:textId="77777777" w:rsidR="000420F3" w:rsidRDefault="00000000">
      <w:pPr>
        <w:pStyle w:val="ListBullet"/>
        <w:ind w:hanging="230"/>
      </w:pPr>
      <w:r>
        <w:t xml:space="preserve">New-starter engagement and </w:t>
      </w:r>
      <w:proofErr w:type="spellStart"/>
      <w:r>
        <w:t>organisational</w:t>
      </w:r>
      <w:proofErr w:type="spellEnd"/>
      <w:r>
        <w:t xml:space="preserve"> identification.</w:t>
      </w:r>
    </w:p>
    <w:p w14:paraId="6615333D" w14:textId="77777777" w:rsidR="000420F3" w:rsidRDefault="00000000">
      <w:pPr>
        <w:pStyle w:val="ListBullet"/>
        <w:ind w:hanging="230"/>
      </w:pPr>
      <w:r>
        <w:t>Retention at 6, 12 and 24 months.</w:t>
      </w:r>
    </w:p>
    <w:p w14:paraId="565B9495" w14:textId="77777777" w:rsidR="000420F3" w:rsidRDefault="00000000">
      <w:pPr>
        <w:pStyle w:val="ListBullet"/>
        <w:ind w:hanging="230"/>
      </w:pPr>
      <w:r>
        <w:t>Safety competence and confidence to speak up.</w:t>
      </w:r>
    </w:p>
    <w:p w14:paraId="126007C6" w14:textId="77777777" w:rsidR="000420F3" w:rsidRDefault="00000000">
      <w:pPr>
        <w:pStyle w:val="ListBullet"/>
        <w:ind w:hanging="230"/>
      </w:pPr>
      <w:r>
        <w:t>Number and quality of improvement ideas implemented.</w:t>
      </w:r>
    </w:p>
    <w:p w14:paraId="2A3F5628" w14:textId="77777777" w:rsidR="000420F3" w:rsidRDefault="000420F3">
      <w:pPr>
        <w:spacing w:after="40"/>
      </w:pPr>
    </w:p>
    <w:p w14:paraId="5AD8F327" w14:textId="77777777" w:rsidR="000420F3" w:rsidRDefault="00000000">
      <w:pPr>
        <w:pStyle w:val="Heading1"/>
      </w:pPr>
      <w:bookmarkStart w:id="16" w:name="__RefHeading___Toc2115_836813259"/>
      <w:bookmarkEnd w:id="16"/>
      <w:r>
        <w:t>3. Task 2 research and planning notes: Innovative job design</w:t>
      </w:r>
    </w:p>
    <w:p w14:paraId="4FF508F7" w14:textId="77777777" w:rsidR="000420F3" w:rsidRDefault="00000000">
      <w:pPr>
        <w:pStyle w:val="Heading2"/>
      </w:pPr>
      <w:bookmarkStart w:id="17" w:name="__RefHeading___Toc2117_836813259"/>
      <w:bookmarkEnd w:id="17"/>
      <w:r>
        <w:t>3.1 Proposed overall strategy</w:t>
      </w:r>
    </w:p>
    <w:p w14:paraId="0665D7DB" w14:textId="77777777" w:rsidR="000420F3" w:rsidRDefault="00000000">
      <w:r>
        <w:t>A coherent proposal is a controlled skills-based work architecture combining:</w:t>
      </w:r>
    </w:p>
    <w:p w14:paraId="0C16A429" w14:textId="77777777" w:rsidR="000420F3" w:rsidRDefault="00000000">
      <w:pPr>
        <w:pStyle w:val="ListBullet"/>
        <w:ind w:hanging="230"/>
      </w:pPr>
      <w:r>
        <w:t>Job Characteristics Model, to improve meaningfulness and responsibility.</w:t>
      </w:r>
    </w:p>
    <w:p w14:paraId="5BA463D4" w14:textId="77777777" w:rsidR="000420F3" w:rsidRDefault="00000000">
      <w:pPr>
        <w:pStyle w:val="ListBullet"/>
        <w:ind w:hanging="230"/>
      </w:pPr>
      <w:r>
        <w:t>Job crafting, for bounded employee influence over tasks and meaning.</w:t>
      </w:r>
    </w:p>
    <w:p w14:paraId="4C9698ED" w14:textId="77777777" w:rsidR="000420F3" w:rsidRDefault="00000000">
      <w:pPr>
        <w:pStyle w:val="ListBullet"/>
        <w:ind w:hanging="230"/>
      </w:pPr>
      <w:r>
        <w:t>An internal talent marketplace matching verified skills to projects and vacancies.</w:t>
      </w:r>
    </w:p>
    <w:p w14:paraId="48759EEE" w14:textId="77777777" w:rsidR="000420F3" w:rsidRDefault="00000000">
      <w:r>
        <w:t>This is not unrestricted flexibility: manufacturing requires clear accountabilities, engineering standards and non-negotiable safety boundaries.</w:t>
      </w:r>
    </w:p>
    <w:p w14:paraId="635EDA57" w14:textId="77777777" w:rsidR="000420F3" w:rsidRDefault="00000000">
      <w:pPr>
        <w:pStyle w:val="Heading2"/>
      </w:pPr>
      <w:bookmarkStart w:id="18" w:name="__RefHeading___Toc2119_836813259"/>
      <w:bookmarkEnd w:id="18"/>
      <w:r>
        <w:t>3.2 Applying the Job Characteristics Model</w:t>
      </w:r>
    </w:p>
    <w:tbl>
      <w:tblPr>
        <w:tblStyle w:val="TableGrid"/>
        <w:tblW w:w="9792" w:type="dxa"/>
        <w:jc w:val="center"/>
        <w:tblLayout w:type="fixed"/>
        <w:tblCellMar>
          <w:top w:w="70" w:type="dxa"/>
          <w:left w:w="70" w:type="dxa"/>
          <w:bottom w:w="70" w:type="dxa"/>
          <w:right w:w="70" w:type="dxa"/>
        </w:tblCellMar>
        <w:tblLook w:val="04A0" w:firstRow="1" w:lastRow="0" w:firstColumn="1" w:lastColumn="0" w:noHBand="0" w:noVBand="1"/>
      </w:tblPr>
      <w:tblGrid>
        <w:gridCol w:w="2448"/>
        <w:gridCol w:w="2448"/>
        <w:gridCol w:w="2448"/>
        <w:gridCol w:w="2448"/>
      </w:tblGrid>
      <w:tr w:rsidR="000420F3" w14:paraId="208E9F17" w14:textId="77777777">
        <w:trPr>
          <w:cantSplit/>
          <w:tblHeader/>
          <w:jc w:val="center"/>
        </w:trPr>
        <w:tc>
          <w:tcPr>
            <w:tcW w:w="2448" w:type="dxa"/>
            <w:shd w:val="clear" w:color="auto" w:fill="D9EAF7"/>
            <w:vAlign w:val="center"/>
          </w:tcPr>
          <w:p w14:paraId="48EB1931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b/>
                <w:sz w:val="15"/>
              </w:rPr>
              <w:t>Core characteristic</w:t>
            </w:r>
          </w:p>
        </w:tc>
        <w:tc>
          <w:tcPr>
            <w:tcW w:w="2448" w:type="dxa"/>
            <w:shd w:val="clear" w:color="auto" w:fill="D9EAF7"/>
            <w:vAlign w:val="center"/>
          </w:tcPr>
          <w:p w14:paraId="7E32419E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b/>
                <w:sz w:val="15"/>
              </w:rPr>
              <w:t>Tata Steel design idea</w:t>
            </w:r>
          </w:p>
        </w:tc>
        <w:tc>
          <w:tcPr>
            <w:tcW w:w="2448" w:type="dxa"/>
            <w:shd w:val="clear" w:color="auto" w:fill="D9EAF7"/>
            <w:vAlign w:val="center"/>
          </w:tcPr>
          <w:p w14:paraId="690C3BEA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b/>
                <w:sz w:val="15"/>
              </w:rPr>
              <w:t>Motivational pathway</w:t>
            </w:r>
          </w:p>
        </w:tc>
        <w:tc>
          <w:tcPr>
            <w:tcW w:w="2448" w:type="dxa"/>
            <w:shd w:val="clear" w:color="auto" w:fill="D9EAF7"/>
            <w:vAlign w:val="center"/>
          </w:tcPr>
          <w:p w14:paraId="1563610B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b/>
                <w:sz w:val="15"/>
              </w:rPr>
              <w:t>Critical limitation</w:t>
            </w:r>
          </w:p>
        </w:tc>
      </w:tr>
      <w:tr w:rsidR="000420F3" w14:paraId="3D0C2D44" w14:textId="77777777">
        <w:trPr>
          <w:cantSplit/>
          <w:jc w:val="center"/>
        </w:trPr>
        <w:tc>
          <w:tcPr>
            <w:tcW w:w="2448" w:type="dxa"/>
            <w:vAlign w:val="center"/>
          </w:tcPr>
          <w:p w14:paraId="1A7A02C2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5"/>
              </w:rPr>
              <w:t>Skill variety</w:t>
            </w:r>
          </w:p>
        </w:tc>
        <w:tc>
          <w:tcPr>
            <w:tcW w:w="2448" w:type="dxa"/>
            <w:vAlign w:val="center"/>
          </w:tcPr>
          <w:p w14:paraId="55C8984E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5"/>
              </w:rPr>
              <w:t>Broader skill clusters in digital monitoring, maintenance, quality, energy and safe operations; planned rotations after competence checks</w:t>
            </w:r>
          </w:p>
        </w:tc>
        <w:tc>
          <w:tcPr>
            <w:tcW w:w="2448" w:type="dxa"/>
            <w:vAlign w:val="center"/>
          </w:tcPr>
          <w:p w14:paraId="0B87BB49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5"/>
              </w:rPr>
              <w:t>Challenge, learning and fuller use of capability</w:t>
            </w:r>
          </w:p>
        </w:tc>
        <w:tc>
          <w:tcPr>
            <w:tcW w:w="2448" w:type="dxa"/>
            <w:vAlign w:val="center"/>
          </w:tcPr>
          <w:p w14:paraId="712895EA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5"/>
              </w:rPr>
              <w:t>Too much variety can cause overload or weaken specialist depth</w:t>
            </w:r>
          </w:p>
        </w:tc>
      </w:tr>
      <w:tr w:rsidR="000420F3" w14:paraId="097DB08B" w14:textId="77777777">
        <w:trPr>
          <w:cantSplit/>
          <w:jc w:val="center"/>
        </w:trPr>
        <w:tc>
          <w:tcPr>
            <w:tcW w:w="2448" w:type="dxa"/>
            <w:vAlign w:val="center"/>
          </w:tcPr>
          <w:p w14:paraId="17315BE7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5"/>
              </w:rPr>
              <w:t>Task identity</w:t>
            </w:r>
          </w:p>
        </w:tc>
        <w:tc>
          <w:tcPr>
            <w:tcW w:w="2448" w:type="dxa"/>
            <w:vAlign w:val="center"/>
          </w:tcPr>
          <w:p w14:paraId="5B9F6A5C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5"/>
              </w:rPr>
              <w:t>Multidisciplinary teams own an improvement problem from diagnosis to evaluation</w:t>
            </w:r>
          </w:p>
        </w:tc>
        <w:tc>
          <w:tcPr>
            <w:tcW w:w="2448" w:type="dxa"/>
            <w:vAlign w:val="center"/>
          </w:tcPr>
          <w:p w14:paraId="0DC0232B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5"/>
              </w:rPr>
              <w:t>Visible ownership of a complete outcome</w:t>
            </w:r>
          </w:p>
        </w:tc>
        <w:tc>
          <w:tcPr>
            <w:tcW w:w="2448" w:type="dxa"/>
            <w:vAlign w:val="center"/>
          </w:tcPr>
          <w:p w14:paraId="1F11D0A3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5"/>
              </w:rPr>
              <w:t>Projects need clear authority, time and handover</w:t>
            </w:r>
          </w:p>
        </w:tc>
      </w:tr>
      <w:tr w:rsidR="000420F3" w14:paraId="6CFC0A8E" w14:textId="77777777">
        <w:trPr>
          <w:cantSplit/>
          <w:jc w:val="center"/>
        </w:trPr>
        <w:tc>
          <w:tcPr>
            <w:tcW w:w="2448" w:type="dxa"/>
            <w:vAlign w:val="center"/>
          </w:tcPr>
          <w:p w14:paraId="35EA883B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5"/>
              </w:rPr>
              <w:t>Task significance</w:t>
            </w:r>
          </w:p>
        </w:tc>
        <w:tc>
          <w:tcPr>
            <w:tcW w:w="2448" w:type="dxa"/>
            <w:vAlign w:val="center"/>
          </w:tcPr>
          <w:p w14:paraId="01792112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5"/>
              </w:rPr>
              <w:t xml:space="preserve">Show how roles affect safe production, customers, </w:t>
            </w:r>
            <w:proofErr w:type="spellStart"/>
            <w:r>
              <w:rPr>
                <w:rFonts w:eastAsia="MS Mincho"/>
                <w:sz w:val="15"/>
              </w:rPr>
              <w:t>decarbonisation</w:t>
            </w:r>
            <w:proofErr w:type="spellEnd"/>
            <w:r>
              <w:rPr>
                <w:rFonts w:eastAsia="MS Mincho"/>
                <w:sz w:val="15"/>
              </w:rPr>
              <w:t xml:space="preserve"> and regional employment</w:t>
            </w:r>
          </w:p>
        </w:tc>
        <w:tc>
          <w:tcPr>
            <w:tcW w:w="2448" w:type="dxa"/>
            <w:vAlign w:val="center"/>
          </w:tcPr>
          <w:p w14:paraId="1EF656A7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5"/>
              </w:rPr>
              <w:t>Greater experienced meaningfulness</w:t>
            </w:r>
          </w:p>
        </w:tc>
        <w:tc>
          <w:tcPr>
            <w:tcW w:w="2448" w:type="dxa"/>
            <w:vAlign w:val="center"/>
          </w:tcPr>
          <w:p w14:paraId="6B671776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5"/>
              </w:rPr>
              <w:t>Purpose messaging must not conceal difficult workforce consequences</w:t>
            </w:r>
          </w:p>
        </w:tc>
      </w:tr>
      <w:tr w:rsidR="000420F3" w14:paraId="2187EE73" w14:textId="77777777">
        <w:trPr>
          <w:cantSplit/>
          <w:jc w:val="center"/>
        </w:trPr>
        <w:tc>
          <w:tcPr>
            <w:tcW w:w="2448" w:type="dxa"/>
            <w:vAlign w:val="center"/>
          </w:tcPr>
          <w:p w14:paraId="1C2DD569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5"/>
              </w:rPr>
              <w:t>Autonomy</w:t>
            </w:r>
          </w:p>
        </w:tc>
        <w:tc>
          <w:tcPr>
            <w:tcW w:w="2448" w:type="dxa"/>
            <w:vAlign w:val="center"/>
          </w:tcPr>
          <w:p w14:paraId="2560DF4F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5"/>
              </w:rPr>
              <w:t xml:space="preserve">Qualified teams choose approved methods, </w:t>
            </w:r>
            <w:proofErr w:type="spellStart"/>
            <w:r>
              <w:rPr>
                <w:rFonts w:eastAsia="MS Mincho"/>
                <w:sz w:val="15"/>
              </w:rPr>
              <w:t>organise</w:t>
            </w:r>
            <w:proofErr w:type="spellEnd"/>
            <w:r>
              <w:rPr>
                <w:rFonts w:eastAsia="MS Mincho"/>
                <w:sz w:val="15"/>
              </w:rPr>
              <w:t xml:space="preserve"> work and propose improvements</w:t>
            </w:r>
          </w:p>
        </w:tc>
        <w:tc>
          <w:tcPr>
            <w:tcW w:w="2448" w:type="dxa"/>
            <w:vAlign w:val="center"/>
          </w:tcPr>
          <w:p w14:paraId="10639C17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5"/>
              </w:rPr>
              <w:t>Greater experienced responsibility</w:t>
            </w:r>
          </w:p>
        </w:tc>
        <w:tc>
          <w:tcPr>
            <w:tcW w:w="2448" w:type="dxa"/>
            <w:vAlign w:val="center"/>
          </w:tcPr>
          <w:p w14:paraId="5867CF48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5"/>
              </w:rPr>
              <w:t>Autonomy must remain within engineering, safety and regulatory limits</w:t>
            </w:r>
          </w:p>
        </w:tc>
      </w:tr>
      <w:tr w:rsidR="000420F3" w14:paraId="6BE7E493" w14:textId="77777777">
        <w:trPr>
          <w:cantSplit/>
          <w:jc w:val="center"/>
        </w:trPr>
        <w:tc>
          <w:tcPr>
            <w:tcW w:w="2448" w:type="dxa"/>
            <w:vAlign w:val="center"/>
          </w:tcPr>
          <w:p w14:paraId="76D37DD4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5"/>
              </w:rPr>
              <w:t>Feedback</w:t>
            </w:r>
          </w:p>
        </w:tc>
        <w:tc>
          <w:tcPr>
            <w:tcW w:w="2448" w:type="dxa"/>
            <w:vAlign w:val="center"/>
          </w:tcPr>
          <w:p w14:paraId="2A8F15DE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5"/>
              </w:rPr>
              <w:t>Operational dashboards plus coaching, peer review, customer feedback and after-action learning</w:t>
            </w:r>
          </w:p>
        </w:tc>
        <w:tc>
          <w:tcPr>
            <w:tcW w:w="2448" w:type="dxa"/>
            <w:vAlign w:val="center"/>
          </w:tcPr>
          <w:p w14:paraId="4E46B632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5"/>
              </w:rPr>
              <w:t>Knowledge of results and rapid adjustment</w:t>
            </w:r>
          </w:p>
        </w:tc>
        <w:tc>
          <w:tcPr>
            <w:tcW w:w="2448" w:type="dxa"/>
            <w:vAlign w:val="center"/>
          </w:tcPr>
          <w:p w14:paraId="09C8801F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5"/>
              </w:rPr>
              <w:t xml:space="preserve">Metrics can distort </w:t>
            </w:r>
            <w:proofErr w:type="spellStart"/>
            <w:r>
              <w:rPr>
                <w:rFonts w:eastAsia="MS Mincho"/>
                <w:sz w:val="15"/>
              </w:rPr>
              <w:t>behaviour</w:t>
            </w:r>
            <w:proofErr w:type="spellEnd"/>
            <w:r>
              <w:rPr>
                <w:rFonts w:eastAsia="MS Mincho"/>
                <w:sz w:val="15"/>
              </w:rPr>
              <w:t xml:space="preserve"> if targets are narrow or punitive</w:t>
            </w:r>
          </w:p>
        </w:tc>
      </w:tr>
    </w:tbl>
    <w:p w14:paraId="3A38C7E6" w14:textId="77777777" w:rsidR="000420F3" w:rsidRDefault="00000000">
      <w:r>
        <w:lastRenderedPageBreak/>
        <w:t>Hackman and Oldham (1976) link these characteristics to intrinsic motivation via meaningfulness, responsibility and knowledge of results, though employee preferences and team interdependence affect how each operates.</w:t>
      </w:r>
    </w:p>
    <w:p w14:paraId="2F599CFF" w14:textId="77777777" w:rsidR="000420F3" w:rsidRDefault="00000000">
      <w:pPr>
        <w:pStyle w:val="Heading2"/>
      </w:pPr>
      <w:bookmarkStart w:id="19" w:name="__RefHeading___Toc2121_836813259"/>
      <w:bookmarkEnd w:id="19"/>
      <w:r>
        <w:t>3.3 Controlled job crafting</w:t>
      </w:r>
    </w:p>
    <w:tbl>
      <w:tblPr>
        <w:tblStyle w:val="TableGrid"/>
        <w:tblW w:w="9792" w:type="dxa"/>
        <w:jc w:val="center"/>
        <w:tblLayout w:type="fixed"/>
        <w:tblCellMar>
          <w:top w:w="70" w:type="dxa"/>
          <w:left w:w="70" w:type="dxa"/>
          <w:bottom w:w="70" w:type="dxa"/>
          <w:right w:w="70" w:type="dxa"/>
        </w:tblCellMar>
        <w:tblLook w:val="04A0" w:firstRow="1" w:lastRow="0" w:firstColumn="1" w:lastColumn="0" w:noHBand="0" w:noVBand="1"/>
      </w:tblPr>
      <w:tblGrid>
        <w:gridCol w:w="3264"/>
        <w:gridCol w:w="3264"/>
        <w:gridCol w:w="3264"/>
      </w:tblGrid>
      <w:tr w:rsidR="000420F3" w14:paraId="42905B1B" w14:textId="77777777">
        <w:trPr>
          <w:cantSplit/>
          <w:tblHeader/>
          <w:jc w:val="center"/>
        </w:trPr>
        <w:tc>
          <w:tcPr>
            <w:tcW w:w="3264" w:type="dxa"/>
            <w:shd w:val="clear" w:color="auto" w:fill="D9EAF7"/>
            <w:vAlign w:val="center"/>
          </w:tcPr>
          <w:p w14:paraId="1BE89F55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b/>
                <w:sz w:val="18"/>
              </w:rPr>
              <w:t>Form of job crafting</w:t>
            </w:r>
          </w:p>
        </w:tc>
        <w:tc>
          <w:tcPr>
            <w:tcW w:w="3264" w:type="dxa"/>
            <w:shd w:val="clear" w:color="auto" w:fill="D9EAF7"/>
            <w:vAlign w:val="center"/>
          </w:tcPr>
          <w:p w14:paraId="4635384D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b/>
                <w:sz w:val="18"/>
              </w:rPr>
              <w:t>Possible application</w:t>
            </w:r>
          </w:p>
        </w:tc>
        <w:tc>
          <w:tcPr>
            <w:tcW w:w="3264" w:type="dxa"/>
            <w:shd w:val="clear" w:color="auto" w:fill="D9EAF7"/>
            <w:vAlign w:val="center"/>
          </w:tcPr>
          <w:p w14:paraId="02BDB333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b/>
                <w:sz w:val="18"/>
              </w:rPr>
              <w:t>Boundary or safeguard</w:t>
            </w:r>
          </w:p>
        </w:tc>
      </w:tr>
      <w:tr w:rsidR="000420F3" w14:paraId="6CD082C2" w14:textId="77777777">
        <w:trPr>
          <w:cantSplit/>
          <w:jc w:val="center"/>
        </w:trPr>
        <w:tc>
          <w:tcPr>
            <w:tcW w:w="3264" w:type="dxa"/>
            <w:vAlign w:val="center"/>
          </w:tcPr>
          <w:p w14:paraId="370401C3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8"/>
              </w:rPr>
              <w:t>Task crafting</w:t>
            </w:r>
          </w:p>
        </w:tc>
        <w:tc>
          <w:tcPr>
            <w:tcW w:w="3264" w:type="dxa"/>
            <w:vAlign w:val="center"/>
          </w:tcPr>
          <w:p w14:paraId="2FC47659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8"/>
              </w:rPr>
              <w:t>Volunteer for approved digital, quality, environmental or improvement activities</w:t>
            </w:r>
          </w:p>
        </w:tc>
        <w:tc>
          <w:tcPr>
            <w:tcW w:w="3264" w:type="dxa"/>
            <w:vAlign w:val="center"/>
          </w:tcPr>
          <w:p w14:paraId="1EFD0C60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8"/>
              </w:rPr>
              <w:t>Manager approval, competence requirements and workload capacity</w:t>
            </w:r>
          </w:p>
        </w:tc>
      </w:tr>
      <w:tr w:rsidR="000420F3" w14:paraId="56A287E0" w14:textId="77777777">
        <w:trPr>
          <w:cantSplit/>
          <w:jc w:val="center"/>
        </w:trPr>
        <w:tc>
          <w:tcPr>
            <w:tcW w:w="3264" w:type="dxa"/>
            <w:vAlign w:val="center"/>
          </w:tcPr>
          <w:p w14:paraId="16353C0C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8"/>
              </w:rPr>
              <w:t>Relational crafting</w:t>
            </w:r>
          </w:p>
        </w:tc>
        <w:tc>
          <w:tcPr>
            <w:tcW w:w="3264" w:type="dxa"/>
            <w:vAlign w:val="center"/>
          </w:tcPr>
          <w:p w14:paraId="134D5DAC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8"/>
              </w:rPr>
              <w:t>Build working relationships across operations, maintenance, IT, HR, sustainability and supply chain</w:t>
            </w:r>
          </w:p>
        </w:tc>
        <w:tc>
          <w:tcPr>
            <w:tcW w:w="3264" w:type="dxa"/>
            <w:vAlign w:val="center"/>
          </w:tcPr>
          <w:p w14:paraId="1A0F43A3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8"/>
              </w:rPr>
              <w:t>Clear decision rights and respect for role accountability</w:t>
            </w:r>
          </w:p>
        </w:tc>
      </w:tr>
      <w:tr w:rsidR="000420F3" w14:paraId="3775F4E8" w14:textId="77777777">
        <w:trPr>
          <w:cantSplit/>
          <w:jc w:val="center"/>
        </w:trPr>
        <w:tc>
          <w:tcPr>
            <w:tcW w:w="3264" w:type="dxa"/>
            <w:vAlign w:val="center"/>
          </w:tcPr>
          <w:p w14:paraId="3443770A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8"/>
              </w:rPr>
              <w:t>Cognitive crafting</w:t>
            </w:r>
          </w:p>
        </w:tc>
        <w:tc>
          <w:tcPr>
            <w:tcW w:w="3264" w:type="dxa"/>
            <w:vAlign w:val="center"/>
          </w:tcPr>
          <w:p w14:paraId="1B3A8C3B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8"/>
              </w:rPr>
              <w:t>Reframe work as contributing to safe, reliable and lower-carbon steel rather than isolated tasks</w:t>
            </w:r>
          </w:p>
        </w:tc>
        <w:tc>
          <w:tcPr>
            <w:tcW w:w="3264" w:type="dxa"/>
            <w:vAlign w:val="center"/>
          </w:tcPr>
          <w:p w14:paraId="302285DB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8"/>
              </w:rPr>
              <w:t xml:space="preserve">Meaning must be credible and supported by actual </w:t>
            </w:r>
            <w:proofErr w:type="spellStart"/>
            <w:r>
              <w:rPr>
                <w:rFonts w:eastAsia="MS Mincho"/>
                <w:sz w:val="18"/>
              </w:rPr>
              <w:t>organisational</w:t>
            </w:r>
            <w:proofErr w:type="spellEnd"/>
            <w:r>
              <w:rPr>
                <w:rFonts w:eastAsia="MS Mincho"/>
                <w:sz w:val="18"/>
              </w:rPr>
              <w:t xml:space="preserve"> practice</w:t>
            </w:r>
          </w:p>
        </w:tc>
      </w:tr>
    </w:tbl>
    <w:p w14:paraId="434133A9" w14:textId="77777777" w:rsidR="000420F3" w:rsidRDefault="00000000">
      <w:proofErr w:type="spellStart"/>
      <w:r>
        <w:t>Wrzesniewski</w:t>
      </w:r>
      <w:proofErr w:type="spellEnd"/>
      <w:r>
        <w:t xml:space="preserve"> and Dutton (2001) frame employees as active crafters of task, relational and cognitive boundaries (see also Tims, Bakker and Derks, 2012). Tata Steel should encourage approach-oriented crafting that builds capability while preventing unsafe role expansion.</w:t>
      </w:r>
    </w:p>
    <w:p w14:paraId="3767A9E5" w14:textId="77777777" w:rsidR="000420F3" w:rsidRDefault="00000000">
      <w:pPr>
        <w:pStyle w:val="Heading2"/>
      </w:pPr>
      <w:bookmarkStart w:id="20" w:name="__RefHeading___Toc2123_836813259"/>
      <w:bookmarkEnd w:id="20"/>
      <w:r>
        <w:t>3.4 Skills-based architecture and internal talent marketplace</w:t>
      </w:r>
    </w:p>
    <w:p w14:paraId="1EED8551" w14:textId="77777777" w:rsidR="000420F3" w:rsidRDefault="00000000">
      <w:r>
        <w:t>A skills-based architecture supplements fixed job titles with verified capability data. Tata Group’s existing internal careers portal offers a practical foundation for broader mobility (Tata Group, 2026b).</w:t>
      </w:r>
    </w:p>
    <w:p w14:paraId="19204713" w14:textId="77777777" w:rsidR="000420F3" w:rsidRDefault="00000000">
      <w:r>
        <w:t>Suggested employee skills profile:</w:t>
      </w:r>
    </w:p>
    <w:p w14:paraId="065364CB" w14:textId="77777777" w:rsidR="000420F3" w:rsidRDefault="00000000">
      <w:pPr>
        <w:pStyle w:val="ListBullet"/>
        <w:ind w:hanging="230"/>
      </w:pPr>
      <w:r>
        <w:t xml:space="preserve">Technical qualifications and safe-operating </w:t>
      </w:r>
      <w:proofErr w:type="spellStart"/>
      <w:r>
        <w:t>authorisations</w:t>
      </w:r>
      <w:proofErr w:type="spellEnd"/>
      <w:r>
        <w:t>.</w:t>
      </w:r>
    </w:p>
    <w:p w14:paraId="484E7EC3" w14:textId="77777777" w:rsidR="000420F3" w:rsidRDefault="00000000">
      <w:pPr>
        <w:pStyle w:val="ListBullet"/>
        <w:ind w:hanging="230"/>
      </w:pPr>
      <w:r>
        <w:t>Digital, automation, analytical and maintenance skills.</w:t>
      </w:r>
    </w:p>
    <w:p w14:paraId="0661CF77" w14:textId="77777777" w:rsidR="000420F3" w:rsidRDefault="00000000">
      <w:pPr>
        <w:pStyle w:val="ListBullet"/>
        <w:ind w:hanging="230"/>
      </w:pPr>
      <w:r>
        <w:t>Project, improvement and problem-solving experience.</w:t>
      </w:r>
    </w:p>
    <w:p w14:paraId="7160CCCA" w14:textId="77777777" w:rsidR="000420F3" w:rsidRDefault="00000000">
      <w:pPr>
        <w:pStyle w:val="ListBullet"/>
        <w:ind w:hanging="230"/>
      </w:pPr>
      <w:r>
        <w:t>Sustainability and circular-economy knowledge.</w:t>
      </w:r>
    </w:p>
    <w:p w14:paraId="299D42F1" w14:textId="77777777" w:rsidR="000420F3" w:rsidRDefault="00000000">
      <w:pPr>
        <w:pStyle w:val="ListBullet"/>
        <w:ind w:hanging="230"/>
      </w:pPr>
      <w:r>
        <w:t>Leadership, mentoring and stakeholder capabilities.</w:t>
      </w:r>
    </w:p>
    <w:p w14:paraId="111DDE36" w14:textId="77777777" w:rsidR="000420F3" w:rsidRDefault="00000000">
      <w:pPr>
        <w:pStyle w:val="Heading2"/>
      </w:pPr>
      <w:bookmarkStart w:id="21" w:name="__RefHeading___Toc2125_836813259"/>
      <w:bookmarkEnd w:id="21"/>
      <w:r>
        <w:t>3.5 Suggested internal marketplace process</w:t>
      </w:r>
    </w:p>
    <w:p w14:paraId="41E27C1C" w14:textId="77777777" w:rsidR="000420F3" w:rsidRDefault="00000000">
      <w:pPr>
        <w:spacing w:after="60"/>
        <w:ind w:left="403" w:hanging="403"/>
      </w:pPr>
      <w:r>
        <w:t>1. Identify critical future capabilities linked to EAF operations, digital control, maintenance and safety.</w:t>
      </w:r>
    </w:p>
    <w:p w14:paraId="28C00462" w14:textId="77777777" w:rsidR="000420F3" w:rsidRDefault="00000000">
      <w:pPr>
        <w:spacing w:after="60"/>
        <w:ind w:left="403" w:hanging="403"/>
      </w:pPr>
      <w:r>
        <w:t>2. Create a common skills taxonomy with clear proficiency levels.</w:t>
      </w:r>
    </w:p>
    <w:p w14:paraId="6974DEA5" w14:textId="77777777" w:rsidR="000420F3" w:rsidRDefault="00000000">
      <w:pPr>
        <w:spacing w:after="60"/>
        <w:ind w:left="403" w:hanging="403"/>
      </w:pPr>
      <w:r>
        <w:lastRenderedPageBreak/>
        <w:t>3. Assess existing capabilities via qualifications, manager validation or practical assessment.</w:t>
      </w:r>
    </w:p>
    <w:p w14:paraId="438E3EE0" w14:textId="77777777" w:rsidR="000420F3" w:rsidRDefault="00000000">
      <w:pPr>
        <w:spacing w:after="60"/>
        <w:ind w:left="403" w:hanging="403"/>
      </w:pPr>
      <w:r>
        <w:t>4. Publish permanent roles, short-term projects, mentoring and cross-site assignments.</w:t>
      </w:r>
    </w:p>
    <w:p w14:paraId="430EF689" w14:textId="77777777" w:rsidR="000420F3" w:rsidRDefault="00000000">
      <w:pPr>
        <w:spacing w:after="60"/>
        <w:ind w:left="403" w:hanging="403"/>
      </w:pPr>
      <w:r>
        <w:t>5. Match people using transparent criteria: skills, interests, development value and fairness.</w:t>
      </w:r>
    </w:p>
    <w:p w14:paraId="3014B379" w14:textId="77777777" w:rsidR="000420F3" w:rsidRDefault="00000000">
      <w:pPr>
        <w:spacing w:after="60"/>
        <w:ind w:left="403" w:hanging="403"/>
      </w:pPr>
      <w:r>
        <w:t>6. Keep a human review stage; algorithms should not make final decisions, and outcomes should be recorded.</w:t>
      </w:r>
    </w:p>
    <w:p w14:paraId="2535EA4C" w14:textId="77777777" w:rsidR="000420F3" w:rsidRDefault="00000000">
      <w:pPr>
        <w:spacing w:after="60"/>
        <w:ind w:left="403" w:hanging="403"/>
      </w:pPr>
      <w:r>
        <w:t>7. Audit access, selection and progression by site, grade and equality indicators.</w:t>
      </w:r>
    </w:p>
    <w:p w14:paraId="206A2813" w14:textId="77777777" w:rsidR="000420F3" w:rsidRDefault="00000000">
      <w:pPr>
        <w:pStyle w:val="Heading2"/>
      </w:pPr>
      <w:bookmarkStart w:id="22" w:name="__RefHeading___Toc2127_836813259"/>
      <w:bookmarkEnd w:id="22"/>
      <w:r>
        <w:t>3.6 How the design supports motivation and innovation</w:t>
      </w:r>
    </w:p>
    <w:tbl>
      <w:tblPr>
        <w:tblStyle w:val="TableGrid"/>
        <w:tblW w:w="9792" w:type="dxa"/>
        <w:jc w:val="center"/>
        <w:tblLayout w:type="fixed"/>
        <w:tblCellMar>
          <w:top w:w="70" w:type="dxa"/>
          <w:left w:w="70" w:type="dxa"/>
          <w:bottom w:w="70" w:type="dxa"/>
          <w:right w:w="70" w:type="dxa"/>
        </w:tblCellMar>
        <w:tblLook w:val="04A0" w:firstRow="1" w:lastRow="0" w:firstColumn="1" w:lastColumn="0" w:noHBand="0" w:noVBand="1"/>
      </w:tblPr>
      <w:tblGrid>
        <w:gridCol w:w="4896"/>
        <w:gridCol w:w="4896"/>
      </w:tblGrid>
      <w:tr w:rsidR="000420F3" w14:paraId="24999196" w14:textId="77777777">
        <w:trPr>
          <w:cantSplit/>
          <w:tblHeader/>
          <w:jc w:val="center"/>
        </w:trPr>
        <w:tc>
          <w:tcPr>
            <w:tcW w:w="4896" w:type="dxa"/>
            <w:shd w:val="clear" w:color="auto" w:fill="D9EAF7"/>
            <w:vAlign w:val="center"/>
          </w:tcPr>
          <w:p w14:paraId="239018CD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b/>
                <w:sz w:val="18"/>
              </w:rPr>
              <w:t>Design mechanism</w:t>
            </w:r>
          </w:p>
        </w:tc>
        <w:tc>
          <w:tcPr>
            <w:tcW w:w="4896" w:type="dxa"/>
            <w:shd w:val="clear" w:color="auto" w:fill="D9EAF7"/>
            <w:vAlign w:val="center"/>
          </w:tcPr>
          <w:p w14:paraId="6A143747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b/>
                <w:sz w:val="18"/>
              </w:rPr>
              <w:t>Expected contribution</w:t>
            </w:r>
          </w:p>
        </w:tc>
      </w:tr>
      <w:tr w:rsidR="000420F3" w14:paraId="43357A49" w14:textId="77777777">
        <w:trPr>
          <w:cantSplit/>
          <w:jc w:val="center"/>
        </w:trPr>
        <w:tc>
          <w:tcPr>
            <w:tcW w:w="4896" w:type="dxa"/>
            <w:vAlign w:val="center"/>
          </w:tcPr>
          <w:p w14:paraId="3272E576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8"/>
              </w:rPr>
              <w:t>Skill variety and learning pathways</w:t>
            </w:r>
          </w:p>
        </w:tc>
        <w:tc>
          <w:tcPr>
            <w:tcW w:w="4896" w:type="dxa"/>
            <w:vAlign w:val="center"/>
          </w:tcPr>
          <w:p w14:paraId="7CD99BA8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8"/>
              </w:rPr>
              <w:t>Reduce stagnation and build capability for new technology</w:t>
            </w:r>
          </w:p>
        </w:tc>
      </w:tr>
      <w:tr w:rsidR="000420F3" w14:paraId="3D41CD64" w14:textId="77777777">
        <w:trPr>
          <w:cantSplit/>
          <w:jc w:val="center"/>
        </w:trPr>
        <w:tc>
          <w:tcPr>
            <w:tcW w:w="4896" w:type="dxa"/>
            <w:vAlign w:val="center"/>
          </w:tcPr>
          <w:p w14:paraId="75A11EE7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8"/>
              </w:rPr>
              <w:t>End-to-end improvement projects</w:t>
            </w:r>
          </w:p>
        </w:tc>
        <w:tc>
          <w:tcPr>
            <w:tcW w:w="4896" w:type="dxa"/>
            <w:vAlign w:val="center"/>
          </w:tcPr>
          <w:p w14:paraId="412B82B2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8"/>
              </w:rPr>
              <w:t>Create ownership and make innovation visible</w:t>
            </w:r>
          </w:p>
        </w:tc>
      </w:tr>
      <w:tr w:rsidR="000420F3" w14:paraId="5473A8FF" w14:textId="77777777">
        <w:trPr>
          <w:cantSplit/>
          <w:jc w:val="center"/>
        </w:trPr>
        <w:tc>
          <w:tcPr>
            <w:tcW w:w="4896" w:type="dxa"/>
            <w:vAlign w:val="center"/>
          </w:tcPr>
          <w:p w14:paraId="2071504B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8"/>
              </w:rPr>
              <w:t>Purpose and task significance</w:t>
            </w:r>
          </w:p>
        </w:tc>
        <w:tc>
          <w:tcPr>
            <w:tcW w:w="4896" w:type="dxa"/>
            <w:vAlign w:val="center"/>
          </w:tcPr>
          <w:p w14:paraId="3622145B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8"/>
              </w:rPr>
              <w:t xml:space="preserve">Connect work with customers, safety and </w:t>
            </w:r>
            <w:proofErr w:type="spellStart"/>
            <w:r>
              <w:rPr>
                <w:rFonts w:eastAsia="MS Mincho"/>
                <w:sz w:val="18"/>
              </w:rPr>
              <w:t>decarbonisation</w:t>
            </w:r>
            <w:proofErr w:type="spellEnd"/>
          </w:p>
        </w:tc>
      </w:tr>
      <w:tr w:rsidR="000420F3" w14:paraId="149DBF90" w14:textId="77777777">
        <w:trPr>
          <w:cantSplit/>
          <w:jc w:val="center"/>
        </w:trPr>
        <w:tc>
          <w:tcPr>
            <w:tcW w:w="4896" w:type="dxa"/>
            <w:vAlign w:val="center"/>
          </w:tcPr>
          <w:p w14:paraId="7427127B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8"/>
              </w:rPr>
              <w:t>Bounded autonomy</w:t>
            </w:r>
          </w:p>
        </w:tc>
        <w:tc>
          <w:tcPr>
            <w:tcW w:w="4896" w:type="dxa"/>
            <w:vAlign w:val="center"/>
          </w:tcPr>
          <w:p w14:paraId="19FCDC57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8"/>
              </w:rPr>
              <w:t>Encourage initiative while preserving operational discipline</w:t>
            </w:r>
          </w:p>
        </w:tc>
      </w:tr>
      <w:tr w:rsidR="000420F3" w14:paraId="1F16EDD8" w14:textId="77777777">
        <w:trPr>
          <w:cantSplit/>
          <w:jc w:val="center"/>
        </w:trPr>
        <w:tc>
          <w:tcPr>
            <w:tcW w:w="4896" w:type="dxa"/>
            <w:vAlign w:val="center"/>
          </w:tcPr>
          <w:p w14:paraId="02CAB582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8"/>
              </w:rPr>
              <w:t>Rapid feedback</w:t>
            </w:r>
          </w:p>
        </w:tc>
        <w:tc>
          <w:tcPr>
            <w:tcW w:w="4896" w:type="dxa"/>
            <w:vAlign w:val="center"/>
          </w:tcPr>
          <w:p w14:paraId="35A1E690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8"/>
              </w:rPr>
              <w:t>Enable experimentation, learning and correction</w:t>
            </w:r>
          </w:p>
        </w:tc>
      </w:tr>
      <w:tr w:rsidR="000420F3" w14:paraId="5744C611" w14:textId="77777777">
        <w:trPr>
          <w:cantSplit/>
          <w:jc w:val="center"/>
        </w:trPr>
        <w:tc>
          <w:tcPr>
            <w:tcW w:w="4896" w:type="dxa"/>
            <w:vAlign w:val="center"/>
          </w:tcPr>
          <w:p w14:paraId="4DAF458B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8"/>
              </w:rPr>
              <w:t>Job crafting</w:t>
            </w:r>
          </w:p>
        </w:tc>
        <w:tc>
          <w:tcPr>
            <w:tcW w:w="4896" w:type="dxa"/>
            <w:vAlign w:val="center"/>
          </w:tcPr>
          <w:p w14:paraId="580BC9AD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8"/>
              </w:rPr>
              <w:t>Improve person-job fit and allow employees to use strengths</w:t>
            </w:r>
          </w:p>
        </w:tc>
      </w:tr>
      <w:tr w:rsidR="000420F3" w14:paraId="745B36D4" w14:textId="77777777">
        <w:trPr>
          <w:cantSplit/>
          <w:jc w:val="center"/>
        </w:trPr>
        <w:tc>
          <w:tcPr>
            <w:tcW w:w="4896" w:type="dxa"/>
            <w:vAlign w:val="center"/>
          </w:tcPr>
          <w:p w14:paraId="046F5A50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8"/>
              </w:rPr>
              <w:t>Internal mobility</w:t>
            </w:r>
          </w:p>
        </w:tc>
        <w:tc>
          <w:tcPr>
            <w:tcW w:w="4896" w:type="dxa"/>
            <w:vAlign w:val="center"/>
          </w:tcPr>
          <w:p w14:paraId="3EE86443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8"/>
              </w:rPr>
              <w:t xml:space="preserve">Offer career growth without requiring employees to leave the </w:t>
            </w:r>
            <w:proofErr w:type="spellStart"/>
            <w:r>
              <w:rPr>
                <w:rFonts w:eastAsia="MS Mincho"/>
                <w:sz w:val="18"/>
              </w:rPr>
              <w:t>organisation</w:t>
            </w:r>
            <w:proofErr w:type="spellEnd"/>
          </w:p>
        </w:tc>
      </w:tr>
      <w:tr w:rsidR="000420F3" w14:paraId="1A65A0DA" w14:textId="77777777">
        <w:trPr>
          <w:cantSplit/>
          <w:jc w:val="center"/>
        </w:trPr>
        <w:tc>
          <w:tcPr>
            <w:tcW w:w="4896" w:type="dxa"/>
            <w:vAlign w:val="center"/>
          </w:tcPr>
          <w:p w14:paraId="6A5350B5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8"/>
              </w:rPr>
              <w:t>Cross-functional teams</w:t>
            </w:r>
          </w:p>
        </w:tc>
        <w:tc>
          <w:tcPr>
            <w:tcW w:w="4896" w:type="dxa"/>
            <w:vAlign w:val="center"/>
          </w:tcPr>
          <w:p w14:paraId="194C2CF6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8"/>
              </w:rPr>
              <w:t>Combine knowledge that would otherwise remain in separate departments</w:t>
            </w:r>
          </w:p>
        </w:tc>
      </w:tr>
    </w:tbl>
    <w:p w14:paraId="47D8899C" w14:textId="77777777" w:rsidR="000420F3" w:rsidRDefault="00000000">
      <w:r>
        <w:t>Job design cannot compensate for inadequate staffing, unfair pay or poor management, which can override enrichment’s motivational benefits.</w:t>
      </w:r>
    </w:p>
    <w:p w14:paraId="59240B46" w14:textId="77777777" w:rsidR="000420F3" w:rsidRDefault="00000000">
      <w:pPr>
        <w:pStyle w:val="Heading2"/>
      </w:pPr>
      <w:bookmarkStart w:id="23" w:name="__RefHeading___Toc2129_836813259"/>
      <w:bookmarkEnd w:id="23"/>
      <w:r>
        <w:t>3.7 Implementation roadmap</w:t>
      </w:r>
    </w:p>
    <w:tbl>
      <w:tblPr>
        <w:tblStyle w:val="TableGrid"/>
        <w:tblW w:w="9792" w:type="dxa"/>
        <w:jc w:val="center"/>
        <w:tblLayout w:type="fixed"/>
        <w:tblCellMar>
          <w:top w:w="70" w:type="dxa"/>
          <w:left w:w="70" w:type="dxa"/>
          <w:bottom w:w="70" w:type="dxa"/>
          <w:right w:w="70" w:type="dxa"/>
        </w:tblCellMar>
        <w:tblLook w:val="04A0" w:firstRow="1" w:lastRow="0" w:firstColumn="1" w:lastColumn="0" w:noHBand="0" w:noVBand="1"/>
      </w:tblPr>
      <w:tblGrid>
        <w:gridCol w:w="2448"/>
        <w:gridCol w:w="2448"/>
        <w:gridCol w:w="2448"/>
        <w:gridCol w:w="2448"/>
      </w:tblGrid>
      <w:tr w:rsidR="000420F3" w14:paraId="2814BD98" w14:textId="77777777">
        <w:trPr>
          <w:cantSplit/>
          <w:tblHeader/>
          <w:jc w:val="center"/>
        </w:trPr>
        <w:tc>
          <w:tcPr>
            <w:tcW w:w="2448" w:type="dxa"/>
            <w:shd w:val="clear" w:color="auto" w:fill="D9EAF7"/>
            <w:vAlign w:val="center"/>
          </w:tcPr>
          <w:p w14:paraId="56D161F5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b/>
                <w:sz w:val="16"/>
              </w:rPr>
              <w:t>Phase</w:t>
            </w:r>
          </w:p>
        </w:tc>
        <w:tc>
          <w:tcPr>
            <w:tcW w:w="2448" w:type="dxa"/>
            <w:shd w:val="clear" w:color="auto" w:fill="D9EAF7"/>
            <w:vAlign w:val="center"/>
          </w:tcPr>
          <w:p w14:paraId="39A7D290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b/>
                <w:sz w:val="16"/>
              </w:rPr>
              <w:t>Main activity</w:t>
            </w:r>
          </w:p>
        </w:tc>
        <w:tc>
          <w:tcPr>
            <w:tcW w:w="2448" w:type="dxa"/>
            <w:shd w:val="clear" w:color="auto" w:fill="D9EAF7"/>
            <w:vAlign w:val="center"/>
          </w:tcPr>
          <w:p w14:paraId="7645C0FD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b/>
                <w:sz w:val="16"/>
              </w:rPr>
              <w:t>Indicative output</w:t>
            </w:r>
          </w:p>
        </w:tc>
        <w:tc>
          <w:tcPr>
            <w:tcW w:w="2448" w:type="dxa"/>
            <w:shd w:val="clear" w:color="auto" w:fill="D9EAF7"/>
            <w:vAlign w:val="center"/>
          </w:tcPr>
          <w:p w14:paraId="6D09B294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b/>
                <w:sz w:val="16"/>
              </w:rPr>
              <w:t>Decision gate</w:t>
            </w:r>
          </w:p>
        </w:tc>
      </w:tr>
      <w:tr w:rsidR="000420F3" w14:paraId="03D6DDE7" w14:textId="77777777">
        <w:trPr>
          <w:cantSplit/>
          <w:jc w:val="center"/>
        </w:trPr>
        <w:tc>
          <w:tcPr>
            <w:tcW w:w="2448" w:type="dxa"/>
            <w:vAlign w:val="center"/>
          </w:tcPr>
          <w:p w14:paraId="3EBA445D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6"/>
              </w:rPr>
              <w:t>1. Diagnose</w:t>
            </w:r>
          </w:p>
        </w:tc>
        <w:tc>
          <w:tcPr>
            <w:tcW w:w="2448" w:type="dxa"/>
            <w:vAlign w:val="center"/>
          </w:tcPr>
          <w:p w14:paraId="0ADD7CF4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6"/>
              </w:rPr>
              <w:t>Employee interviews, workflow analysis, skills inventory and equality review</w:t>
            </w:r>
          </w:p>
        </w:tc>
        <w:tc>
          <w:tcPr>
            <w:tcW w:w="2448" w:type="dxa"/>
            <w:vAlign w:val="center"/>
          </w:tcPr>
          <w:p w14:paraId="6E0F55F5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6"/>
              </w:rPr>
              <w:t>Baseline of job quality, capability and barriers</w:t>
            </w:r>
          </w:p>
        </w:tc>
        <w:tc>
          <w:tcPr>
            <w:tcW w:w="2448" w:type="dxa"/>
            <w:vAlign w:val="center"/>
          </w:tcPr>
          <w:p w14:paraId="5D61967B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6"/>
              </w:rPr>
              <w:t>Is the problem and pilot area well defined?</w:t>
            </w:r>
          </w:p>
        </w:tc>
      </w:tr>
      <w:tr w:rsidR="000420F3" w14:paraId="56B1B1DE" w14:textId="77777777">
        <w:trPr>
          <w:cantSplit/>
          <w:jc w:val="center"/>
        </w:trPr>
        <w:tc>
          <w:tcPr>
            <w:tcW w:w="2448" w:type="dxa"/>
            <w:vAlign w:val="center"/>
          </w:tcPr>
          <w:p w14:paraId="650BAC00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6"/>
              </w:rPr>
              <w:t>2. Co-design</w:t>
            </w:r>
          </w:p>
        </w:tc>
        <w:tc>
          <w:tcPr>
            <w:tcW w:w="2448" w:type="dxa"/>
            <w:vAlign w:val="center"/>
          </w:tcPr>
          <w:p w14:paraId="0BD267FA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6"/>
              </w:rPr>
              <w:t>Workshops with employees, managers, technical experts and employee representatives</w:t>
            </w:r>
          </w:p>
        </w:tc>
        <w:tc>
          <w:tcPr>
            <w:tcW w:w="2448" w:type="dxa"/>
            <w:vAlign w:val="center"/>
          </w:tcPr>
          <w:p w14:paraId="21EB8B7C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6"/>
              </w:rPr>
              <w:t>Role clusters, safeguards and marketplace rules</w:t>
            </w:r>
          </w:p>
        </w:tc>
        <w:tc>
          <w:tcPr>
            <w:tcW w:w="2448" w:type="dxa"/>
            <w:vAlign w:val="center"/>
          </w:tcPr>
          <w:p w14:paraId="6452C739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6"/>
              </w:rPr>
              <w:t>Are safety and fairness controls credible?</w:t>
            </w:r>
          </w:p>
        </w:tc>
      </w:tr>
      <w:tr w:rsidR="000420F3" w14:paraId="3E5063DD" w14:textId="77777777">
        <w:trPr>
          <w:cantSplit/>
          <w:jc w:val="center"/>
        </w:trPr>
        <w:tc>
          <w:tcPr>
            <w:tcW w:w="2448" w:type="dxa"/>
            <w:vAlign w:val="center"/>
          </w:tcPr>
          <w:p w14:paraId="7A017B85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6"/>
              </w:rPr>
              <w:t>3. Pilot</w:t>
            </w:r>
          </w:p>
        </w:tc>
        <w:tc>
          <w:tcPr>
            <w:tcW w:w="2448" w:type="dxa"/>
            <w:vAlign w:val="center"/>
          </w:tcPr>
          <w:p w14:paraId="25EC9068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6"/>
              </w:rPr>
              <w:t>Run in one production or engineering area</w:t>
            </w:r>
          </w:p>
        </w:tc>
        <w:tc>
          <w:tcPr>
            <w:tcW w:w="2448" w:type="dxa"/>
            <w:vAlign w:val="center"/>
          </w:tcPr>
          <w:p w14:paraId="7F6CBF9E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6"/>
              </w:rPr>
              <w:t>Projects, rotations and skill matches</w:t>
            </w:r>
          </w:p>
        </w:tc>
        <w:tc>
          <w:tcPr>
            <w:tcW w:w="2448" w:type="dxa"/>
            <w:vAlign w:val="center"/>
          </w:tcPr>
          <w:p w14:paraId="0A000870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6"/>
              </w:rPr>
              <w:t>Do outcomes improve?</w:t>
            </w:r>
          </w:p>
        </w:tc>
      </w:tr>
      <w:tr w:rsidR="000420F3" w14:paraId="344A7C43" w14:textId="77777777">
        <w:trPr>
          <w:cantSplit/>
          <w:jc w:val="center"/>
        </w:trPr>
        <w:tc>
          <w:tcPr>
            <w:tcW w:w="2448" w:type="dxa"/>
            <w:vAlign w:val="center"/>
          </w:tcPr>
          <w:p w14:paraId="2D13F173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6"/>
              </w:rPr>
              <w:t>4. Evaluate</w:t>
            </w:r>
          </w:p>
        </w:tc>
        <w:tc>
          <w:tcPr>
            <w:tcW w:w="2448" w:type="dxa"/>
            <w:vAlign w:val="center"/>
          </w:tcPr>
          <w:p w14:paraId="71228C49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6"/>
              </w:rPr>
              <w:t>Compare before/after data and qualitative feedback</w:t>
            </w:r>
          </w:p>
        </w:tc>
        <w:tc>
          <w:tcPr>
            <w:tcW w:w="2448" w:type="dxa"/>
            <w:vAlign w:val="center"/>
          </w:tcPr>
          <w:p w14:paraId="556CBF9C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6"/>
              </w:rPr>
              <w:t>Benefits, unintended effects and required changes</w:t>
            </w:r>
          </w:p>
        </w:tc>
        <w:tc>
          <w:tcPr>
            <w:tcW w:w="2448" w:type="dxa"/>
            <w:vAlign w:val="center"/>
          </w:tcPr>
          <w:p w14:paraId="47FF9D83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6"/>
              </w:rPr>
              <w:t>Adapt, expand or stop?</w:t>
            </w:r>
          </w:p>
        </w:tc>
      </w:tr>
      <w:tr w:rsidR="000420F3" w14:paraId="1CD2DA31" w14:textId="77777777">
        <w:trPr>
          <w:cantSplit/>
          <w:jc w:val="center"/>
        </w:trPr>
        <w:tc>
          <w:tcPr>
            <w:tcW w:w="2448" w:type="dxa"/>
            <w:vAlign w:val="center"/>
          </w:tcPr>
          <w:p w14:paraId="288DEFBB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6"/>
              </w:rPr>
              <w:t>5. Scale</w:t>
            </w:r>
          </w:p>
        </w:tc>
        <w:tc>
          <w:tcPr>
            <w:tcW w:w="2448" w:type="dxa"/>
            <w:vAlign w:val="center"/>
          </w:tcPr>
          <w:p w14:paraId="6832A728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6"/>
              </w:rPr>
              <w:t>Extend gradually with governance and manager training</w:t>
            </w:r>
          </w:p>
        </w:tc>
        <w:tc>
          <w:tcPr>
            <w:tcW w:w="2448" w:type="dxa"/>
            <w:vAlign w:val="center"/>
          </w:tcPr>
          <w:p w14:paraId="7A439BA5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6"/>
              </w:rPr>
              <w:t>Enterprise skills architecture</w:t>
            </w:r>
          </w:p>
        </w:tc>
        <w:tc>
          <w:tcPr>
            <w:tcW w:w="2448" w:type="dxa"/>
            <w:vAlign w:val="center"/>
          </w:tcPr>
          <w:p w14:paraId="0EB6FB49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6"/>
              </w:rPr>
              <w:t>Are outcomes consistent across sites?</w:t>
            </w:r>
          </w:p>
        </w:tc>
      </w:tr>
    </w:tbl>
    <w:p w14:paraId="600945E4" w14:textId="77777777" w:rsidR="000420F3" w:rsidRDefault="00000000">
      <w:pPr>
        <w:pStyle w:val="Heading2"/>
      </w:pPr>
      <w:bookmarkStart w:id="24" w:name="__RefHeading___Toc2131_836813259"/>
      <w:bookmarkEnd w:id="24"/>
      <w:r>
        <w:lastRenderedPageBreak/>
        <w:t>3.8 Risks and controls</w:t>
      </w:r>
    </w:p>
    <w:tbl>
      <w:tblPr>
        <w:tblStyle w:val="TableGrid"/>
        <w:tblW w:w="9792" w:type="dxa"/>
        <w:jc w:val="center"/>
        <w:tblLayout w:type="fixed"/>
        <w:tblCellMar>
          <w:top w:w="70" w:type="dxa"/>
          <w:left w:w="70" w:type="dxa"/>
          <w:bottom w:w="70" w:type="dxa"/>
          <w:right w:w="70" w:type="dxa"/>
        </w:tblCellMar>
        <w:tblLook w:val="04A0" w:firstRow="1" w:lastRow="0" w:firstColumn="1" w:lastColumn="0" w:noHBand="0" w:noVBand="1"/>
      </w:tblPr>
      <w:tblGrid>
        <w:gridCol w:w="4896"/>
        <w:gridCol w:w="4896"/>
      </w:tblGrid>
      <w:tr w:rsidR="000420F3" w14:paraId="3F07ED4E" w14:textId="77777777">
        <w:trPr>
          <w:cantSplit/>
          <w:tblHeader/>
          <w:jc w:val="center"/>
        </w:trPr>
        <w:tc>
          <w:tcPr>
            <w:tcW w:w="4896" w:type="dxa"/>
            <w:shd w:val="clear" w:color="auto" w:fill="D9EAF7"/>
            <w:vAlign w:val="center"/>
          </w:tcPr>
          <w:p w14:paraId="5ECB2F97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b/>
                <w:sz w:val="18"/>
              </w:rPr>
              <w:t>Risk</w:t>
            </w:r>
          </w:p>
        </w:tc>
        <w:tc>
          <w:tcPr>
            <w:tcW w:w="4896" w:type="dxa"/>
            <w:shd w:val="clear" w:color="auto" w:fill="D9EAF7"/>
            <w:vAlign w:val="center"/>
          </w:tcPr>
          <w:p w14:paraId="33EDA60C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b/>
                <w:sz w:val="18"/>
              </w:rPr>
              <w:t>Suggested control</w:t>
            </w:r>
          </w:p>
        </w:tc>
      </w:tr>
      <w:tr w:rsidR="000420F3" w14:paraId="42B905F1" w14:textId="77777777">
        <w:trPr>
          <w:cantSplit/>
          <w:jc w:val="center"/>
        </w:trPr>
        <w:tc>
          <w:tcPr>
            <w:tcW w:w="4896" w:type="dxa"/>
            <w:vAlign w:val="center"/>
          </w:tcPr>
          <w:p w14:paraId="2E27A619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8"/>
              </w:rPr>
              <w:t>Safety risk from excessive autonomy</w:t>
            </w:r>
          </w:p>
        </w:tc>
        <w:tc>
          <w:tcPr>
            <w:tcW w:w="4896" w:type="dxa"/>
            <w:vAlign w:val="center"/>
          </w:tcPr>
          <w:p w14:paraId="421BE1FA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8"/>
              </w:rPr>
              <w:t>Define non-negotiable controls, competence gates and escalation rules</w:t>
            </w:r>
          </w:p>
        </w:tc>
      </w:tr>
      <w:tr w:rsidR="000420F3" w14:paraId="110D4305" w14:textId="77777777">
        <w:trPr>
          <w:cantSplit/>
          <w:jc w:val="center"/>
        </w:trPr>
        <w:tc>
          <w:tcPr>
            <w:tcW w:w="4896" w:type="dxa"/>
            <w:vAlign w:val="center"/>
          </w:tcPr>
          <w:p w14:paraId="4F25CB63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8"/>
              </w:rPr>
              <w:t>Project overload</w:t>
            </w:r>
          </w:p>
        </w:tc>
        <w:tc>
          <w:tcPr>
            <w:tcW w:w="4896" w:type="dxa"/>
            <w:vAlign w:val="center"/>
          </w:tcPr>
          <w:p w14:paraId="77F870D3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8"/>
              </w:rPr>
              <w:t>Set capacity limits and include project work in workload planning</w:t>
            </w:r>
          </w:p>
        </w:tc>
      </w:tr>
      <w:tr w:rsidR="000420F3" w14:paraId="38B8C7BB" w14:textId="77777777">
        <w:trPr>
          <w:cantSplit/>
          <w:jc w:val="center"/>
        </w:trPr>
        <w:tc>
          <w:tcPr>
            <w:tcW w:w="4896" w:type="dxa"/>
            <w:vAlign w:val="center"/>
          </w:tcPr>
          <w:p w14:paraId="44D0CDBD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8"/>
              </w:rPr>
              <w:t>Managers hoard skilled employees</w:t>
            </w:r>
          </w:p>
        </w:tc>
        <w:tc>
          <w:tcPr>
            <w:tcW w:w="4896" w:type="dxa"/>
            <w:vAlign w:val="center"/>
          </w:tcPr>
          <w:p w14:paraId="1971AAF9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8"/>
              </w:rPr>
              <w:t>Measure talent development and release as a leadership responsibility</w:t>
            </w:r>
          </w:p>
        </w:tc>
      </w:tr>
      <w:tr w:rsidR="000420F3" w14:paraId="73905622" w14:textId="77777777">
        <w:trPr>
          <w:cantSplit/>
          <w:jc w:val="center"/>
        </w:trPr>
        <w:tc>
          <w:tcPr>
            <w:tcW w:w="4896" w:type="dxa"/>
            <w:vAlign w:val="center"/>
          </w:tcPr>
          <w:p w14:paraId="23D33065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8"/>
              </w:rPr>
              <w:t>Algorithmic bias</w:t>
            </w:r>
          </w:p>
        </w:tc>
        <w:tc>
          <w:tcPr>
            <w:tcW w:w="4896" w:type="dxa"/>
            <w:vAlign w:val="center"/>
          </w:tcPr>
          <w:p w14:paraId="77F455E6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8"/>
              </w:rPr>
              <w:t>Use transparent matching logic, fairness audits, human review and appeal routes</w:t>
            </w:r>
          </w:p>
        </w:tc>
      </w:tr>
      <w:tr w:rsidR="000420F3" w14:paraId="29D0702B" w14:textId="77777777">
        <w:trPr>
          <w:cantSplit/>
          <w:jc w:val="center"/>
        </w:trPr>
        <w:tc>
          <w:tcPr>
            <w:tcW w:w="4896" w:type="dxa"/>
            <w:vAlign w:val="center"/>
          </w:tcPr>
          <w:p w14:paraId="034540AE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8"/>
              </w:rPr>
              <w:t>Inaccurate skill profiles</w:t>
            </w:r>
          </w:p>
        </w:tc>
        <w:tc>
          <w:tcPr>
            <w:tcW w:w="4896" w:type="dxa"/>
            <w:vAlign w:val="center"/>
          </w:tcPr>
          <w:p w14:paraId="12CEFD19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8"/>
              </w:rPr>
              <w:t>Require evidence and periodic verification for critical skills</w:t>
            </w:r>
          </w:p>
        </w:tc>
      </w:tr>
      <w:tr w:rsidR="000420F3" w14:paraId="630EE196" w14:textId="77777777">
        <w:trPr>
          <w:cantSplit/>
          <w:jc w:val="center"/>
        </w:trPr>
        <w:tc>
          <w:tcPr>
            <w:tcW w:w="4896" w:type="dxa"/>
            <w:vAlign w:val="center"/>
          </w:tcPr>
          <w:p w14:paraId="3C6BE20F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8"/>
              </w:rPr>
              <w:t>Unequal access to visible projects</w:t>
            </w:r>
          </w:p>
        </w:tc>
        <w:tc>
          <w:tcPr>
            <w:tcW w:w="4896" w:type="dxa"/>
            <w:vAlign w:val="center"/>
          </w:tcPr>
          <w:p w14:paraId="11CC3B62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8"/>
              </w:rPr>
              <w:t>Publish all opportunities and monitor participation and outcomes</w:t>
            </w:r>
          </w:p>
        </w:tc>
      </w:tr>
      <w:tr w:rsidR="000420F3" w14:paraId="1AC7CFF7" w14:textId="77777777">
        <w:trPr>
          <w:cantSplit/>
          <w:jc w:val="center"/>
        </w:trPr>
        <w:tc>
          <w:tcPr>
            <w:tcW w:w="4896" w:type="dxa"/>
            <w:vAlign w:val="center"/>
          </w:tcPr>
          <w:p w14:paraId="4CF1202B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8"/>
              </w:rPr>
              <w:t>Loss of specialist expertise</w:t>
            </w:r>
          </w:p>
        </w:tc>
        <w:tc>
          <w:tcPr>
            <w:tcW w:w="4896" w:type="dxa"/>
            <w:vAlign w:val="center"/>
          </w:tcPr>
          <w:p w14:paraId="596BE1F1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8"/>
              </w:rPr>
              <w:t>Maintain technical career paths and communities of practice</w:t>
            </w:r>
          </w:p>
        </w:tc>
      </w:tr>
      <w:tr w:rsidR="000420F3" w14:paraId="7D212C3E" w14:textId="77777777">
        <w:trPr>
          <w:cantSplit/>
          <w:jc w:val="center"/>
        </w:trPr>
        <w:tc>
          <w:tcPr>
            <w:tcW w:w="4896" w:type="dxa"/>
            <w:vAlign w:val="center"/>
          </w:tcPr>
          <w:p w14:paraId="7E820268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8"/>
              </w:rPr>
              <w:t>Resistance or mistrust</w:t>
            </w:r>
          </w:p>
        </w:tc>
        <w:tc>
          <w:tcPr>
            <w:tcW w:w="4896" w:type="dxa"/>
            <w:vAlign w:val="center"/>
          </w:tcPr>
          <w:p w14:paraId="5CA33B27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8"/>
              </w:rPr>
              <w:t>Co-design with employees and representatives; communicate purpose and limits</w:t>
            </w:r>
          </w:p>
        </w:tc>
      </w:tr>
    </w:tbl>
    <w:p w14:paraId="7CAB47FF" w14:textId="77777777" w:rsidR="000420F3" w:rsidRDefault="00000000">
      <w:pPr>
        <w:pStyle w:val="Heading2"/>
      </w:pPr>
      <w:bookmarkStart w:id="25" w:name="__RefHeading___Toc2133_836813259"/>
      <w:bookmarkEnd w:id="25"/>
      <w:r>
        <w:t>3.9 Measures of success</w:t>
      </w:r>
    </w:p>
    <w:p w14:paraId="51F5FD0B" w14:textId="77777777" w:rsidR="000420F3" w:rsidRDefault="00000000">
      <w:pPr>
        <w:pStyle w:val="ListBullet"/>
        <w:ind w:hanging="230"/>
      </w:pPr>
      <w:r>
        <w:t>Employee engagement, meaningfulness, autonomy and perceived fairness.</w:t>
      </w:r>
    </w:p>
    <w:p w14:paraId="64F96F21" w14:textId="77777777" w:rsidR="000420F3" w:rsidRDefault="00000000">
      <w:pPr>
        <w:pStyle w:val="ListBullet"/>
        <w:ind w:hanging="230"/>
      </w:pPr>
      <w:r>
        <w:t>Internal mobility and participation in projects or learning opportunities.</w:t>
      </w:r>
    </w:p>
    <w:p w14:paraId="5029208D" w14:textId="77777777" w:rsidR="000420F3" w:rsidRDefault="00000000">
      <w:pPr>
        <w:pStyle w:val="ListBullet"/>
        <w:ind w:hanging="230"/>
      </w:pPr>
      <w:r>
        <w:t>Retention of critical and early-career talent.</w:t>
      </w:r>
    </w:p>
    <w:p w14:paraId="54D299B6" w14:textId="77777777" w:rsidR="000420F3" w:rsidRDefault="00000000">
      <w:pPr>
        <w:pStyle w:val="ListBullet"/>
        <w:ind w:hanging="230"/>
      </w:pPr>
      <w:r>
        <w:t>Time required to fill internal skill gaps.</w:t>
      </w:r>
    </w:p>
    <w:p w14:paraId="2E5FC8D0" w14:textId="77777777" w:rsidR="000420F3" w:rsidRDefault="00000000">
      <w:pPr>
        <w:pStyle w:val="ListBullet"/>
        <w:ind w:hanging="230"/>
      </w:pPr>
      <w:r>
        <w:t>Implemented improvement ideas and project benefits.</w:t>
      </w:r>
    </w:p>
    <w:p w14:paraId="2BA7AA68" w14:textId="77777777" w:rsidR="000420F3" w:rsidRDefault="00000000">
      <w:pPr>
        <w:pStyle w:val="ListBullet"/>
        <w:ind w:hanging="230"/>
      </w:pPr>
      <w:r>
        <w:t>Safety, quality, downtime, energy and environmental indicators.</w:t>
      </w:r>
    </w:p>
    <w:p w14:paraId="1B5E8100" w14:textId="77777777" w:rsidR="000420F3" w:rsidRDefault="000420F3">
      <w:pPr>
        <w:spacing w:after="40"/>
      </w:pPr>
    </w:p>
    <w:p w14:paraId="140D7687" w14:textId="71AEE0FF" w:rsidR="000420F3" w:rsidRDefault="00000000" w:rsidP="00871772">
      <w:pPr>
        <w:pStyle w:val="Heading1"/>
      </w:pPr>
      <w:bookmarkStart w:id="26" w:name="__RefHeading___Toc2135_836813259"/>
      <w:bookmarkEnd w:id="26"/>
      <w:r>
        <w:t>4. Task 3 research and reflection guide: AI and employability capabilities</w:t>
      </w:r>
    </w:p>
    <w:p w14:paraId="6388CD1E" w14:textId="77777777" w:rsidR="000420F3" w:rsidRDefault="00000000">
      <w:pPr>
        <w:pStyle w:val="Heading2"/>
      </w:pPr>
      <w:bookmarkStart w:id="27" w:name="__RefHeading___Toc2137_836813259"/>
      <w:bookmarkEnd w:id="27"/>
      <w:r>
        <w:t>4.1 Using AI as decision support without eroding judgement</w:t>
      </w:r>
    </w:p>
    <w:p w14:paraId="1231DAF5" w14:textId="77777777" w:rsidR="000420F3" w:rsidRDefault="00000000">
      <w:r>
        <w:t>Potential responsible uses in a Tata Steel or HR context:</w:t>
      </w:r>
    </w:p>
    <w:p w14:paraId="1DA9A16D" w14:textId="77777777" w:rsidR="000420F3" w:rsidRDefault="00000000">
      <w:pPr>
        <w:pStyle w:val="ListBullet"/>
        <w:ind w:hanging="230"/>
      </w:pPr>
      <w:r>
        <w:t>Identifying possible skills gaps and training needs.</w:t>
      </w:r>
    </w:p>
    <w:p w14:paraId="0FA2A3D3" w14:textId="77777777" w:rsidR="000420F3" w:rsidRDefault="00000000">
      <w:pPr>
        <w:pStyle w:val="ListBullet"/>
        <w:ind w:hanging="230"/>
      </w:pPr>
      <w:r>
        <w:t>Exploring workforce-planning scenarios.</w:t>
      </w:r>
    </w:p>
    <w:p w14:paraId="6D73853B" w14:textId="77777777" w:rsidR="000420F3" w:rsidRDefault="00000000">
      <w:pPr>
        <w:pStyle w:val="ListBullet"/>
        <w:ind w:hanging="230"/>
      </w:pPr>
      <w:proofErr w:type="spellStart"/>
      <w:r>
        <w:t>Analysing</w:t>
      </w:r>
      <w:proofErr w:type="spellEnd"/>
      <w:r>
        <w:t xml:space="preserve"> themes in engagement feedback.</w:t>
      </w:r>
    </w:p>
    <w:p w14:paraId="03CB0F64" w14:textId="77777777" w:rsidR="000420F3" w:rsidRDefault="00000000">
      <w:pPr>
        <w:pStyle w:val="ListBullet"/>
        <w:ind w:hanging="230"/>
      </w:pPr>
      <w:r>
        <w:t>Automating low-risk administrative tasks.</w:t>
      </w:r>
    </w:p>
    <w:p w14:paraId="201A129F" w14:textId="77777777" w:rsidR="000420F3" w:rsidRDefault="00000000">
      <w:r>
        <w:t>Decisions that should not be delegated entirely to AI:</w:t>
      </w:r>
    </w:p>
    <w:p w14:paraId="23492672" w14:textId="77777777" w:rsidR="000420F3" w:rsidRDefault="00000000">
      <w:pPr>
        <w:pStyle w:val="ListBullet"/>
        <w:ind w:hanging="230"/>
      </w:pPr>
      <w:r>
        <w:lastRenderedPageBreak/>
        <w:t>Recruitment, promotion, disciplinary and redundancy decisions.</w:t>
      </w:r>
    </w:p>
    <w:p w14:paraId="48549E3C" w14:textId="77777777" w:rsidR="000420F3" w:rsidRDefault="00000000">
      <w:pPr>
        <w:pStyle w:val="ListBullet"/>
        <w:ind w:hanging="230"/>
      </w:pPr>
      <w:r>
        <w:t>Selection for scarce development or mobility opportunities.</w:t>
      </w:r>
    </w:p>
    <w:p w14:paraId="71472DD3" w14:textId="77777777" w:rsidR="000420F3" w:rsidRDefault="00000000">
      <w:pPr>
        <w:pStyle w:val="ListBullet"/>
        <w:ind w:hanging="230"/>
      </w:pPr>
      <w:r>
        <w:t>Interpretation of employee concerns, grievances or wellbeing issues.</w:t>
      </w:r>
    </w:p>
    <w:p w14:paraId="52B5E32C" w14:textId="77777777" w:rsidR="000420F3" w:rsidRDefault="00000000">
      <w:pPr>
        <w:pStyle w:val="Heading2"/>
      </w:pPr>
      <w:bookmarkStart w:id="28" w:name="__RefHeading___Toc2139_836813259"/>
      <w:bookmarkEnd w:id="28"/>
      <w:r>
        <w:t>4.2 Human-judgement safeguards</w:t>
      </w:r>
    </w:p>
    <w:p w14:paraId="26D90200" w14:textId="77777777" w:rsidR="000420F3" w:rsidRDefault="00000000">
      <w:pPr>
        <w:spacing w:after="60"/>
        <w:ind w:left="403" w:hanging="403"/>
      </w:pPr>
      <w:r>
        <w:t>1. Check the data is accurate, current and lawfully obtained.</w:t>
      </w:r>
    </w:p>
    <w:p w14:paraId="6E2E8CDE" w14:textId="77777777" w:rsidR="000420F3" w:rsidRDefault="00000000">
      <w:pPr>
        <w:spacing w:after="60"/>
        <w:ind w:left="403" w:hanging="403"/>
      </w:pPr>
      <w:r>
        <w:t>2. Understand the system’s purpose and limits rather than treating a score as fact.</w:t>
      </w:r>
    </w:p>
    <w:p w14:paraId="0ADF1CCF" w14:textId="77777777" w:rsidR="000420F3" w:rsidRDefault="00000000">
      <w:pPr>
        <w:spacing w:after="60"/>
        <w:ind w:left="403" w:hanging="403"/>
      </w:pPr>
      <w:r>
        <w:t>3. Compare recommendations with professional knowledge and evidence.</w:t>
      </w:r>
    </w:p>
    <w:p w14:paraId="2C60E3ED" w14:textId="77777777" w:rsidR="000420F3" w:rsidRDefault="00000000">
      <w:pPr>
        <w:spacing w:after="60"/>
        <w:ind w:left="403" w:hanging="403"/>
      </w:pPr>
      <w:r>
        <w:t>4. Document the reasoning and accountability behind the final decision.</w:t>
      </w:r>
    </w:p>
    <w:p w14:paraId="1C14D3D1" w14:textId="77777777" w:rsidR="000420F3" w:rsidRDefault="00000000">
      <w:pPr>
        <w:spacing w:after="60"/>
        <w:ind w:left="403" w:hanging="403"/>
      </w:pPr>
      <w:r>
        <w:t>5. Give affected employees clear information and a meaningful appeal route.</w:t>
      </w:r>
    </w:p>
    <w:p w14:paraId="660EAECC" w14:textId="77777777" w:rsidR="000420F3" w:rsidRDefault="00000000">
      <w:pPr>
        <w:spacing w:after="60"/>
        <w:ind w:left="403" w:hanging="403"/>
      </w:pPr>
      <w:r>
        <w:t>6. Watch for automation bias, where reviewers simply accept system output.</w:t>
      </w:r>
    </w:p>
    <w:p w14:paraId="5C54B8F3" w14:textId="77777777" w:rsidR="000420F3" w:rsidRDefault="00000000">
      <w:r>
        <w:t>The OECD’s trustworthy-AI guidance stresses human-</w:t>
      </w:r>
      <w:proofErr w:type="spellStart"/>
      <w:r>
        <w:t>centred</w:t>
      </w:r>
      <w:proofErr w:type="spellEnd"/>
      <w:r>
        <w:t xml:space="preserve"> values, fairness, transparency and human intervention; ILO analysis warns that biased data and opaque design can undermine AI-supported HR decisions (OECD, 2023; ILO, 2025).</w:t>
      </w:r>
    </w:p>
    <w:p w14:paraId="3948313F" w14:textId="77777777" w:rsidR="000420F3" w:rsidRDefault="00000000">
      <w:pPr>
        <w:pStyle w:val="Heading2"/>
      </w:pPr>
      <w:bookmarkStart w:id="29" w:name="__RefHeading___Toc2141_836813259"/>
      <w:bookmarkEnd w:id="29"/>
      <w:r>
        <w:t>4.3 Suggested personal capability development plan</w:t>
      </w:r>
    </w:p>
    <w:tbl>
      <w:tblPr>
        <w:tblStyle w:val="TableGrid"/>
        <w:tblW w:w="9790" w:type="dxa"/>
        <w:jc w:val="center"/>
        <w:tblLayout w:type="fixed"/>
        <w:tblCellMar>
          <w:top w:w="70" w:type="dxa"/>
          <w:left w:w="70" w:type="dxa"/>
          <w:bottom w:w="70" w:type="dxa"/>
          <w:right w:w="70" w:type="dxa"/>
        </w:tblCellMar>
        <w:tblLook w:val="04A0" w:firstRow="1" w:lastRow="0" w:firstColumn="1" w:lastColumn="0" w:noHBand="0" w:noVBand="1"/>
      </w:tblPr>
      <w:tblGrid>
        <w:gridCol w:w="1958"/>
        <w:gridCol w:w="1958"/>
        <w:gridCol w:w="1958"/>
        <w:gridCol w:w="1958"/>
        <w:gridCol w:w="1958"/>
      </w:tblGrid>
      <w:tr w:rsidR="000420F3" w14:paraId="7327DE3B" w14:textId="77777777">
        <w:trPr>
          <w:cantSplit/>
          <w:tblHeader/>
          <w:jc w:val="center"/>
        </w:trPr>
        <w:tc>
          <w:tcPr>
            <w:tcW w:w="1958" w:type="dxa"/>
            <w:shd w:val="clear" w:color="auto" w:fill="D9EAF7"/>
            <w:vAlign w:val="center"/>
          </w:tcPr>
          <w:p w14:paraId="2196181A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b/>
                <w:sz w:val="15"/>
              </w:rPr>
              <w:t>Capability</w:t>
            </w:r>
          </w:p>
        </w:tc>
        <w:tc>
          <w:tcPr>
            <w:tcW w:w="1958" w:type="dxa"/>
            <w:shd w:val="clear" w:color="auto" w:fill="D9EAF7"/>
            <w:vAlign w:val="center"/>
          </w:tcPr>
          <w:p w14:paraId="16276B99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b/>
                <w:sz w:val="15"/>
              </w:rPr>
              <w:t>Possible current gap</w:t>
            </w:r>
          </w:p>
        </w:tc>
        <w:tc>
          <w:tcPr>
            <w:tcW w:w="1958" w:type="dxa"/>
            <w:shd w:val="clear" w:color="auto" w:fill="D9EAF7"/>
            <w:vAlign w:val="center"/>
          </w:tcPr>
          <w:p w14:paraId="0157915F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b/>
                <w:sz w:val="15"/>
              </w:rPr>
              <w:t>Development action</w:t>
            </w:r>
          </w:p>
        </w:tc>
        <w:tc>
          <w:tcPr>
            <w:tcW w:w="1958" w:type="dxa"/>
            <w:shd w:val="clear" w:color="auto" w:fill="D9EAF7"/>
            <w:vAlign w:val="center"/>
          </w:tcPr>
          <w:p w14:paraId="17709340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b/>
                <w:sz w:val="15"/>
              </w:rPr>
              <w:t>Evidence</w:t>
            </w:r>
          </w:p>
        </w:tc>
        <w:tc>
          <w:tcPr>
            <w:tcW w:w="1958" w:type="dxa"/>
            <w:shd w:val="clear" w:color="auto" w:fill="D9EAF7"/>
            <w:vAlign w:val="center"/>
          </w:tcPr>
          <w:p w14:paraId="54CDB865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b/>
                <w:sz w:val="15"/>
              </w:rPr>
              <w:t>Target</w:t>
            </w:r>
          </w:p>
        </w:tc>
      </w:tr>
      <w:tr w:rsidR="000420F3" w14:paraId="06814DB9" w14:textId="77777777">
        <w:trPr>
          <w:cantSplit/>
          <w:jc w:val="center"/>
        </w:trPr>
        <w:tc>
          <w:tcPr>
            <w:tcW w:w="1958" w:type="dxa"/>
            <w:vAlign w:val="center"/>
          </w:tcPr>
          <w:p w14:paraId="5B85765E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5"/>
              </w:rPr>
              <w:t>Data literacy</w:t>
            </w:r>
          </w:p>
        </w:tc>
        <w:tc>
          <w:tcPr>
            <w:tcW w:w="1958" w:type="dxa"/>
            <w:vAlign w:val="center"/>
          </w:tcPr>
          <w:p w14:paraId="2A1AD495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5"/>
              </w:rPr>
              <w:t>Limited confidence interpreting workforce data or dashboards</w:t>
            </w:r>
          </w:p>
        </w:tc>
        <w:tc>
          <w:tcPr>
            <w:tcW w:w="1958" w:type="dxa"/>
            <w:vAlign w:val="center"/>
          </w:tcPr>
          <w:p w14:paraId="625A2933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5"/>
              </w:rPr>
              <w:t>Complete a people-analytics course and build a small dashboard</w:t>
            </w:r>
          </w:p>
        </w:tc>
        <w:tc>
          <w:tcPr>
            <w:tcW w:w="1958" w:type="dxa"/>
            <w:vAlign w:val="center"/>
          </w:tcPr>
          <w:p w14:paraId="37EB77E6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5"/>
              </w:rPr>
              <w:t>Certificate, dashboard and written interpretation</w:t>
            </w:r>
          </w:p>
        </w:tc>
        <w:tc>
          <w:tcPr>
            <w:tcW w:w="1958" w:type="dxa"/>
            <w:vAlign w:val="center"/>
          </w:tcPr>
          <w:p w14:paraId="5F637B62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5"/>
              </w:rPr>
              <w:t>Within 6 months</w:t>
            </w:r>
          </w:p>
        </w:tc>
      </w:tr>
      <w:tr w:rsidR="000420F3" w14:paraId="36078726" w14:textId="77777777">
        <w:trPr>
          <w:cantSplit/>
          <w:jc w:val="center"/>
        </w:trPr>
        <w:tc>
          <w:tcPr>
            <w:tcW w:w="1958" w:type="dxa"/>
            <w:vAlign w:val="center"/>
          </w:tcPr>
          <w:p w14:paraId="298F73FF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5"/>
              </w:rPr>
              <w:t>AI augmentation in HR</w:t>
            </w:r>
          </w:p>
        </w:tc>
        <w:tc>
          <w:tcPr>
            <w:tcW w:w="1958" w:type="dxa"/>
            <w:vAlign w:val="center"/>
          </w:tcPr>
          <w:p w14:paraId="7F61C38B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5"/>
              </w:rPr>
              <w:t>Limited knowledge of AI bias, privacy and governance</w:t>
            </w:r>
          </w:p>
        </w:tc>
        <w:tc>
          <w:tcPr>
            <w:tcW w:w="1958" w:type="dxa"/>
            <w:vAlign w:val="center"/>
          </w:tcPr>
          <w:p w14:paraId="64979764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5"/>
              </w:rPr>
              <w:t>Evaluate one HR AI use case using an ethical-risk checklist</w:t>
            </w:r>
          </w:p>
        </w:tc>
        <w:tc>
          <w:tcPr>
            <w:tcW w:w="1958" w:type="dxa"/>
            <w:vAlign w:val="center"/>
          </w:tcPr>
          <w:p w14:paraId="2697C6C0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5"/>
              </w:rPr>
              <w:t>Written evaluation and revised checklist after feedback</w:t>
            </w:r>
          </w:p>
        </w:tc>
        <w:tc>
          <w:tcPr>
            <w:tcW w:w="1958" w:type="dxa"/>
            <w:vAlign w:val="center"/>
          </w:tcPr>
          <w:p w14:paraId="27B06B0D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5"/>
              </w:rPr>
              <w:t>Within 4 months</w:t>
            </w:r>
          </w:p>
        </w:tc>
      </w:tr>
      <w:tr w:rsidR="000420F3" w14:paraId="6662FE3D" w14:textId="77777777">
        <w:trPr>
          <w:cantSplit/>
          <w:jc w:val="center"/>
        </w:trPr>
        <w:tc>
          <w:tcPr>
            <w:tcW w:w="1958" w:type="dxa"/>
            <w:vAlign w:val="center"/>
          </w:tcPr>
          <w:p w14:paraId="59D883D6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5"/>
              </w:rPr>
              <w:t>Strategic influencing</w:t>
            </w:r>
          </w:p>
        </w:tc>
        <w:tc>
          <w:tcPr>
            <w:tcW w:w="1958" w:type="dxa"/>
            <w:vAlign w:val="center"/>
          </w:tcPr>
          <w:p w14:paraId="62468A13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5"/>
              </w:rPr>
              <w:t>Need confidence presenting evidence to senior stakeholders</w:t>
            </w:r>
          </w:p>
        </w:tc>
        <w:tc>
          <w:tcPr>
            <w:tcW w:w="1958" w:type="dxa"/>
            <w:vAlign w:val="center"/>
          </w:tcPr>
          <w:p w14:paraId="472BD2DE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5"/>
              </w:rPr>
              <w:t>Deliver short recommendations and request structured feedback</w:t>
            </w:r>
          </w:p>
        </w:tc>
        <w:tc>
          <w:tcPr>
            <w:tcW w:w="1958" w:type="dxa"/>
            <w:vAlign w:val="center"/>
          </w:tcPr>
          <w:p w14:paraId="774571ED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5"/>
              </w:rPr>
              <w:t>Presentation feedback and reflection log</w:t>
            </w:r>
          </w:p>
        </w:tc>
        <w:tc>
          <w:tcPr>
            <w:tcW w:w="1958" w:type="dxa"/>
            <w:vAlign w:val="center"/>
          </w:tcPr>
          <w:p w14:paraId="3E3084CA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5"/>
              </w:rPr>
              <w:t>During the next academic term</w:t>
            </w:r>
          </w:p>
        </w:tc>
      </w:tr>
      <w:tr w:rsidR="000420F3" w14:paraId="78555DC3" w14:textId="77777777">
        <w:trPr>
          <w:cantSplit/>
          <w:jc w:val="center"/>
        </w:trPr>
        <w:tc>
          <w:tcPr>
            <w:tcW w:w="1958" w:type="dxa"/>
            <w:vAlign w:val="center"/>
          </w:tcPr>
          <w:p w14:paraId="7EC06796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5"/>
              </w:rPr>
              <w:t>Global mobility awareness</w:t>
            </w:r>
          </w:p>
        </w:tc>
        <w:tc>
          <w:tcPr>
            <w:tcW w:w="1958" w:type="dxa"/>
            <w:vAlign w:val="center"/>
          </w:tcPr>
          <w:p w14:paraId="3652E83E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5"/>
              </w:rPr>
              <w:t>Limited understanding of cross-border mobility issues</w:t>
            </w:r>
          </w:p>
        </w:tc>
        <w:tc>
          <w:tcPr>
            <w:tcW w:w="1958" w:type="dxa"/>
            <w:vAlign w:val="center"/>
          </w:tcPr>
          <w:p w14:paraId="25A46B04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5"/>
              </w:rPr>
              <w:t>Compare mobility and employment considerations across the UK, Europe and Asia</w:t>
            </w:r>
          </w:p>
        </w:tc>
        <w:tc>
          <w:tcPr>
            <w:tcW w:w="1958" w:type="dxa"/>
            <w:vAlign w:val="center"/>
          </w:tcPr>
          <w:p w14:paraId="2FAA3FC9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5"/>
              </w:rPr>
              <w:t>Three-country briefing and discussion with a practitioner</w:t>
            </w:r>
          </w:p>
        </w:tc>
        <w:tc>
          <w:tcPr>
            <w:tcW w:w="1958" w:type="dxa"/>
            <w:vAlign w:val="center"/>
          </w:tcPr>
          <w:p w14:paraId="315DD8DD" w14:textId="77777777" w:rsidR="000420F3" w:rsidRDefault="00000000">
            <w:pPr>
              <w:spacing w:after="0" w:line="252" w:lineRule="auto"/>
              <w:rPr>
                <w:rFonts w:eastAsia="MS Mincho"/>
              </w:rPr>
            </w:pPr>
            <w:r>
              <w:rPr>
                <w:rFonts w:eastAsia="MS Mincho"/>
                <w:sz w:val="15"/>
              </w:rPr>
              <w:t>Within 6 months</w:t>
            </w:r>
          </w:p>
        </w:tc>
      </w:tr>
    </w:tbl>
    <w:p w14:paraId="7DFB0CFA" w14:textId="77777777" w:rsidR="000420F3" w:rsidRDefault="00000000">
      <w:pPr>
        <w:pStyle w:val="Heading2"/>
      </w:pPr>
      <w:bookmarkStart w:id="30" w:name="__RefHeading___Toc2143_836813259"/>
      <w:bookmarkEnd w:id="30"/>
      <w:r>
        <w:t>4.4 Reflection prompts</w:t>
      </w:r>
    </w:p>
    <w:p w14:paraId="232DDEDD" w14:textId="77777777" w:rsidR="000420F3" w:rsidRDefault="00000000">
      <w:pPr>
        <w:pStyle w:val="ListBullet"/>
        <w:ind w:hanging="230"/>
      </w:pPr>
      <w:r>
        <w:t>One situation where I relied too heavily on a tool or data output?</w:t>
      </w:r>
    </w:p>
    <w:p w14:paraId="31CB8A7F" w14:textId="77777777" w:rsidR="000420F3" w:rsidRDefault="00000000">
      <w:pPr>
        <w:pStyle w:val="ListBullet"/>
        <w:ind w:hanging="230"/>
      </w:pPr>
      <w:r>
        <w:t>Which ethical risk would I most likely overlook: bias, privacy or automation bias?</w:t>
      </w:r>
    </w:p>
    <w:p w14:paraId="688CE52E" w14:textId="77777777" w:rsidR="000420F3" w:rsidRDefault="00000000">
      <w:pPr>
        <w:pStyle w:val="ListBullet"/>
        <w:ind w:hanging="230"/>
      </w:pPr>
      <w:r>
        <w:t>How will these capabilities improve my employability in a global and technology-enabled workplace?</w:t>
      </w:r>
    </w:p>
    <w:p w14:paraId="0040F4A6" w14:textId="77777777" w:rsidR="000420F3" w:rsidRDefault="00000000">
      <w:pPr>
        <w:pStyle w:val="Heading2"/>
      </w:pPr>
      <w:bookmarkStart w:id="31" w:name="__RefHeading___Toc2145_836813259"/>
      <w:bookmarkEnd w:id="31"/>
      <w:r>
        <w:lastRenderedPageBreak/>
        <w:t>4.5 Sentence starters to adapt</w:t>
      </w:r>
    </w:p>
    <w:p w14:paraId="56F63D19" w14:textId="77777777" w:rsidR="000420F3" w:rsidRDefault="00000000">
      <w:pPr>
        <w:spacing w:after="80"/>
        <w:ind w:left="432"/>
      </w:pPr>
      <w:r>
        <w:rPr>
          <w:i/>
          <w:color w:val="505050"/>
        </w:rPr>
        <w:t>“Before accepting an AI recommendation, I would...”</w:t>
      </w:r>
    </w:p>
    <w:p w14:paraId="3F92DC26" w14:textId="77777777" w:rsidR="000420F3" w:rsidRDefault="00000000">
      <w:pPr>
        <w:spacing w:after="80"/>
        <w:ind w:left="432"/>
      </w:pPr>
      <w:r>
        <w:rPr>
          <w:i/>
          <w:color w:val="505050"/>
        </w:rPr>
        <w:t>“My current strength is..., but I need to develop...”</w:t>
      </w:r>
    </w:p>
    <w:p w14:paraId="00146D88" w14:textId="77777777" w:rsidR="000420F3" w:rsidRDefault="00000000">
      <w:pPr>
        <w:spacing w:after="80"/>
        <w:ind w:left="432"/>
      </w:pPr>
      <w:r>
        <w:rPr>
          <w:i/>
          <w:color w:val="505050"/>
        </w:rPr>
        <w:t>“I will measure improvement by...”</w:t>
      </w:r>
    </w:p>
    <w:p w14:paraId="2ABAB813" w14:textId="77777777" w:rsidR="000420F3" w:rsidRDefault="00000000">
      <w:pPr>
        <w:spacing w:after="80"/>
        <w:ind w:left="432"/>
      </w:pPr>
      <w:r>
        <w:rPr>
          <w:i/>
          <w:color w:val="505050"/>
        </w:rPr>
        <w:t>“This capability matters for my employability because...”</w:t>
      </w:r>
    </w:p>
    <w:p w14:paraId="50012B9B" w14:textId="77777777" w:rsidR="000420F3" w:rsidRDefault="00000000">
      <w:pPr>
        <w:pStyle w:val="Heading1"/>
      </w:pPr>
      <w:bookmarkStart w:id="32" w:name="__RefHeading___Toc2147_836813259"/>
      <w:bookmarkStart w:id="33" w:name="__RefHeading___Toc2155_836813259"/>
      <w:bookmarkEnd w:id="32"/>
      <w:bookmarkEnd w:id="33"/>
      <w:r>
        <w:t>References</w:t>
      </w:r>
    </w:p>
    <w:p w14:paraId="17844B50" w14:textId="77777777" w:rsidR="000420F3" w:rsidRDefault="00000000">
      <w:pPr>
        <w:spacing w:after="100"/>
        <w:ind w:left="432" w:hanging="432"/>
      </w:pPr>
      <w:r>
        <w:rPr>
          <w:sz w:val="21"/>
        </w:rPr>
        <w:t xml:space="preserve">Ashforth, B.E. and Mael, F. (1989) ‘Social identity theory and the organization’, Academy of Management Review, 14(1), pp. 20-39. </w:t>
      </w:r>
      <w:proofErr w:type="spellStart"/>
      <w:r>
        <w:rPr>
          <w:sz w:val="21"/>
        </w:rPr>
        <w:t>doi</w:t>
      </w:r>
      <w:proofErr w:type="spellEnd"/>
      <w:r>
        <w:rPr>
          <w:sz w:val="21"/>
        </w:rPr>
        <w:t>: 10.5465/amr.1989.4278999.</w:t>
      </w:r>
    </w:p>
    <w:p w14:paraId="4949F35C" w14:textId="77777777" w:rsidR="000420F3" w:rsidRDefault="00000000">
      <w:pPr>
        <w:spacing w:after="100"/>
        <w:ind w:left="432" w:hanging="432"/>
      </w:pPr>
      <w:r>
        <w:rPr>
          <w:sz w:val="21"/>
        </w:rPr>
        <w:t xml:space="preserve">Ashforth, B.E., Harrison, S.H. and Corley, K.G. (2008) ‘Identification in organizations: An examination of four fundamental questions’, Journal of Management, 34(3), pp. 325-374. </w:t>
      </w:r>
      <w:proofErr w:type="spellStart"/>
      <w:r>
        <w:rPr>
          <w:sz w:val="21"/>
        </w:rPr>
        <w:t>doi</w:t>
      </w:r>
      <w:proofErr w:type="spellEnd"/>
      <w:r>
        <w:rPr>
          <w:sz w:val="21"/>
        </w:rPr>
        <w:t>: 10.1177/0149206308316059.</w:t>
      </w:r>
    </w:p>
    <w:p w14:paraId="3509EC36" w14:textId="77777777" w:rsidR="000420F3" w:rsidRDefault="00000000">
      <w:pPr>
        <w:spacing w:after="100"/>
        <w:ind w:left="432" w:hanging="432"/>
      </w:pPr>
      <w:r>
        <w:rPr>
          <w:sz w:val="21"/>
        </w:rPr>
        <w:t xml:space="preserve">Hackman, J.R. and Oldham, G.R. (1976) ‘Motivation through the design of work: Test of a theory’, Organizational Behavior and Human Performance, 16(2), pp. 250-279. </w:t>
      </w:r>
      <w:proofErr w:type="spellStart"/>
      <w:r>
        <w:rPr>
          <w:sz w:val="21"/>
        </w:rPr>
        <w:t>doi</w:t>
      </w:r>
      <w:proofErr w:type="spellEnd"/>
      <w:r>
        <w:rPr>
          <w:sz w:val="21"/>
        </w:rPr>
        <w:t>: 10.1016/0030-5073(76)90016-7.</w:t>
      </w:r>
    </w:p>
    <w:p w14:paraId="58B79AA6" w14:textId="77777777" w:rsidR="000420F3" w:rsidRDefault="00000000">
      <w:pPr>
        <w:spacing w:after="100"/>
        <w:ind w:left="432" w:hanging="432"/>
      </w:pPr>
      <w:r>
        <w:rPr>
          <w:sz w:val="21"/>
        </w:rPr>
        <w:t xml:space="preserve">International </w:t>
      </w:r>
      <w:proofErr w:type="spellStart"/>
      <w:r>
        <w:rPr>
          <w:sz w:val="21"/>
        </w:rPr>
        <w:t>Labour</w:t>
      </w:r>
      <w:proofErr w:type="spellEnd"/>
      <w:r>
        <w:rPr>
          <w:sz w:val="21"/>
        </w:rPr>
        <w:t xml:space="preserve"> Organization (ILO) (2025) AI in human resource management: The limits of empiricism. Available at: </w:t>
      </w:r>
      <w:hyperlink r:id="rId9">
        <w:r>
          <w:rPr>
            <w:color w:val="0563C1"/>
            <w:sz w:val="22"/>
            <w:u w:val="single"/>
          </w:rPr>
          <w:t>https://www.ilo.org/publications/ai-human-resource-management-limits-empiricism</w:t>
        </w:r>
      </w:hyperlink>
      <w:r>
        <w:rPr>
          <w:sz w:val="21"/>
        </w:rPr>
        <w:t xml:space="preserve"> (Accessed: 16 July 2026).</w:t>
      </w:r>
    </w:p>
    <w:p w14:paraId="16B4B3A4" w14:textId="77777777" w:rsidR="000420F3" w:rsidRDefault="00000000">
      <w:pPr>
        <w:spacing w:after="100"/>
        <w:ind w:left="432" w:hanging="432"/>
      </w:pPr>
      <w:r>
        <w:rPr>
          <w:sz w:val="21"/>
        </w:rPr>
        <w:t xml:space="preserve">OECD (2023) ‘Ensuring trustworthy artificial intelligence in the workplace’, OECD Employment Outlook 2023. Available at: </w:t>
      </w:r>
      <w:hyperlink r:id="rId10">
        <w:r>
          <w:rPr>
            <w:color w:val="0563C1"/>
            <w:sz w:val="22"/>
            <w:u w:val="single"/>
          </w:rPr>
          <w:t>https://www.oecd.org/en/publications/oecd-employment-outlook-2023_08785bba-en/full-report/ensuring-trustworthy-artificial-intelligence-in-the-workplace-countries-policy-action_c01b9e49.html</w:t>
        </w:r>
      </w:hyperlink>
      <w:r>
        <w:rPr>
          <w:sz w:val="21"/>
        </w:rPr>
        <w:t xml:space="preserve"> (Accessed: 16 July 2026).</w:t>
      </w:r>
    </w:p>
    <w:p w14:paraId="2D5C4C2F" w14:textId="77777777" w:rsidR="000420F3" w:rsidRDefault="00000000">
      <w:pPr>
        <w:spacing w:after="100"/>
        <w:ind w:left="432" w:hanging="432"/>
      </w:pPr>
      <w:r>
        <w:rPr>
          <w:sz w:val="21"/>
        </w:rPr>
        <w:t xml:space="preserve">Rousseau, D.M. (1989) ‘Psychological and implied contracts in organizations’, Employee Responsibilities and Rights Journal, 2, pp. 121-139. </w:t>
      </w:r>
      <w:proofErr w:type="spellStart"/>
      <w:r>
        <w:rPr>
          <w:sz w:val="21"/>
        </w:rPr>
        <w:t>doi</w:t>
      </w:r>
      <w:proofErr w:type="spellEnd"/>
      <w:r>
        <w:rPr>
          <w:sz w:val="21"/>
        </w:rPr>
        <w:t>: 10.1007/BF01384942.</w:t>
      </w:r>
    </w:p>
    <w:p w14:paraId="48E363FE" w14:textId="77777777" w:rsidR="000420F3" w:rsidRDefault="00000000">
      <w:pPr>
        <w:spacing w:after="100"/>
        <w:ind w:left="432" w:hanging="432"/>
      </w:pPr>
      <w:r>
        <w:rPr>
          <w:sz w:val="21"/>
        </w:rPr>
        <w:t>Rousseau, D.M. (1995) Psychological Contracts in Organizations: Understanding Written and Unwritten Agreements. Thousand Oaks, CA: Sage.</w:t>
      </w:r>
    </w:p>
    <w:p w14:paraId="567FD499" w14:textId="77777777" w:rsidR="000420F3" w:rsidRDefault="00000000">
      <w:pPr>
        <w:spacing w:after="100"/>
        <w:ind w:left="432" w:hanging="432"/>
      </w:pPr>
      <w:r>
        <w:rPr>
          <w:sz w:val="21"/>
        </w:rPr>
        <w:t xml:space="preserve">Saks, A.M., Uggerslev, K.L. and </w:t>
      </w:r>
      <w:proofErr w:type="spellStart"/>
      <w:r>
        <w:rPr>
          <w:sz w:val="21"/>
        </w:rPr>
        <w:t>Fassina</w:t>
      </w:r>
      <w:proofErr w:type="spellEnd"/>
      <w:r>
        <w:rPr>
          <w:sz w:val="21"/>
        </w:rPr>
        <w:t>, N.E. (2007) ‘Socialization tactics and newcomer adjustment: A meta-analytic review and test of a model’, Journal of Vocational Behavior, 70(3), pp. 413-446.</w:t>
      </w:r>
    </w:p>
    <w:p w14:paraId="010BDCCF" w14:textId="77777777" w:rsidR="000420F3" w:rsidRDefault="00000000">
      <w:pPr>
        <w:spacing w:after="100"/>
        <w:ind w:left="432" w:hanging="432"/>
      </w:pPr>
      <w:r>
        <w:rPr>
          <w:sz w:val="21"/>
        </w:rPr>
        <w:t xml:space="preserve">Tata Group (2026a) Values and purpose. Available at: </w:t>
      </w:r>
      <w:hyperlink r:id="rId11">
        <w:r>
          <w:rPr>
            <w:color w:val="0563C1"/>
            <w:sz w:val="22"/>
            <w:u w:val="single"/>
          </w:rPr>
          <w:t>https://www.tata.com/about-us/tata-values-purpose</w:t>
        </w:r>
      </w:hyperlink>
      <w:r>
        <w:rPr>
          <w:sz w:val="21"/>
        </w:rPr>
        <w:t xml:space="preserve"> (Accessed: 16 July 2026).</w:t>
      </w:r>
    </w:p>
    <w:p w14:paraId="3F22A1E7" w14:textId="77777777" w:rsidR="000420F3" w:rsidRDefault="00000000">
      <w:pPr>
        <w:spacing w:after="100"/>
        <w:ind w:left="432" w:hanging="432"/>
      </w:pPr>
      <w:r>
        <w:rPr>
          <w:sz w:val="21"/>
        </w:rPr>
        <w:t xml:space="preserve">Tata Group (2026b) Tata Opportunities for Tata People. Available at: </w:t>
      </w:r>
      <w:hyperlink r:id="rId12">
        <w:r>
          <w:rPr>
            <w:color w:val="0563C1"/>
            <w:sz w:val="22"/>
            <w:u w:val="single"/>
          </w:rPr>
          <w:t>https://www.tata.com/careers/jobs/internal-jobs-tata-group-mobility</w:t>
        </w:r>
      </w:hyperlink>
      <w:r>
        <w:rPr>
          <w:sz w:val="21"/>
        </w:rPr>
        <w:t xml:space="preserve"> (Accessed: 16 July 2026).</w:t>
      </w:r>
    </w:p>
    <w:p w14:paraId="2EA9F74F" w14:textId="77777777" w:rsidR="000420F3" w:rsidRDefault="00000000">
      <w:pPr>
        <w:spacing w:after="100"/>
        <w:ind w:left="432" w:hanging="432"/>
      </w:pPr>
      <w:r>
        <w:rPr>
          <w:sz w:val="21"/>
        </w:rPr>
        <w:lastRenderedPageBreak/>
        <w:t xml:space="preserve">Tata Steel (2025) Integrated Report and Annual Accounts 2024-25. Available at: </w:t>
      </w:r>
      <w:hyperlink r:id="rId13">
        <w:r>
          <w:rPr>
            <w:color w:val="0563C1"/>
            <w:sz w:val="22"/>
            <w:u w:val="single"/>
          </w:rPr>
          <w:t>https://www.tatasteel.com/investors/integrated-report-2024-25/index.html</w:t>
        </w:r>
      </w:hyperlink>
      <w:r>
        <w:rPr>
          <w:sz w:val="21"/>
        </w:rPr>
        <w:t xml:space="preserve"> (Accessed: 16 July 2026).</w:t>
      </w:r>
    </w:p>
    <w:p w14:paraId="49814F37" w14:textId="77777777" w:rsidR="000420F3" w:rsidRDefault="00000000">
      <w:pPr>
        <w:spacing w:after="100"/>
        <w:ind w:left="432" w:hanging="432"/>
      </w:pPr>
      <w:r>
        <w:rPr>
          <w:sz w:val="21"/>
        </w:rPr>
        <w:t xml:space="preserve">Tata Steel (2026a) Vision, mission and values. Available at: </w:t>
      </w:r>
      <w:hyperlink r:id="rId14">
        <w:r>
          <w:rPr>
            <w:color w:val="0563C1"/>
            <w:sz w:val="22"/>
            <w:u w:val="single"/>
          </w:rPr>
          <w:t>https://www.tatasteel.com/corporate/our-organisation/vision-mission-values/</w:t>
        </w:r>
      </w:hyperlink>
      <w:r>
        <w:rPr>
          <w:sz w:val="21"/>
        </w:rPr>
        <w:t xml:space="preserve"> (Accessed: 16 July 2026).</w:t>
      </w:r>
    </w:p>
    <w:p w14:paraId="00C8CFB2" w14:textId="77777777" w:rsidR="000420F3" w:rsidRDefault="00000000">
      <w:pPr>
        <w:spacing w:after="100"/>
        <w:ind w:left="432" w:hanging="432"/>
      </w:pPr>
      <w:r>
        <w:rPr>
          <w:sz w:val="21"/>
        </w:rPr>
        <w:t xml:space="preserve">Tata Steel (2026b) Human resource practices and sustainability. Available at: </w:t>
      </w:r>
      <w:hyperlink r:id="rId15">
        <w:r>
          <w:rPr>
            <w:color w:val="0563C1"/>
            <w:sz w:val="22"/>
            <w:u w:val="single"/>
          </w:rPr>
          <w:t>https://www.tatasteel.com/sustainability/social/human-resource-management/</w:t>
        </w:r>
      </w:hyperlink>
      <w:r>
        <w:rPr>
          <w:sz w:val="21"/>
        </w:rPr>
        <w:t xml:space="preserve"> (Accessed: 16 July 2026).</w:t>
      </w:r>
    </w:p>
    <w:p w14:paraId="32D4838E" w14:textId="77777777" w:rsidR="000420F3" w:rsidRDefault="00000000">
      <w:pPr>
        <w:spacing w:after="100"/>
        <w:ind w:left="432" w:hanging="432"/>
      </w:pPr>
      <w:r>
        <w:rPr>
          <w:sz w:val="21"/>
        </w:rPr>
        <w:t xml:space="preserve">Tata Steel (2026c) Building a culture of safety. Available at: </w:t>
      </w:r>
      <w:hyperlink r:id="rId16">
        <w:r>
          <w:rPr>
            <w:color w:val="0563C1"/>
            <w:sz w:val="22"/>
            <w:u w:val="single"/>
          </w:rPr>
          <w:t>https://www.tatasteel.com/corporate/our-organisation/safety/building-a-culture-of-safety/</w:t>
        </w:r>
      </w:hyperlink>
      <w:r>
        <w:rPr>
          <w:sz w:val="21"/>
        </w:rPr>
        <w:t xml:space="preserve"> (Accessed: 16 July 2026).</w:t>
      </w:r>
    </w:p>
    <w:p w14:paraId="1DC7B8A7" w14:textId="77777777" w:rsidR="000420F3" w:rsidRDefault="00000000">
      <w:pPr>
        <w:spacing w:after="100"/>
        <w:ind w:left="432" w:hanging="432"/>
      </w:pPr>
      <w:r>
        <w:rPr>
          <w:sz w:val="21"/>
        </w:rPr>
        <w:t xml:space="preserve">Tata Steel UK (2025) Plans approved for Electric Arc Furnace. Available at: </w:t>
      </w:r>
      <w:hyperlink r:id="rId17">
        <w:r>
          <w:rPr>
            <w:color w:val="0563C1"/>
            <w:sz w:val="22"/>
            <w:u w:val="single"/>
          </w:rPr>
          <w:t>https://www.tatasteeluk.com/corporate/news/plans-approved-for-electric-arc-furnace</w:t>
        </w:r>
      </w:hyperlink>
      <w:r>
        <w:rPr>
          <w:sz w:val="21"/>
        </w:rPr>
        <w:t xml:space="preserve"> (Accessed: 16 July 2026).</w:t>
      </w:r>
    </w:p>
    <w:p w14:paraId="1203AA63" w14:textId="77777777" w:rsidR="000420F3" w:rsidRDefault="00000000">
      <w:pPr>
        <w:spacing w:after="100"/>
        <w:ind w:left="432" w:hanging="432"/>
      </w:pPr>
      <w:r>
        <w:rPr>
          <w:sz w:val="21"/>
        </w:rPr>
        <w:t xml:space="preserve">Tata Steel UK (2026) Port Talbot electric arc furnace project. Available at: </w:t>
      </w:r>
      <w:hyperlink r:id="rId18">
        <w:r>
          <w:rPr>
            <w:color w:val="0563C1"/>
            <w:sz w:val="22"/>
            <w:u w:val="single"/>
          </w:rPr>
          <w:t>https://www.tatasteeluk.com/welsh-government-minister-visits-port-talbot-electric-arc-furnace-progress</w:t>
        </w:r>
      </w:hyperlink>
      <w:r>
        <w:rPr>
          <w:sz w:val="21"/>
        </w:rPr>
        <w:t xml:space="preserve"> (Accessed: 16 July 2026).</w:t>
      </w:r>
    </w:p>
    <w:p w14:paraId="31AC4D47" w14:textId="77777777" w:rsidR="000420F3" w:rsidRDefault="00000000">
      <w:pPr>
        <w:spacing w:after="100"/>
        <w:ind w:left="432" w:hanging="432"/>
      </w:pPr>
      <w:r>
        <w:rPr>
          <w:sz w:val="21"/>
        </w:rPr>
        <w:t xml:space="preserve">Tims, M., Bakker, A.B. and Derks, D. (2012) ‘Development and validation of the job crafting scale’, Journal of Vocational Behavior, 80(1), pp. 173-186. </w:t>
      </w:r>
      <w:proofErr w:type="spellStart"/>
      <w:r>
        <w:rPr>
          <w:sz w:val="21"/>
        </w:rPr>
        <w:t>doi</w:t>
      </w:r>
      <w:proofErr w:type="spellEnd"/>
      <w:r>
        <w:rPr>
          <w:sz w:val="21"/>
        </w:rPr>
        <w:t>: 10.1016/j.jvb.2011.05.009.</w:t>
      </w:r>
    </w:p>
    <w:p w14:paraId="3A1D6C8E" w14:textId="77777777" w:rsidR="000420F3" w:rsidRDefault="00000000">
      <w:pPr>
        <w:spacing w:after="100"/>
        <w:ind w:left="432" w:hanging="432"/>
      </w:pPr>
      <w:r>
        <w:rPr>
          <w:sz w:val="21"/>
        </w:rPr>
        <w:t>Ulrich, D., Younger, J., Brockbank, W. and Ulrich, M. (2012) ‘The new HR competencies: Business partnering from the outside-in’, Human Resource Management, 51(6), pp. 777-799.</w:t>
      </w:r>
    </w:p>
    <w:p w14:paraId="15DA57EC" w14:textId="77777777" w:rsidR="000420F3" w:rsidRDefault="00000000">
      <w:pPr>
        <w:spacing w:after="100"/>
        <w:ind w:left="432" w:hanging="432"/>
      </w:pPr>
      <w:r>
        <w:rPr>
          <w:sz w:val="21"/>
        </w:rPr>
        <w:t>Van Maanen, J. and Schein, E.H. (1979) ‘Toward a theory of organizational socialization’, Research in Organizational Behavior, 1, pp. 209-264.</w:t>
      </w:r>
    </w:p>
    <w:p w14:paraId="746BA9BC" w14:textId="77777777" w:rsidR="000420F3" w:rsidRDefault="00000000">
      <w:pPr>
        <w:spacing w:after="100"/>
        <w:ind w:left="432" w:hanging="432"/>
      </w:pPr>
      <w:r>
        <w:rPr>
          <w:sz w:val="21"/>
        </w:rPr>
        <w:t xml:space="preserve">Wrzesniewski, A. and Dutton, J.E. (2001) ‘Crafting a job: Revisioning employees as active crafters of their work’, Academy of Management Review, 26(2), pp. 179-201. </w:t>
      </w:r>
      <w:proofErr w:type="spellStart"/>
      <w:r>
        <w:rPr>
          <w:sz w:val="21"/>
        </w:rPr>
        <w:t>doi</w:t>
      </w:r>
      <w:proofErr w:type="spellEnd"/>
      <w:r>
        <w:rPr>
          <w:sz w:val="21"/>
        </w:rPr>
        <w:t>: 10.5465/amr.2001.4378011.</w:t>
      </w:r>
    </w:p>
    <w:p w14:paraId="0FB8FAF5" w14:textId="6AAC5E69" w:rsidR="000420F3" w:rsidRDefault="000420F3">
      <w:bookmarkStart w:id="34" w:name="__RefHeading___Toc2157_836813259"/>
      <w:bookmarkEnd w:id="34"/>
    </w:p>
    <w:sectPr w:rsidR="000420F3">
      <w:footerReference w:type="even" r:id="rId19"/>
      <w:footerReference w:type="default" r:id="rId20"/>
      <w:footerReference w:type="first" r:id="rId21"/>
      <w:pgSz w:w="12240" w:h="15840"/>
      <w:pgMar w:top="1080" w:right="1224" w:bottom="1008" w:left="1224" w:header="0" w:footer="720" w:gutter="0"/>
      <w:cols w:space="720"/>
      <w:formProt w:val="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95B7930" w14:textId="77777777" w:rsidR="005B3DAD" w:rsidRDefault="005B3DAD">
      <w:pPr>
        <w:spacing w:after="0" w:line="240" w:lineRule="auto"/>
      </w:pPr>
      <w:r>
        <w:separator/>
      </w:r>
    </w:p>
  </w:endnote>
  <w:endnote w:type="continuationSeparator" w:id="0">
    <w:p w14:paraId="213A22B7" w14:textId="77777777" w:rsidR="005B3DAD" w:rsidRDefault="005B3DA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1"/>
    <w:family w:val="roman"/>
    <w:pitch w:val="variable"/>
  </w:font>
  <w:font w:name="Liberation Sans">
    <w:altName w:val="Arial"/>
    <w:charset w:val="01"/>
    <w:family w:val="swiss"/>
    <w:pitch w:val="variable"/>
  </w:font>
  <w:font w:name="Noto Sans CJK SC">
    <w:panose1 w:val="00000000000000000000"/>
    <w:charset w:val="00"/>
    <w:family w:val="roman"/>
    <w:notTrueType/>
    <w:pitch w:val="default"/>
  </w:font>
  <w:font w:name="DejaVu Sans">
    <w:panose1 w:val="00000000000000000000"/>
    <w:charset w:val="00"/>
    <w:family w:val="roman"/>
    <w:notTrueType/>
    <w:pitch w:val="default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62CD86F" w14:textId="77777777" w:rsidR="000420F3" w:rsidRDefault="000420F3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B500C74" w14:textId="77777777" w:rsidR="000420F3" w:rsidRDefault="00000000">
    <w:pPr>
      <w:pStyle w:val="Footer"/>
      <w:jc w:val="center"/>
    </w:pPr>
    <w:r>
      <w:rPr>
        <w:sz w:val="20"/>
      </w:rPr>
      <w:t xml:space="preserve">Page </w:t>
    </w:r>
    <w:r>
      <w:fldChar w:fldCharType="begin"/>
    </w:r>
    <w:r>
      <w:instrText xml:space="preserve"> PAGE </w:instrText>
    </w:r>
    <w:r>
      <w:fldChar w:fldCharType="separate"/>
    </w:r>
    <w:r>
      <w:t>16</w:t>
    </w:r>
    <w:r>
      <w:fldChar w:fldCharType="end"/>
    </w:r>
    <w:r>
      <w:rPr>
        <w:sz w:val="20"/>
      </w:rPr>
      <w:t xml:space="preserve"> of </w:t>
    </w:r>
    <w:r>
      <w:fldChar w:fldCharType="begin"/>
    </w:r>
    <w:r>
      <w:instrText xml:space="preserve"> NUMPAGES </w:instrText>
    </w:r>
    <w:r>
      <w:fldChar w:fldCharType="separate"/>
    </w:r>
    <w:r>
      <w:t>16</w:t>
    </w:r>
    <w:r>
      <w:fldChar w:fldCharType="end"/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4CCE59E" w14:textId="77777777" w:rsidR="000420F3" w:rsidRDefault="00000000">
    <w:pPr>
      <w:pStyle w:val="Footer"/>
      <w:jc w:val="center"/>
    </w:pPr>
    <w:r>
      <w:rPr>
        <w:sz w:val="20"/>
      </w:rPr>
      <w:t xml:space="preserve">Page </w:t>
    </w:r>
    <w:r>
      <w:fldChar w:fldCharType="begin"/>
    </w:r>
    <w:r>
      <w:instrText xml:space="preserve"> PAGE </w:instrText>
    </w:r>
    <w:r>
      <w:fldChar w:fldCharType="separate"/>
    </w:r>
    <w:r>
      <w:t>16</w:t>
    </w:r>
    <w:r>
      <w:fldChar w:fldCharType="end"/>
    </w:r>
    <w:r>
      <w:rPr>
        <w:sz w:val="20"/>
      </w:rPr>
      <w:t xml:space="preserve"> of </w:t>
    </w:r>
    <w:r>
      <w:fldChar w:fldCharType="begin"/>
    </w:r>
    <w:r>
      <w:instrText xml:space="preserve"> NUMPAGES </w:instrText>
    </w:r>
    <w:r>
      <w:fldChar w:fldCharType="separate"/>
    </w:r>
    <w:r>
      <w:t>16</w:t>
    </w:r>
    <w: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56AB706" w14:textId="77777777" w:rsidR="005B3DAD" w:rsidRDefault="005B3DAD">
      <w:pPr>
        <w:spacing w:after="0" w:line="240" w:lineRule="auto"/>
      </w:pPr>
      <w:r>
        <w:separator/>
      </w:r>
    </w:p>
  </w:footnote>
  <w:footnote w:type="continuationSeparator" w:id="0">
    <w:p w14:paraId="5E230CF5" w14:textId="77777777" w:rsidR="005B3DAD" w:rsidRDefault="005B3DA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89"/>
    <w:multiLevelType w:val="singleLevel"/>
    <w:tmpl w:val="699E648C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2AF36064"/>
    <w:multiLevelType w:val="multilevel"/>
    <w:tmpl w:val="4E1AA01E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  <w:lvl w:ilvl="1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>
      <w:start w:val="1"/>
      <w:numFmt w:val="decimal"/>
      <w:lvlText w:val="%3."/>
      <w:lvlJc w:val="left"/>
      <w:pPr>
        <w:tabs>
          <w:tab w:val="num" w:pos="1440"/>
        </w:tabs>
        <w:ind w:left="1440" w:hanging="360"/>
      </w:pPr>
    </w:lvl>
    <w:lvl w:ilvl="3">
      <w:start w:val="1"/>
      <w:numFmt w:val="decimal"/>
      <w:lvlText w:val="%4."/>
      <w:lvlJc w:val="left"/>
      <w:pPr>
        <w:tabs>
          <w:tab w:val="num" w:pos="1800"/>
        </w:tabs>
        <w:ind w:left="1800" w:hanging="360"/>
      </w:pPr>
    </w:lvl>
    <w:lvl w:ilvl="4">
      <w:start w:val="1"/>
      <w:numFmt w:val="decimal"/>
      <w:lvlText w:val="%5."/>
      <w:lvlJc w:val="left"/>
      <w:pPr>
        <w:tabs>
          <w:tab w:val="num" w:pos="2160"/>
        </w:tabs>
        <w:ind w:left="2160" w:hanging="360"/>
      </w:pPr>
    </w:lvl>
    <w:lvl w:ilvl="5">
      <w:start w:val="1"/>
      <w:numFmt w:val="decimal"/>
      <w:lvlText w:val="%6."/>
      <w:lvlJc w:val="left"/>
      <w:pPr>
        <w:tabs>
          <w:tab w:val="num" w:pos="2520"/>
        </w:tabs>
        <w:ind w:left="2520" w:hanging="360"/>
      </w:pPr>
    </w:lvl>
    <w:lvl w:ilvl="6">
      <w:start w:val="1"/>
      <w:numFmt w:val="decimal"/>
      <w:lvlText w:val="%7."/>
      <w:lvlJc w:val="left"/>
      <w:pPr>
        <w:tabs>
          <w:tab w:val="num" w:pos="2880"/>
        </w:tabs>
        <w:ind w:left="2880" w:hanging="360"/>
      </w:pPr>
    </w:lvl>
    <w:lvl w:ilvl="7">
      <w:start w:val="1"/>
      <w:numFmt w:val="decimal"/>
      <w:lvlText w:val="%8."/>
      <w:lvlJc w:val="left"/>
      <w:pPr>
        <w:tabs>
          <w:tab w:val="num" w:pos="3240"/>
        </w:tabs>
        <w:ind w:left="3240" w:hanging="360"/>
      </w:pPr>
    </w:lvl>
    <w:lvl w:ilvl="8">
      <w:start w:val="1"/>
      <w:numFmt w:val="decimal"/>
      <w:lvlText w:val="%9."/>
      <w:lvlJc w:val="left"/>
      <w:pPr>
        <w:tabs>
          <w:tab w:val="num" w:pos="3600"/>
        </w:tabs>
        <w:ind w:left="3600" w:hanging="360"/>
      </w:pPr>
    </w:lvl>
  </w:abstractNum>
  <w:abstractNum w:abstractNumId="2" w15:restartNumberingAfterBreak="0">
    <w:nsid w:val="2C224027"/>
    <w:multiLevelType w:val="multilevel"/>
    <w:tmpl w:val="CFEAF0CA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cs="Symbol" w:hint="default"/>
      </w:rPr>
    </w:lvl>
    <w:lvl w:ilvl="1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>
      <w:start w:val="1"/>
      <w:numFmt w:val="decimal"/>
      <w:lvlText w:val="%3."/>
      <w:lvlJc w:val="left"/>
      <w:pPr>
        <w:tabs>
          <w:tab w:val="num" w:pos="1440"/>
        </w:tabs>
        <w:ind w:left="1440" w:hanging="360"/>
      </w:pPr>
    </w:lvl>
    <w:lvl w:ilvl="3">
      <w:start w:val="1"/>
      <w:numFmt w:val="decimal"/>
      <w:lvlText w:val="%4."/>
      <w:lvlJc w:val="left"/>
      <w:pPr>
        <w:tabs>
          <w:tab w:val="num" w:pos="1800"/>
        </w:tabs>
        <w:ind w:left="1800" w:hanging="360"/>
      </w:pPr>
    </w:lvl>
    <w:lvl w:ilvl="4">
      <w:start w:val="1"/>
      <w:numFmt w:val="decimal"/>
      <w:lvlText w:val="%5."/>
      <w:lvlJc w:val="left"/>
      <w:pPr>
        <w:tabs>
          <w:tab w:val="num" w:pos="2160"/>
        </w:tabs>
        <w:ind w:left="2160" w:hanging="360"/>
      </w:pPr>
    </w:lvl>
    <w:lvl w:ilvl="5">
      <w:start w:val="1"/>
      <w:numFmt w:val="decimal"/>
      <w:lvlText w:val="%6."/>
      <w:lvlJc w:val="left"/>
      <w:pPr>
        <w:tabs>
          <w:tab w:val="num" w:pos="2520"/>
        </w:tabs>
        <w:ind w:left="2520" w:hanging="360"/>
      </w:pPr>
    </w:lvl>
    <w:lvl w:ilvl="6">
      <w:start w:val="1"/>
      <w:numFmt w:val="decimal"/>
      <w:lvlText w:val="%7."/>
      <w:lvlJc w:val="left"/>
      <w:pPr>
        <w:tabs>
          <w:tab w:val="num" w:pos="2880"/>
        </w:tabs>
        <w:ind w:left="2880" w:hanging="360"/>
      </w:pPr>
    </w:lvl>
    <w:lvl w:ilvl="7">
      <w:start w:val="1"/>
      <w:numFmt w:val="decimal"/>
      <w:lvlText w:val="%8."/>
      <w:lvlJc w:val="left"/>
      <w:pPr>
        <w:tabs>
          <w:tab w:val="num" w:pos="3240"/>
        </w:tabs>
        <w:ind w:left="3240" w:hanging="360"/>
      </w:pPr>
    </w:lvl>
    <w:lvl w:ilvl="8">
      <w:start w:val="1"/>
      <w:numFmt w:val="decimal"/>
      <w:lvlText w:val="%9."/>
      <w:lvlJc w:val="left"/>
      <w:pPr>
        <w:tabs>
          <w:tab w:val="num" w:pos="3600"/>
        </w:tabs>
        <w:ind w:left="3600" w:hanging="360"/>
      </w:pPr>
    </w:lvl>
  </w:abstractNum>
  <w:abstractNum w:abstractNumId="3" w15:restartNumberingAfterBreak="0">
    <w:nsid w:val="2E703919"/>
    <w:multiLevelType w:val="multilevel"/>
    <w:tmpl w:val="44AA90A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>
      <w:start w:val="1"/>
      <w:numFmt w:val="decimal"/>
      <w:lvlText w:val="%3."/>
      <w:lvlJc w:val="left"/>
      <w:pPr>
        <w:tabs>
          <w:tab w:val="num" w:pos="1440"/>
        </w:tabs>
        <w:ind w:left="1440" w:hanging="360"/>
      </w:pPr>
    </w:lvl>
    <w:lvl w:ilvl="3">
      <w:start w:val="1"/>
      <w:numFmt w:val="decimal"/>
      <w:lvlText w:val="%4."/>
      <w:lvlJc w:val="left"/>
      <w:pPr>
        <w:tabs>
          <w:tab w:val="num" w:pos="1800"/>
        </w:tabs>
        <w:ind w:left="1800" w:hanging="360"/>
      </w:pPr>
    </w:lvl>
    <w:lvl w:ilvl="4">
      <w:start w:val="1"/>
      <w:numFmt w:val="decimal"/>
      <w:lvlText w:val="%5."/>
      <w:lvlJc w:val="left"/>
      <w:pPr>
        <w:tabs>
          <w:tab w:val="num" w:pos="2160"/>
        </w:tabs>
        <w:ind w:left="2160" w:hanging="360"/>
      </w:pPr>
    </w:lvl>
    <w:lvl w:ilvl="5">
      <w:start w:val="1"/>
      <w:numFmt w:val="decimal"/>
      <w:lvlText w:val="%6."/>
      <w:lvlJc w:val="left"/>
      <w:pPr>
        <w:tabs>
          <w:tab w:val="num" w:pos="2520"/>
        </w:tabs>
        <w:ind w:left="2520" w:hanging="360"/>
      </w:pPr>
    </w:lvl>
    <w:lvl w:ilvl="6">
      <w:start w:val="1"/>
      <w:numFmt w:val="decimal"/>
      <w:lvlText w:val="%7."/>
      <w:lvlJc w:val="left"/>
      <w:pPr>
        <w:tabs>
          <w:tab w:val="num" w:pos="2880"/>
        </w:tabs>
        <w:ind w:left="2880" w:hanging="360"/>
      </w:pPr>
    </w:lvl>
    <w:lvl w:ilvl="7">
      <w:start w:val="1"/>
      <w:numFmt w:val="decimal"/>
      <w:lvlText w:val="%8."/>
      <w:lvlJc w:val="left"/>
      <w:pPr>
        <w:tabs>
          <w:tab w:val="num" w:pos="3240"/>
        </w:tabs>
        <w:ind w:left="3240" w:hanging="360"/>
      </w:pPr>
    </w:lvl>
    <w:lvl w:ilvl="8">
      <w:start w:val="1"/>
      <w:numFmt w:val="decimal"/>
      <w:lvlText w:val="%9."/>
      <w:lvlJc w:val="left"/>
      <w:pPr>
        <w:tabs>
          <w:tab w:val="num" w:pos="3600"/>
        </w:tabs>
        <w:ind w:left="3600" w:hanging="360"/>
      </w:pPr>
    </w:lvl>
  </w:abstractNum>
  <w:abstractNum w:abstractNumId="4" w15:restartNumberingAfterBreak="0">
    <w:nsid w:val="30FE3690"/>
    <w:multiLevelType w:val="multilevel"/>
    <w:tmpl w:val="C702542E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  <w:lvl w:ilvl="1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>
      <w:start w:val="1"/>
      <w:numFmt w:val="decimal"/>
      <w:lvlText w:val="%3."/>
      <w:lvlJc w:val="left"/>
      <w:pPr>
        <w:tabs>
          <w:tab w:val="num" w:pos="1440"/>
        </w:tabs>
        <w:ind w:left="1440" w:hanging="360"/>
      </w:pPr>
    </w:lvl>
    <w:lvl w:ilvl="3">
      <w:start w:val="1"/>
      <w:numFmt w:val="decimal"/>
      <w:lvlText w:val="%4."/>
      <w:lvlJc w:val="left"/>
      <w:pPr>
        <w:tabs>
          <w:tab w:val="num" w:pos="1800"/>
        </w:tabs>
        <w:ind w:left="1800" w:hanging="360"/>
      </w:pPr>
    </w:lvl>
    <w:lvl w:ilvl="4">
      <w:start w:val="1"/>
      <w:numFmt w:val="decimal"/>
      <w:lvlText w:val="%5."/>
      <w:lvlJc w:val="left"/>
      <w:pPr>
        <w:tabs>
          <w:tab w:val="num" w:pos="2160"/>
        </w:tabs>
        <w:ind w:left="2160" w:hanging="360"/>
      </w:pPr>
    </w:lvl>
    <w:lvl w:ilvl="5">
      <w:start w:val="1"/>
      <w:numFmt w:val="decimal"/>
      <w:lvlText w:val="%6."/>
      <w:lvlJc w:val="left"/>
      <w:pPr>
        <w:tabs>
          <w:tab w:val="num" w:pos="2520"/>
        </w:tabs>
        <w:ind w:left="2520" w:hanging="360"/>
      </w:pPr>
    </w:lvl>
    <w:lvl w:ilvl="6">
      <w:start w:val="1"/>
      <w:numFmt w:val="decimal"/>
      <w:lvlText w:val="%7."/>
      <w:lvlJc w:val="left"/>
      <w:pPr>
        <w:tabs>
          <w:tab w:val="num" w:pos="2880"/>
        </w:tabs>
        <w:ind w:left="2880" w:hanging="360"/>
      </w:pPr>
    </w:lvl>
    <w:lvl w:ilvl="7">
      <w:start w:val="1"/>
      <w:numFmt w:val="decimal"/>
      <w:lvlText w:val="%8."/>
      <w:lvlJc w:val="left"/>
      <w:pPr>
        <w:tabs>
          <w:tab w:val="num" w:pos="3240"/>
        </w:tabs>
        <w:ind w:left="3240" w:hanging="360"/>
      </w:pPr>
    </w:lvl>
    <w:lvl w:ilvl="8">
      <w:start w:val="1"/>
      <w:numFmt w:val="decimal"/>
      <w:lvlText w:val="%9."/>
      <w:lvlJc w:val="left"/>
      <w:pPr>
        <w:tabs>
          <w:tab w:val="num" w:pos="3600"/>
        </w:tabs>
        <w:ind w:left="3600" w:hanging="360"/>
      </w:pPr>
    </w:lvl>
  </w:abstractNum>
  <w:abstractNum w:abstractNumId="5" w15:restartNumberingAfterBreak="0">
    <w:nsid w:val="49D06E1E"/>
    <w:multiLevelType w:val="multilevel"/>
    <w:tmpl w:val="66A08F2C"/>
    <w:lvl w:ilvl="0">
      <w:start w:val="1"/>
      <w:numFmt w:val="bullet"/>
      <w:pStyle w:val="ListBullet"/>
      <w:lvlText w:val=""/>
      <w:lvlJc w:val="left"/>
      <w:pPr>
        <w:tabs>
          <w:tab w:val="num" w:pos="590"/>
        </w:tabs>
        <w:ind w:left="590" w:hanging="360"/>
      </w:pPr>
      <w:rPr>
        <w:rFonts w:ascii="Symbol" w:hAnsi="Symbol" w:cs="Symbol" w:hint="default"/>
      </w:rPr>
    </w:lvl>
    <w:lvl w:ilvl="1">
      <w:start w:val="1"/>
      <w:numFmt w:val="decimal"/>
      <w:lvlText w:val="%2."/>
      <w:lvlJc w:val="left"/>
      <w:pPr>
        <w:tabs>
          <w:tab w:val="num" w:pos="1310"/>
        </w:tabs>
        <w:ind w:left="1310" w:hanging="360"/>
      </w:pPr>
    </w:lvl>
    <w:lvl w:ilvl="2">
      <w:start w:val="1"/>
      <w:numFmt w:val="decimal"/>
      <w:lvlText w:val="%3."/>
      <w:lvlJc w:val="left"/>
      <w:pPr>
        <w:tabs>
          <w:tab w:val="num" w:pos="1670"/>
        </w:tabs>
        <w:ind w:left="1670" w:hanging="360"/>
      </w:pPr>
    </w:lvl>
    <w:lvl w:ilvl="3">
      <w:start w:val="1"/>
      <w:numFmt w:val="decimal"/>
      <w:lvlText w:val="%4."/>
      <w:lvlJc w:val="left"/>
      <w:pPr>
        <w:tabs>
          <w:tab w:val="num" w:pos="2030"/>
        </w:tabs>
        <w:ind w:left="2030" w:hanging="360"/>
      </w:pPr>
    </w:lvl>
    <w:lvl w:ilvl="4">
      <w:start w:val="1"/>
      <w:numFmt w:val="decimal"/>
      <w:lvlText w:val="%5."/>
      <w:lvlJc w:val="left"/>
      <w:pPr>
        <w:tabs>
          <w:tab w:val="num" w:pos="2390"/>
        </w:tabs>
        <w:ind w:left="2390" w:hanging="360"/>
      </w:pPr>
    </w:lvl>
    <w:lvl w:ilvl="5">
      <w:start w:val="1"/>
      <w:numFmt w:val="decimal"/>
      <w:lvlText w:val="%6."/>
      <w:lvlJc w:val="left"/>
      <w:pPr>
        <w:tabs>
          <w:tab w:val="num" w:pos="2750"/>
        </w:tabs>
        <w:ind w:left="2750" w:hanging="360"/>
      </w:pPr>
    </w:lvl>
    <w:lvl w:ilvl="6">
      <w:start w:val="1"/>
      <w:numFmt w:val="decimal"/>
      <w:lvlText w:val="%7."/>
      <w:lvlJc w:val="left"/>
      <w:pPr>
        <w:tabs>
          <w:tab w:val="num" w:pos="3110"/>
        </w:tabs>
        <w:ind w:left="3110" w:hanging="360"/>
      </w:pPr>
    </w:lvl>
    <w:lvl w:ilvl="7">
      <w:start w:val="1"/>
      <w:numFmt w:val="decimal"/>
      <w:lvlText w:val="%8."/>
      <w:lvlJc w:val="left"/>
      <w:pPr>
        <w:tabs>
          <w:tab w:val="num" w:pos="3470"/>
        </w:tabs>
        <w:ind w:left="3470" w:hanging="360"/>
      </w:pPr>
    </w:lvl>
    <w:lvl w:ilvl="8">
      <w:start w:val="1"/>
      <w:numFmt w:val="decimal"/>
      <w:lvlText w:val="%9."/>
      <w:lvlJc w:val="left"/>
      <w:pPr>
        <w:tabs>
          <w:tab w:val="num" w:pos="3830"/>
        </w:tabs>
        <w:ind w:left="3830" w:hanging="360"/>
      </w:pPr>
    </w:lvl>
  </w:abstractNum>
  <w:abstractNum w:abstractNumId="6" w15:restartNumberingAfterBreak="0">
    <w:nsid w:val="4E2D6546"/>
    <w:multiLevelType w:val="multilevel"/>
    <w:tmpl w:val="D902C9B8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>
      <w:start w:val="1"/>
      <w:numFmt w:val="decimal"/>
      <w:lvlText w:val="%3."/>
      <w:lvlJc w:val="left"/>
      <w:pPr>
        <w:tabs>
          <w:tab w:val="num" w:pos="1440"/>
        </w:tabs>
        <w:ind w:left="1440" w:hanging="360"/>
      </w:pPr>
    </w:lvl>
    <w:lvl w:ilvl="3">
      <w:start w:val="1"/>
      <w:numFmt w:val="decimal"/>
      <w:lvlText w:val="%4."/>
      <w:lvlJc w:val="left"/>
      <w:pPr>
        <w:tabs>
          <w:tab w:val="num" w:pos="1800"/>
        </w:tabs>
        <w:ind w:left="1800" w:hanging="360"/>
      </w:pPr>
    </w:lvl>
    <w:lvl w:ilvl="4">
      <w:start w:val="1"/>
      <w:numFmt w:val="decimal"/>
      <w:lvlText w:val="%5."/>
      <w:lvlJc w:val="left"/>
      <w:pPr>
        <w:tabs>
          <w:tab w:val="num" w:pos="2160"/>
        </w:tabs>
        <w:ind w:left="2160" w:hanging="360"/>
      </w:pPr>
    </w:lvl>
    <w:lvl w:ilvl="5">
      <w:start w:val="1"/>
      <w:numFmt w:val="decimal"/>
      <w:lvlText w:val="%6."/>
      <w:lvlJc w:val="left"/>
      <w:pPr>
        <w:tabs>
          <w:tab w:val="num" w:pos="2520"/>
        </w:tabs>
        <w:ind w:left="2520" w:hanging="360"/>
      </w:pPr>
    </w:lvl>
    <w:lvl w:ilvl="6">
      <w:start w:val="1"/>
      <w:numFmt w:val="decimal"/>
      <w:lvlText w:val="%7."/>
      <w:lvlJc w:val="left"/>
      <w:pPr>
        <w:tabs>
          <w:tab w:val="num" w:pos="2880"/>
        </w:tabs>
        <w:ind w:left="2880" w:hanging="360"/>
      </w:pPr>
    </w:lvl>
    <w:lvl w:ilvl="7">
      <w:start w:val="1"/>
      <w:numFmt w:val="decimal"/>
      <w:lvlText w:val="%8."/>
      <w:lvlJc w:val="left"/>
      <w:pPr>
        <w:tabs>
          <w:tab w:val="num" w:pos="3240"/>
        </w:tabs>
        <w:ind w:left="3240" w:hanging="360"/>
      </w:pPr>
    </w:lvl>
    <w:lvl w:ilvl="8">
      <w:start w:val="1"/>
      <w:numFmt w:val="decimal"/>
      <w:lvlText w:val="%9."/>
      <w:lvlJc w:val="left"/>
      <w:pPr>
        <w:tabs>
          <w:tab w:val="num" w:pos="3600"/>
        </w:tabs>
        <w:ind w:left="3600" w:hanging="360"/>
      </w:pPr>
    </w:lvl>
  </w:abstractNum>
  <w:abstractNum w:abstractNumId="7" w15:restartNumberingAfterBreak="0">
    <w:nsid w:val="4F997724"/>
    <w:multiLevelType w:val="multilevel"/>
    <w:tmpl w:val="C6B0ECD0"/>
    <w:lvl w:ilvl="0">
      <w:start w:val="1"/>
      <w:numFmt w:val="none"/>
      <w:suff w:val="nothing"/>
      <w:lvlText w:val=""/>
      <w:lvlJc w:val="left"/>
      <w:pPr>
        <w:tabs>
          <w:tab w:val="num" w:pos="0"/>
        </w:tabs>
        <w:ind w:left="0" w:firstLine="0"/>
      </w:pPr>
    </w:lvl>
    <w:lvl w:ilvl="1">
      <w:start w:val="1"/>
      <w:numFmt w:val="none"/>
      <w:suff w:val="nothing"/>
      <w:lvlText w:val=""/>
      <w:lvlJc w:val="left"/>
      <w:pPr>
        <w:tabs>
          <w:tab w:val="num" w:pos="0"/>
        </w:tabs>
        <w:ind w:left="0" w:firstLine="0"/>
      </w:pPr>
    </w:lvl>
    <w:lvl w:ilvl="2">
      <w:start w:val="1"/>
      <w:numFmt w:val="none"/>
      <w:suff w:val="nothing"/>
      <w:lvlText w:val=""/>
      <w:lvlJc w:val="left"/>
      <w:pPr>
        <w:tabs>
          <w:tab w:val="num" w:pos="0"/>
        </w:tabs>
        <w:ind w:left="0" w:firstLine="0"/>
      </w:pPr>
    </w:lvl>
    <w:lvl w:ilvl="3">
      <w:start w:val="1"/>
      <w:numFmt w:val="none"/>
      <w:suff w:val="nothing"/>
      <w:lvlText w:val=""/>
      <w:lvlJc w:val="left"/>
      <w:pPr>
        <w:tabs>
          <w:tab w:val="num" w:pos="0"/>
        </w:tabs>
        <w:ind w:left="0" w:firstLine="0"/>
      </w:pPr>
    </w:lvl>
    <w:lvl w:ilvl="4">
      <w:start w:val="1"/>
      <w:numFmt w:val="none"/>
      <w:suff w:val="nothing"/>
      <w:lvlText w:val=""/>
      <w:lvlJc w:val="left"/>
      <w:pPr>
        <w:tabs>
          <w:tab w:val="num" w:pos="0"/>
        </w:tabs>
        <w:ind w:left="0" w:firstLine="0"/>
      </w:pPr>
    </w:lvl>
    <w:lvl w:ilvl="5">
      <w:start w:val="1"/>
      <w:numFmt w:val="none"/>
      <w:suff w:val="nothing"/>
      <w:lvlText w:val=""/>
      <w:lvlJc w:val="left"/>
      <w:pPr>
        <w:tabs>
          <w:tab w:val="num" w:pos="0"/>
        </w:tabs>
        <w:ind w:left="0" w:firstLine="0"/>
      </w:pPr>
    </w:lvl>
    <w:lvl w:ilvl="6">
      <w:start w:val="1"/>
      <w:numFmt w:val="none"/>
      <w:suff w:val="nothing"/>
      <w:lvlText w:val=""/>
      <w:lvlJc w:val="left"/>
      <w:pPr>
        <w:tabs>
          <w:tab w:val="num" w:pos="0"/>
        </w:tabs>
        <w:ind w:left="0" w:firstLine="0"/>
      </w:pPr>
    </w:lvl>
    <w:lvl w:ilvl="7">
      <w:start w:val="1"/>
      <w:numFmt w:val="none"/>
      <w:suff w:val="nothing"/>
      <w:lvlText w:val=""/>
      <w:lvlJc w:val="left"/>
      <w:pPr>
        <w:tabs>
          <w:tab w:val="num" w:pos="0"/>
        </w:tabs>
        <w:ind w:left="0" w:firstLine="0"/>
      </w:pPr>
    </w:lvl>
    <w:lvl w:ilvl="8">
      <w:start w:val="1"/>
      <w:numFmt w:val="none"/>
      <w:suff w:val="nothing"/>
      <w:lvlText w:val=""/>
      <w:lvlJc w:val="left"/>
      <w:pPr>
        <w:tabs>
          <w:tab w:val="num" w:pos="0"/>
        </w:tabs>
        <w:ind w:left="0" w:firstLine="0"/>
      </w:pPr>
    </w:lvl>
  </w:abstractNum>
  <w:num w:numId="1" w16cid:durableId="166676189">
    <w:abstractNumId w:val="5"/>
  </w:num>
  <w:num w:numId="2" w16cid:durableId="1606307343">
    <w:abstractNumId w:val="6"/>
  </w:num>
  <w:num w:numId="3" w16cid:durableId="1297832102">
    <w:abstractNumId w:val="2"/>
  </w:num>
  <w:num w:numId="4" w16cid:durableId="1261911799">
    <w:abstractNumId w:val="4"/>
  </w:num>
  <w:num w:numId="5" w16cid:durableId="768087682">
    <w:abstractNumId w:val="3"/>
  </w:num>
  <w:num w:numId="6" w16cid:durableId="1160344379">
    <w:abstractNumId w:val="1"/>
  </w:num>
  <w:num w:numId="7" w16cid:durableId="990257003">
    <w:abstractNumId w:val="7"/>
  </w:num>
  <w:num w:numId="8" w16cid:durableId="194353697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60"/>
  <w:proofState w:spelling="clean" w:grammar="clean"/>
  <w:defaultTabStop w:val="720"/>
  <w:autoHyphenation/>
  <w:hyphenationZone w:val="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420F3"/>
    <w:rsid w:val="000420F3"/>
    <w:rsid w:val="003E4ED5"/>
    <w:rsid w:val="004C5C65"/>
    <w:rsid w:val="005B3DAD"/>
    <w:rsid w:val="00871772"/>
    <w:rsid w:val="00A172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0C6629"/>
  <w15:docId w15:val="{E0C2660F-0603-42F9-92D3-76221CD5B95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uppressAutoHyphens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  <w:pPr>
      <w:spacing w:after="120" w:line="360" w:lineRule="auto"/>
    </w:pPr>
    <w:rPr>
      <w:rFonts w:ascii="Arial" w:hAnsi="Arial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160" w:after="100"/>
      <w:outlineLvl w:val="0"/>
    </w:pPr>
    <w:rPr>
      <w:rFonts w:asciiTheme="majorHAnsi" w:eastAsiaTheme="majorEastAsia" w:hAnsiTheme="majorHAnsi" w:cstheme="majorBidi"/>
      <w:b/>
      <w:bCs/>
      <w:color w:val="1F4E79"/>
      <w:sz w:val="32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160" w:after="100"/>
      <w:outlineLvl w:val="1"/>
    </w:pPr>
    <w:rPr>
      <w:rFonts w:asciiTheme="majorHAnsi" w:eastAsiaTheme="majorEastAsia" w:hAnsiTheme="majorHAnsi" w:cstheme="majorBidi"/>
      <w:b/>
      <w:bCs/>
      <w:color w:val="2F5496"/>
      <w:sz w:val="27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160" w:after="100"/>
      <w:outlineLvl w:val="2"/>
    </w:pPr>
    <w:rPr>
      <w:rFonts w:asciiTheme="majorHAnsi" w:eastAsiaTheme="majorEastAsia" w:hAnsiTheme="majorHAnsi" w:cstheme="majorBidi"/>
      <w:b/>
      <w:bCs/>
      <w:color w:val="44444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erChar">
    <w:name w:val="Header Char"/>
    <w:basedOn w:val="DefaultParagraphFont"/>
    <w:link w:val="Header"/>
    <w:uiPriority w:val="99"/>
    <w:qFormat/>
    <w:rsid w:val="00E618BF"/>
  </w:style>
  <w:style w:type="character" w:customStyle="1" w:styleId="FooterChar">
    <w:name w:val="Footer Char"/>
    <w:basedOn w:val="DefaultParagraphFont"/>
    <w:link w:val="Footer"/>
    <w:uiPriority w:val="99"/>
    <w:qFormat/>
    <w:rsid w:val="00E618BF"/>
  </w:style>
  <w:style w:type="character" w:customStyle="1" w:styleId="Heading1Char">
    <w:name w:val="Heading 1 Char"/>
    <w:basedOn w:val="DefaultParagraphFont"/>
    <w:link w:val="Heading1"/>
    <w:uiPriority w:val="9"/>
    <w:qFormat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qFormat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qFormat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character" w:customStyle="1" w:styleId="TitleChar">
    <w:name w:val="Title Char"/>
    <w:basedOn w:val="DefaultParagraphFont"/>
    <w:link w:val="Title"/>
    <w:uiPriority w:val="10"/>
    <w:qFormat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"/>
      <w:sz w:val="52"/>
      <w:szCs w:val="52"/>
    </w:rPr>
  </w:style>
  <w:style w:type="character" w:customStyle="1" w:styleId="SubtitleChar">
    <w:name w:val="Subtitle Char"/>
    <w:basedOn w:val="DefaultParagraphFont"/>
    <w:link w:val="Subtitle"/>
    <w:uiPriority w:val="11"/>
    <w:qFormat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BodyTextChar">
    <w:name w:val="Body Text Char"/>
    <w:basedOn w:val="DefaultParagraphFont"/>
    <w:link w:val="BodyText"/>
    <w:uiPriority w:val="99"/>
    <w:qFormat/>
    <w:rsid w:val="00AA1D8D"/>
  </w:style>
  <w:style w:type="character" w:customStyle="1" w:styleId="BodyText2Char">
    <w:name w:val="Body Text 2 Char"/>
    <w:basedOn w:val="DefaultParagraphFont"/>
    <w:link w:val="BodyText2"/>
    <w:uiPriority w:val="99"/>
    <w:qFormat/>
    <w:rsid w:val="00AA1D8D"/>
  </w:style>
  <w:style w:type="character" w:customStyle="1" w:styleId="BodyText3Char">
    <w:name w:val="Body Text 3 Char"/>
    <w:basedOn w:val="DefaultParagraphFont"/>
    <w:link w:val="BodyText3"/>
    <w:uiPriority w:val="99"/>
    <w:qFormat/>
    <w:rsid w:val="00AA1D8D"/>
    <w:rPr>
      <w:sz w:val="16"/>
      <w:szCs w:val="16"/>
    </w:rPr>
  </w:style>
  <w:style w:type="character" w:customStyle="1" w:styleId="MacroTextChar">
    <w:name w:val="Macro Text Char"/>
    <w:basedOn w:val="DefaultParagraphFont"/>
    <w:link w:val="MacroText"/>
    <w:uiPriority w:val="99"/>
    <w:qFormat/>
    <w:rsid w:val="0029639D"/>
    <w:rPr>
      <w:rFonts w:ascii="Courier" w:hAnsi="Courier"/>
      <w:sz w:val="20"/>
      <w:szCs w:val="20"/>
    </w:rPr>
  </w:style>
  <w:style w:type="character" w:customStyle="1" w:styleId="QuoteChar">
    <w:name w:val="Quote Char"/>
    <w:basedOn w:val="DefaultParagraphFont"/>
    <w:link w:val="Quote"/>
    <w:uiPriority w:val="29"/>
    <w:qFormat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qFormat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qFormat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qFormat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qFormat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qFormat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qFormat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character" w:customStyle="1" w:styleId="IntenseQuoteChar">
    <w:name w:val="Intense Quote Char"/>
    <w:basedOn w:val="DefaultParagraphFont"/>
    <w:link w:val="IntenseQuote"/>
    <w:uiPriority w:val="30"/>
    <w:qFormat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character" w:styleId="Hyperlink">
    <w:name w:val="Hyperlink"/>
    <w:rPr>
      <w:color w:val="000080"/>
      <w:u w:val="single"/>
    </w:rPr>
  </w:style>
  <w:style w:type="character" w:customStyle="1" w:styleId="IndexLink">
    <w:name w:val="Index Link"/>
    <w:qFormat/>
  </w:style>
  <w:style w:type="paragraph" w:customStyle="1" w:styleId="Heading">
    <w:name w:val="Heading"/>
    <w:basedOn w:val="Normal"/>
    <w:next w:val="BodyText"/>
    <w:qFormat/>
    <w:pPr>
      <w:keepNext/>
      <w:spacing w:before="240"/>
    </w:pPr>
    <w:rPr>
      <w:rFonts w:ascii="Liberation Sans" w:eastAsia="Noto Sans CJK SC" w:hAnsi="Liberation Sans" w:cs="DejaVu Sans"/>
      <w:sz w:val="28"/>
      <w:szCs w:val="28"/>
    </w:rPr>
  </w:style>
  <w:style w:type="paragraph" w:styleId="BodyText">
    <w:name w:val="Body Text"/>
    <w:basedOn w:val="Normal"/>
    <w:link w:val="BodyTextChar"/>
    <w:uiPriority w:val="99"/>
    <w:unhideWhenUsed/>
    <w:rsid w:val="00AA1D8D"/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paragraph" w:customStyle="1" w:styleId="Index">
    <w:name w:val="Index"/>
    <w:basedOn w:val="Normal"/>
    <w:qFormat/>
    <w:pPr>
      <w:suppressLineNumbers/>
    </w:pPr>
    <w:rPr>
      <w:rFonts w:cs="DejaVu Sans"/>
    </w:rPr>
  </w:style>
  <w:style w:type="paragraph" w:customStyle="1" w:styleId="HeaderandFooter">
    <w:name w:val="Header and Footer"/>
    <w:basedOn w:val="Normal"/>
    <w:qFormat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paragraph" w:styleId="NoSpacing">
    <w:name w:val="No Spacing"/>
    <w:uiPriority w:val="1"/>
    <w:qFormat/>
    <w:rsid w:val="00FC693F"/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keepNext/>
      <w:pBdr>
        <w:bottom w:val="single" w:sz="8" w:space="4" w:color="4F81BD" w:themeColor="accent1"/>
      </w:pBdr>
      <w:spacing w:after="100" w:line="240" w:lineRule="auto"/>
      <w:contextualSpacing/>
    </w:pPr>
    <w:rPr>
      <w:rFonts w:asciiTheme="majorHAnsi" w:eastAsiaTheme="majorEastAsia" w:hAnsiTheme="majorHAnsi" w:cstheme="majorBidi"/>
      <w:b/>
      <w:color w:val="1F4E79"/>
      <w:spacing w:val="5"/>
      <w:kern w:val="2"/>
      <w:sz w:val="48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keepNext/>
      <w:spacing w:before="160" w:after="100"/>
    </w:pPr>
    <w:rPr>
      <w:rFonts w:asciiTheme="majorHAnsi" w:eastAsiaTheme="majorEastAsia" w:hAnsiTheme="majorHAnsi" w:cstheme="majorBidi"/>
      <w:i/>
      <w:iCs/>
      <w:color w:val="595959"/>
      <w:spacing w:val="15"/>
      <w:sz w:val="28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2">
    <w:name w:val="Body Text 2"/>
    <w:basedOn w:val="Normal"/>
    <w:link w:val="BodyText2Char"/>
    <w:uiPriority w:val="99"/>
    <w:unhideWhenUsed/>
    <w:qFormat/>
    <w:rsid w:val="00AA1D8D"/>
    <w:pPr>
      <w:spacing w:line="480" w:lineRule="auto"/>
    </w:pPr>
  </w:style>
  <w:style w:type="paragraph" w:styleId="BodyText3">
    <w:name w:val="Body Text 3"/>
    <w:basedOn w:val="Normal"/>
    <w:link w:val="BodyText3Char"/>
    <w:uiPriority w:val="99"/>
    <w:unhideWhenUsed/>
    <w:qFormat/>
    <w:rsid w:val="00AA1D8D"/>
    <w:rPr>
      <w:sz w:val="16"/>
      <w:szCs w:val="16"/>
    </w:rPr>
  </w:style>
  <w:style w:type="paragraph" w:styleId="List2">
    <w:name w:val="List 2"/>
    <w:basedOn w:val="Normal"/>
    <w:uiPriority w:val="99"/>
    <w:unhideWhenUsed/>
    <w:qFormat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qFormat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4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5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ind w:left="1080"/>
      <w:contextualSpacing/>
    </w:pPr>
  </w:style>
  <w:style w:type="paragraph" w:styleId="MacroText">
    <w:name w:val="macro"/>
    <w:link w:val="MacroTextChar"/>
    <w:uiPriority w:val="99"/>
    <w:unhideWhenUsed/>
    <w:qFormat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  <w:spacing w:after="200" w:line="276" w:lineRule="auto"/>
    </w:pPr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paragraph" w:styleId="IndexHeading">
    <w:name w:val="index heading"/>
    <w:basedOn w:val="Heading"/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paragraph" w:customStyle="1" w:styleId="TableText">
    <w:name w:val="Table Text"/>
    <w:qFormat/>
    <w:pPr>
      <w:spacing w:after="200" w:line="276" w:lineRule="auto"/>
    </w:pPr>
    <w:rPr>
      <w:rFonts w:ascii="Arial" w:hAnsi="Arial"/>
      <w:sz w:val="19"/>
    </w:rPr>
  </w:style>
  <w:style w:type="paragraph" w:styleId="TOC1">
    <w:name w:val="toc 1"/>
    <w:basedOn w:val="Index"/>
    <w:pPr>
      <w:tabs>
        <w:tab w:val="right" w:leader="dot" w:pos="9792"/>
      </w:tabs>
    </w:pPr>
  </w:style>
  <w:style w:type="paragraph" w:styleId="TOC2">
    <w:name w:val="toc 2"/>
    <w:basedOn w:val="Index"/>
    <w:pPr>
      <w:tabs>
        <w:tab w:val="right" w:leader="dot" w:pos="9509"/>
      </w:tabs>
      <w:ind w:left="283"/>
    </w:pPr>
  </w:style>
  <w:style w:type="paragraph" w:styleId="TOC3">
    <w:name w:val="toc 3"/>
    <w:basedOn w:val="Index"/>
    <w:pPr>
      <w:tabs>
        <w:tab w:val="right" w:leader="dot" w:pos="9225"/>
      </w:tabs>
      <w:ind w:left="567"/>
    </w:pPr>
  </w:style>
  <w:style w:type="table" w:styleId="TableGrid">
    <w:name w:val="Table Grid"/>
    <w:basedOn w:val="TableNormal"/>
    <w:uiPriority w:val="59"/>
    <w:rsid w:val="00FC693F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F81BD" w:themeColor="accent1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C0504D" w:themeColor="accent2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9BBB59" w:themeColor="accent3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8064A2" w:themeColor="accent4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BACC6" w:themeColor="accent5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F79646" w:themeColor="accent6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www.tatasteel.com/investors/integrated-report-2024-25/index.html" TargetMode="External"/><Relationship Id="rId18" Type="http://schemas.openxmlformats.org/officeDocument/2006/relationships/hyperlink" Target="https://www.tatasteeluk.com/welsh-government-minister-visits-port-talbot-electric-arc-furnace-progress" TargetMode="External"/><Relationship Id="rId3" Type="http://schemas.openxmlformats.org/officeDocument/2006/relationships/styles" Target="styles.xml"/><Relationship Id="rId21" Type="http://schemas.openxmlformats.org/officeDocument/2006/relationships/footer" Target="footer3.xml"/><Relationship Id="rId7" Type="http://schemas.openxmlformats.org/officeDocument/2006/relationships/endnotes" Target="endnotes.xml"/><Relationship Id="rId12" Type="http://schemas.openxmlformats.org/officeDocument/2006/relationships/hyperlink" Target="https://www.tata.com/careers/jobs/internal-jobs-tata-group-mobility" TargetMode="External"/><Relationship Id="rId17" Type="http://schemas.openxmlformats.org/officeDocument/2006/relationships/hyperlink" Target="https://www.tatasteeluk.com/corporate/news/plans-approved-for-electric-arc-furnace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tatasteel.com/corporate/our-organisation/safety/building-a-culture-of-safety/" TargetMode="External"/><Relationship Id="rId20" Type="http://schemas.openxmlformats.org/officeDocument/2006/relationships/footer" Target="footer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tata.com/about-us/tata-values-purpose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tatasteel.com/sustainability/social/human-resource-management/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s://www.oecd.org/en/publications/oecd-employment-outlook-2023_08785bba-en/full-report/ensuring-trustworthy-artificial-intelligence-in-the-workplace-countries-policy-action_c01b9e49.html" TargetMode="External"/><Relationship Id="rId19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yperlink" Target="https://www.ilo.org/publications/ai-human-resource-management-limits-empiricism" TargetMode="External"/><Relationship Id="rId14" Type="http://schemas.openxmlformats.org/officeDocument/2006/relationships/hyperlink" Target="https://www.tatasteel.com/corporate/our-organisation/vision-mission-values/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rgbClr val="000000"/>
      </a:dk1>
      <a:lt1>
        <a:srgbClr val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</a:majorFont>
      <a:minorFont>
        <a:latin typeface="Cambria"/>
        <a:ea typeface=""/>
        <a:cs typeface=""/>
      </a:minorFont>
    </a:fontScheme>
    <a:fmtScheme>
      <a:fillStyleLst>
        <a:solidFill>
          <a:schemeClr val="phClr"/>
        </a:solidFill>
        <a:gradFill>
          <a:gsLst>
            <a:gs pos="0">
              <a:schemeClr val="phClr">
                <a:tint val="50000"/>
              </a:schemeClr>
            </a:gs>
            <a:gs pos="35000">
              <a:schemeClr val="phClr">
                <a:tint val="37000"/>
              </a:schemeClr>
            </a:gs>
            <a:gs pos="100000">
              <a:schemeClr val="phClr">
                <a:tint val="15000"/>
              </a:schemeClr>
            </a:gs>
          </a:gsLst>
          <a:lin ang="16200000" scaled="1"/>
          <a:tileRect/>
        </a:gradFill>
        <a:gradFill>
          <a:gsLst>
            <a:gs pos="0">
              <a:schemeClr val="phClr">
                <a:tint val="100000"/>
                <a:shade val="100000"/>
              </a:schemeClr>
            </a:gs>
            <a:gs pos="100000">
              <a:schemeClr val="phClr">
                <a:tint val="50000"/>
                <a:shade val="100000"/>
              </a:schemeClr>
            </a:gs>
          </a:gsLst>
          <a:lin ang="16200000" scaled="0"/>
          <a:tileRect/>
        </a:gradFill>
      </a:fillStyleLst>
      <a:lnStyleLst>
        <a:ln w="9525" cap="flat" cmpd="sng" algn="ctr">
          <a:prstDash val="solid"/>
        </a:ln>
        <a:ln w="25400" cap="flat" cmpd="sng" algn="ctr">
          <a:prstDash val="solid"/>
        </a:ln>
        <a:ln w="38100" cap="flat" cmpd="sng" algn="ctr"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/>
        </a:effectStyle>
      </a:effectStyleLst>
      <a:bgFillStyleLst>
        <a:solidFill>
          <a:schemeClr val="phClr"/>
        </a:solidFill>
        <a:gradFill>
          <a:gsLst>
            <a:gs pos="0">
              <a:schemeClr val="phClr">
                <a:tint val="40000"/>
              </a:schemeClr>
            </a:gs>
            <a:gs pos="40000">
              <a:schemeClr val="phClr">
                <a:tint val="45000"/>
                <a:shade val="99000"/>
              </a:schemeClr>
            </a:gs>
            <a:gs pos="100000">
              <a:schemeClr val="phClr">
                <a:shade val="20000"/>
              </a:schemeClr>
            </a:gs>
          </a:gsLst>
          <a:path path="circle">
            <a:fillToRect l="50000" t="-80000" r="50000" b="180000"/>
          </a:path>
          <a:tileRect/>
        </a:gradFill>
        <a:gradFill>
          <a:gsLst>
            <a:gs pos="0">
              <a:schemeClr val="phClr">
                <a:tint val="80000"/>
              </a:schemeClr>
            </a:gs>
            <a:gs pos="100000">
              <a:schemeClr val="phClr">
                <a:shade val="30000"/>
              </a:schemeClr>
            </a:gs>
          </a:gsLst>
          <a:path path="circle">
            <a:fillToRect l="50000" t="50000" r="50000" b="50000"/>
          </a:path>
          <a:tileRect/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129</TotalTime>
  <Pages>14</Pages>
  <Words>4404</Words>
  <Characters>25104</Characters>
  <Application>Microsoft Office Word</Application>
  <DocSecurity>0</DocSecurity>
  <Lines>209</Lines>
  <Paragraphs>58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29450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dc:description>generated by python-docx</dc:description>
  <cp:lastModifiedBy>Priyanshi Parikh</cp:lastModifiedBy>
  <cp:revision>3</cp:revision>
  <dcterms:created xsi:type="dcterms:W3CDTF">2026-07-16T13:28:00Z</dcterms:created>
  <dcterms:modified xsi:type="dcterms:W3CDTF">2026-07-16T15:36:00Z</dcterms:modified>
  <dc:language>en-US</dc:language>
</cp:coreProperties>
</file>