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5EC157F8" w:rsidR="003204E4"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569B6">
        <w:rPr>
          <w:rFonts w:asciiTheme="minorBidi" w:hAnsiTheme="minorBidi"/>
          <w:sz w:val="22"/>
        </w:rPr>
        <w:t>In</w:t>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79970DE"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A569B6">
        <w:rPr>
          <w:rFonts w:ascii="Arial" w:hAnsi="Arial" w:cs="Arial"/>
          <w:sz w:val="28"/>
          <w:szCs w:val="28"/>
          <w:lang w:val="nl-NL"/>
        </w:rPr>
        <w:t>Introduction to Health and Social Care</w:t>
      </w:r>
    </w:p>
    <w:p w14:paraId="537571AF" w14:textId="22321D8C" w:rsid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A569B6">
        <w:rPr>
          <w:rFonts w:ascii="Arial" w:hAnsi="Arial" w:cs="Arial"/>
          <w:sz w:val="28"/>
          <w:szCs w:val="28"/>
        </w:rPr>
        <w:t xml:space="preserve"> LCHS4003</w:t>
      </w:r>
    </w:p>
    <w:p w14:paraId="55375BAE" w14:textId="2EF220E3" w:rsidR="00BE6801" w:rsidRPr="00CD33A8" w:rsidRDefault="00BE6801" w:rsidP="00CD33A8">
      <w:pPr>
        <w:tabs>
          <w:tab w:val="left" w:pos="6540"/>
        </w:tabs>
        <w:spacing w:line="360" w:lineRule="auto"/>
        <w:rPr>
          <w:rFonts w:ascii="Arial" w:hAnsi="Arial" w:cs="Arial"/>
          <w:sz w:val="28"/>
          <w:szCs w:val="28"/>
        </w:rPr>
      </w:pPr>
      <w:r>
        <w:rPr>
          <w:rFonts w:ascii="Arial" w:hAnsi="Arial" w:cs="Arial"/>
          <w:sz w:val="28"/>
          <w:szCs w:val="28"/>
        </w:rPr>
        <w:t>Assignment Title: Assessment 2- Report on a Health Issue</w:t>
      </w:r>
    </w:p>
    <w:p w14:paraId="0A48766D" w14:textId="7B0FA4CC"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A569B6">
        <w:rPr>
          <w:rFonts w:ascii="Arial" w:hAnsi="Arial" w:cs="Arial"/>
          <w:sz w:val="28"/>
          <w:szCs w:val="28"/>
          <w:lang w:val="nl-NL"/>
        </w:rPr>
        <w:t xml:space="preserve"> Jenelyn Bacero</w:t>
      </w:r>
    </w:p>
    <w:p w14:paraId="39AA4413" w14:textId="5B86F6E1" w:rsidR="00074402"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A569B6">
        <w:rPr>
          <w:rFonts w:ascii="Arial" w:hAnsi="Arial" w:cs="Arial"/>
          <w:sz w:val="28"/>
          <w:szCs w:val="28"/>
          <w:lang w:val="nl-NL"/>
        </w:rPr>
        <w:t xml:space="preserve"> 2514341</w:t>
      </w:r>
    </w:p>
    <w:p w14:paraId="1A0B2D2B" w14:textId="4689C8FD"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A569B6">
        <w:rPr>
          <w:rFonts w:ascii="Arial" w:hAnsi="Arial" w:cs="Arial"/>
          <w:sz w:val="28"/>
          <w:szCs w:val="28"/>
        </w:rPr>
        <w:t xml:space="preserve"> Mark Kane</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532931">
      <w:pPr>
        <w:pStyle w:val="Heading1"/>
      </w:pPr>
      <w:r w:rsidRPr="00CD33A8">
        <w:lastRenderedPageBreak/>
        <w:t>Table of contents</w:t>
      </w:r>
    </w:p>
    <w:p w14:paraId="78F944E2" w14:textId="097A53E3" w:rsidR="00A569B6" w:rsidRPr="00A569B6" w:rsidRDefault="00A569B6" w:rsidP="00A569B6">
      <w:r>
        <w:t>Mr. Ahmed Case Study</w:t>
      </w:r>
    </w:p>
    <w:p w14:paraId="1C18C021" w14:textId="77777777" w:rsidR="0004534D" w:rsidRDefault="0004534D" w:rsidP="0004534D">
      <w:pPr>
        <w:pStyle w:val="ListParagraph"/>
        <w:rPr>
          <w:rFonts w:ascii="Arial Narrow" w:hAnsi="Arial Narrow"/>
          <w:b/>
          <w:bCs/>
        </w:rPr>
      </w:pPr>
    </w:p>
    <w:p w14:paraId="5865564B" w14:textId="587125E6" w:rsidR="00A569B6" w:rsidRPr="0004534D" w:rsidRDefault="00A569B6" w:rsidP="0004534D">
      <w:pPr>
        <w:pStyle w:val="ListParagraph"/>
        <w:numPr>
          <w:ilvl w:val="0"/>
          <w:numId w:val="3"/>
        </w:numPr>
        <w:rPr>
          <w:rFonts w:ascii="Arial Narrow" w:hAnsi="Arial Narrow"/>
          <w:b/>
          <w:bCs/>
        </w:rPr>
      </w:pPr>
      <w:r w:rsidRPr="0004534D">
        <w:rPr>
          <w:rFonts w:ascii="Arial Narrow" w:hAnsi="Arial Narrow"/>
          <w:b/>
          <w:bCs/>
        </w:rPr>
        <w:t xml:space="preserve">Introduction </w:t>
      </w:r>
      <w:r w:rsidR="00532931">
        <w:rPr>
          <w:rFonts w:ascii="Arial Narrow" w:hAnsi="Arial Narrow"/>
          <w:b/>
          <w:bCs/>
        </w:rPr>
        <w:t>-------------------------------------------------------------------------------------</w:t>
      </w:r>
      <w:r w:rsidR="00BE6801">
        <w:rPr>
          <w:rFonts w:ascii="Arial Narrow" w:hAnsi="Arial Narrow"/>
          <w:b/>
          <w:bCs/>
        </w:rPr>
        <w:t>-</w:t>
      </w:r>
      <w:r w:rsidR="00532931">
        <w:rPr>
          <w:rFonts w:ascii="Arial Narrow" w:hAnsi="Arial Narrow"/>
          <w:b/>
          <w:bCs/>
        </w:rPr>
        <w:t xml:space="preserve"> </w:t>
      </w:r>
      <w:r w:rsidR="00BE6801">
        <w:rPr>
          <w:rFonts w:ascii="Arial Narrow" w:hAnsi="Arial Narrow"/>
          <w:b/>
          <w:bCs/>
        </w:rPr>
        <w:t xml:space="preserve">  </w:t>
      </w:r>
      <w:r w:rsidR="00532931">
        <w:rPr>
          <w:rFonts w:ascii="Arial Narrow" w:hAnsi="Arial Narrow"/>
          <w:b/>
          <w:bCs/>
        </w:rPr>
        <w:t xml:space="preserve">3      </w:t>
      </w:r>
    </w:p>
    <w:p w14:paraId="075DA6BC" w14:textId="0BECE7E2" w:rsidR="00A569B6" w:rsidRPr="0004534D" w:rsidRDefault="00A569B6" w:rsidP="0004534D">
      <w:pPr>
        <w:pStyle w:val="ListParagraph"/>
        <w:numPr>
          <w:ilvl w:val="0"/>
          <w:numId w:val="3"/>
        </w:numPr>
        <w:rPr>
          <w:rFonts w:ascii="Arial Narrow" w:hAnsi="Arial Narrow"/>
          <w:b/>
          <w:bCs/>
        </w:rPr>
      </w:pPr>
      <w:r w:rsidRPr="0004534D">
        <w:rPr>
          <w:rFonts w:ascii="Arial Narrow" w:hAnsi="Arial Narrow"/>
          <w:b/>
          <w:bCs/>
        </w:rPr>
        <w:t>Importance of Effective Communication</w:t>
      </w:r>
      <w:r w:rsidR="00532931">
        <w:rPr>
          <w:rFonts w:ascii="Arial Narrow" w:hAnsi="Arial Narrow"/>
          <w:b/>
          <w:bCs/>
        </w:rPr>
        <w:t>-----------------------------------------------</w:t>
      </w:r>
      <w:r w:rsidR="00BE6801">
        <w:rPr>
          <w:rFonts w:ascii="Arial Narrow" w:hAnsi="Arial Narrow"/>
          <w:b/>
          <w:bCs/>
        </w:rPr>
        <w:t xml:space="preserve">   </w:t>
      </w:r>
      <w:r w:rsidR="00532931">
        <w:rPr>
          <w:rFonts w:ascii="Arial Narrow" w:hAnsi="Arial Narrow"/>
          <w:b/>
          <w:bCs/>
        </w:rPr>
        <w:t xml:space="preserve"> 3</w:t>
      </w:r>
    </w:p>
    <w:p w14:paraId="4213322B" w14:textId="13A74F8F" w:rsidR="00A569B6" w:rsidRPr="0004534D" w:rsidRDefault="00A569B6" w:rsidP="0004534D">
      <w:pPr>
        <w:pStyle w:val="ListParagraph"/>
        <w:numPr>
          <w:ilvl w:val="0"/>
          <w:numId w:val="3"/>
        </w:numPr>
        <w:rPr>
          <w:rFonts w:ascii="Arial Narrow" w:hAnsi="Arial Narrow"/>
          <w:b/>
          <w:bCs/>
        </w:rPr>
      </w:pPr>
      <w:r w:rsidRPr="0004534D">
        <w:rPr>
          <w:rFonts w:ascii="Arial Narrow" w:hAnsi="Arial Narrow"/>
          <w:b/>
          <w:bCs/>
        </w:rPr>
        <w:t>Importance of good administrative skills</w:t>
      </w:r>
      <w:r w:rsidR="00532931">
        <w:rPr>
          <w:rFonts w:ascii="Arial Narrow" w:hAnsi="Arial Narrow"/>
          <w:b/>
          <w:bCs/>
        </w:rPr>
        <w:t>-----------------------------------------------</w:t>
      </w:r>
      <w:r w:rsidR="00BE6801">
        <w:rPr>
          <w:rFonts w:ascii="Arial Narrow" w:hAnsi="Arial Narrow"/>
          <w:b/>
          <w:bCs/>
        </w:rPr>
        <w:t xml:space="preserve">   </w:t>
      </w:r>
      <w:r w:rsidR="00532931">
        <w:rPr>
          <w:rFonts w:ascii="Arial Narrow" w:hAnsi="Arial Narrow"/>
          <w:b/>
          <w:bCs/>
        </w:rPr>
        <w:t>4</w:t>
      </w:r>
    </w:p>
    <w:p w14:paraId="4AC3F229" w14:textId="3BE8B14E" w:rsidR="00A569B6" w:rsidRDefault="00A569B6" w:rsidP="0004534D">
      <w:pPr>
        <w:pStyle w:val="ListParagraph"/>
        <w:numPr>
          <w:ilvl w:val="0"/>
          <w:numId w:val="3"/>
        </w:numPr>
        <w:rPr>
          <w:rFonts w:ascii="Arial Narrow" w:hAnsi="Arial Narrow"/>
          <w:b/>
          <w:bCs/>
        </w:rPr>
      </w:pPr>
      <w:r w:rsidRPr="0004534D">
        <w:rPr>
          <w:rFonts w:ascii="Arial Narrow" w:hAnsi="Arial Narrow"/>
          <w:b/>
          <w:bCs/>
        </w:rPr>
        <w:t>Importance of working collaborative</w:t>
      </w:r>
      <w:r w:rsidR="00532931">
        <w:rPr>
          <w:rFonts w:ascii="Arial Narrow" w:hAnsi="Arial Narrow"/>
          <w:b/>
          <w:bCs/>
        </w:rPr>
        <w:t>-----------------------------------------------------</w:t>
      </w:r>
      <w:r w:rsidR="00BE6801">
        <w:rPr>
          <w:rFonts w:ascii="Arial Narrow" w:hAnsi="Arial Narrow"/>
          <w:b/>
          <w:bCs/>
        </w:rPr>
        <w:t xml:space="preserve">   </w:t>
      </w:r>
      <w:r w:rsidR="00532931">
        <w:rPr>
          <w:rFonts w:ascii="Arial Narrow" w:hAnsi="Arial Narrow"/>
          <w:b/>
          <w:bCs/>
        </w:rPr>
        <w:t>5</w:t>
      </w:r>
    </w:p>
    <w:p w14:paraId="0E635699" w14:textId="2FCF6713" w:rsidR="00532931" w:rsidRDefault="00532931" w:rsidP="0004534D">
      <w:pPr>
        <w:pStyle w:val="ListParagraph"/>
        <w:numPr>
          <w:ilvl w:val="0"/>
          <w:numId w:val="3"/>
        </w:numPr>
        <w:rPr>
          <w:rFonts w:ascii="Arial Narrow" w:hAnsi="Arial Narrow"/>
          <w:b/>
          <w:bCs/>
        </w:rPr>
      </w:pPr>
      <w:r>
        <w:rPr>
          <w:rFonts w:ascii="Arial Narrow" w:hAnsi="Arial Narrow"/>
          <w:b/>
          <w:bCs/>
        </w:rPr>
        <w:t>Conclusion----------------------------------------------------------------------------------------</w:t>
      </w:r>
      <w:r w:rsidR="00BE6801">
        <w:rPr>
          <w:rFonts w:ascii="Arial Narrow" w:hAnsi="Arial Narrow"/>
          <w:b/>
          <w:bCs/>
        </w:rPr>
        <w:t xml:space="preserve">   7</w:t>
      </w:r>
    </w:p>
    <w:p w14:paraId="2235DB87" w14:textId="449C45AC" w:rsidR="00532931" w:rsidRPr="0004534D" w:rsidRDefault="00532931" w:rsidP="0004534D">
      <w:pPr>
        <w:pStyle w:val="ListParagraph"/>
        <w:numPr>
          <w:ilvl w:val="0"/>
          <w:numId w:val="3"/>
        </w:numPr>
        <w:rPr>
          <w:rFonts w:ascii="Arial Narrow" w:hAnsi="Arial Narrow"/>
          <w:b/>
          <w:bCs/>
        </w:rPr>
      </w:pPr>
      <w:r>
        <w:rPr>
          <w:rFonts w:ascii="Arial Narrow" w:hAnsi="Arial Narrow"/>
          <w:b/>
          <w:bCs/>
        </w:rPr>
        <w:t>References----------------------------------------------------------------------------------------</w:t>
      </w:r>
      <w:r w:rsidR="00BE6801">
        <w:rPr>
          <w:rFonts w:ascii="Arial Narrow" w:hAnsi="Arial Narrow"/>
          <w:b/>
          <w:bCs/>
        </w:rPr>
        <w:t xml:space="preserve">   8</w:t>
      </w:r>
    </w:p>
    <w:p w14:paraId="3A8E184D" w14:textId="77777777" w:rsidR="00A569B6" w:rsidRPr="00A569B6" w:rsidRDefault="00A569B6" w:rsidP="00A569B6">
      <w:pPr>
        <w:rPr>
          <w:rFonts w:ascii="Arial Narrow" w:hAnsi="Arial Narrow"/>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4BF3272" w14:textId="06702ACF" w:rsidR="0026393A" w:rsidRDefault="001874FB" w:rsidP="00532931">
      <w:pPr>
        <w:pStyle w:val="Heading1"/>
      </w:pPr>
      <w:r>
        <w:lastRenderedPageBreak/>
        <w:t xml:space="preserve">    </w:t>
      </w:r>
      <w:r w:rsidR="00B87E75" w:rsidRPr="00CD33A8">
        <w:t>Introduction</w:t>
      </w:r>
    </w:p>
    <w:p w14:paraId="1111D6E5" w14:textId="382BFD74" w:rsidR="00765B6E" w:rsidRDefault="00696FCE" w:rsidP="00696FCE">
      <w:pPr>
        <w:ind w:left="360"/>
        <w:jc w:val="both"/>
      </w:pPr>
      <w:r w:rsidRPr="00696FCE">
        <w:t>Mr Ahmed, a 68‑year‑old recovering from a stroke, lives with his wife and receives domiciliary care three times daily for personal care, medication, and meals. He primarily speaks Bengali and relies on his wife to communicate with professionals. His care is supported by his GP, a district nurse, and a speech and language therapist. A recent missed care visit led to delayed medication, and the incident is under investigation.</w:t>
      </w:r>
      <w:r w:rsidR="00462615" w:rsidRPr="00462615">
        <w:t xml:space="preserve"> This report examines the case of Mr Ahmed, a man recovering from a recent stroke who now relies on a range of health and social care professionals for ongoing support. It will explore the significance of effective communication, strong administrative practices such as accurate record</w:t>
      </w:r>
      <w:r w:rsidR="00462615" w:rsidRPr="00462615">
        <w:noBreakHyphen/>
        <w:t>keeping, and collaborative working in ensuring safe and coordinated care. The report will also discuss key legislation, including the Equality Act 2010 and the Data Protection Act 2018, and their relevance to Mr Ahmed’s situation. Finally, it will consider how effective teamwork contributes to delivering high</w:t>
      </w:r>
      <w:r w:rsidR="00462615" w:rsidRPr="00462615">
        <w:noBreakHyphen/>
        <w:t>quality, person</w:t>
      </w:r>
      <w:r w:rsidR="00462615" w:rsidRPr="00462615">
        <w:noBreakHyphen/>
        <w:t>centred care.</w:t>
      </w:r>
    </w:p>
    <w:p w14:paraId="40EB62DD" w14:textId="77777777" w:rsidR="00462615" w:rsidRDefault="00462615" w:rsidP="00696FCE">
      <w:pPr>
        <w:ind w:left="360"/>
        <w:jc w:val="both"/>
      </w:pPr>
    </w:p>
    <w:p w14:paraId="10C6FBAD" w14:textId="77777777" w:rsidR="005F70D2" w:rsidRPr="00765B6E" w:rsidRDefault="005F70D2" w:rsidP="00696FCE">
      <w:pPr>
        <w:ind w:left="360"/>
        <w:jc w:val="both"/>
      </w:pPr>
    </w:p>
    <w:p w14:paraId="68C53673" w14:textId="77777777" w:rsidR="008E3943" w:rsidRPr="00CD33A8" w:rsidRDefault="008E3943" w:rsidP="008E3943">
      <w:pPr>
        <w:tabs>
          <w:tab w:val="left" w:pos="6540"/>
        </w:tabs>
        <w:spacing w:line="360" w:lineRule="auto"/>
        <w:rPr>
          <w:rFonts w:ascii="Arial" w:hAnsi="Arial" w:cs="Arial"/>
          <w:sz w:val="22"/>
        </w:rPr>
      </w:pPr>
    </w:p>
    <w:p w14:paraId="73B07562" w14:textId="62E944BB" w:rsidR="008E3943" w:rsidRDefault="0026393A" w:rsidP="00532931">
      <w:pPr>
        <w:pStyle w:val="Heading1"/>
      </w:pPr>
      <w:r w:rsidRPr="00CD33A8">
        <w:t xml:space="preserve"> </w:t>
      </w:r>
      <w:r w:rsidR="008E3943">
        <w:t>I</w:t>
      </w:r>
      <w:r w:rsidR="008E3943" w:rsidRPr="008E3943">
        <w:t>mportance of effective communication</w:t>
      </w:r>
    </w:p>
    <w:p w14:paraId="0537CEF5" w14:textId="77777777" w:rsidR="003E4ECF" w:rsidRDefault="003E4ECF" w:rsidP="00CD33A8">
      <w:pPr>
        <w:tabs>
          <w:tab w:val="left" w:pos="6540"/>
        </w:tabs>
        <w:spacing w:line="360" w:lineRule="auto"/>
        <w:rPr>
          <w:rFonts w:asciiTheme="minorBidi" w:hAnsiTheme="minorBidi"/>
          <w:sz w:val="22"/>
        </w:rPr>
      </w:pPr>
    </w:p>
    <w:p w14:paraId="336F5447" w14:textId="01C6F2C4" w:rsidR="008E3943" w:rsidRDefault="005F70D2" w:rsidP="00FC5FAF">
      <w:pPr>
        <w:tabs>
          <w:tab w:val="left" w:pos="6540"/>
        </w:tabs>
        <w:spacing w:line="360" w:lineRule="auto"/>
        <w:jc w:val="both"/>
        <w:rPr>
          <w:rFonts w:asciiTheme="minorBidi" w:hAnsiTheme="minorBidi"/>
          <w:sz w:val="22"/>
        </w:rPr>
      </w:pPr>
      <w:r w:rsidRPr="005F70D2">
        <w:rPr>
          <w:rFonts w:asciiTheme="minorBidi" w:hAnsiTheme="minorBidi"/>
          <w:sz w:val="22"/>
        </w:rPr>
        <w:t>Effective communication is crucial to ensuring that Mr Ahmed receives safe, person</w:t>
      </w:r>
      <w:r w:rsidRPr="005F70D2">
        <w:rPr>
          <w:rFonts w:ascii="Cambria Math" w:hAnsi="Cambria Math" w:cs="Cambria Math"/>
          <w:sz w:val="22"/>
        </w:rPr>
        <w:t>‑</w:t>
      </w:r>
      <w:r w:rsidRPr="005F70D2">
        <w:rPr>
          <w:rFonts w:asciiTheme="minorBidi" w:hAnsiTheme="minorBidi"/>
          <w:sz w:val="22"/>
        </w:rPr>
        <w:t>centred and well</w:t>
      </w:r>
      <w:r w:rsidRPr="005F70D2">
        <w:rPr>
          <w:rFonts w:ascii="Cambria Math" w:hAnsi="Cambria Math" w:cs="Cambria Math"/>
          <w:sz w:val="22"/>
        </w:rPr>
        <w:t>‑</w:t>
      </w:r>
      <w:r w:rsidRPr="005F70D2">
        <w:rPr>
          <w:rFonts w:asciiTheme="minorBidi" w:hAnsiTheme="minorBidi"/>
          <w:sz w:val="22"/>
        </w:rPr>
        <w:t>coordinated care.</w:t>
      </w:r>
      <w:r w:rsidR="00FC10E0" w:rsidRPr="00FC10E0">
        <w:t xml:space="preserve"> </w:t>
      </w:r>
      <w:r w:rsidR="00FC10E0" w:rsidRPr="00FC10E0">
        <w:rPr>
          <w:rFonts w:asciiTheme="minorBidi" w:hAnsiTheme="minorBidi"/>
          <w:sz w:val="22"/>
        </w:rPr>
        <w:t xml:space="preserve">A suitable communication model for supporting Mr Ahmed is the </w:t>
      </w:r>
      <w:r w:rsidR="00FC10E0" w:rsidRPr="00FC10E0">
        <w:rPr>
          <w:rFonts w:asciiTheme="minorBidi" w:hAnsiTheme="minorBidi"/>
          <w:b/>
          <w:bCs/>
          <w:sz w:val="22"/>
        </w:rPr>
        <w:t>Interactive Model of Communication</w:t>
      </w:r>
      <w:r w:rsidR="00FC10E0" w:rsidRPr="00FC10E0">
        <w:rPr>
          <w:rFonts w:asciiTheme="minorBidi" w:hAnsiTheme="minorBidi"/>
          <w:sz w:val="22"/>
        </w:rPr>
        <w:t>, as it highlights two</w:t>
      </w:r>
      <w:r w:rsidR="00FC10E0" w:rsidRPr="00FC10E0">
        <w:rPr>
          <w:rFonts w:asciiTheme="minorBidi" w:hAnsiTheme="minorBidi"/>
          <w:sz w:val="22"/>
        </w:rPr>
        <w:noBreakHyphen/>
        <w:t>way exchanges, feedback and the need to address communication barriers. This is particularly important because Mr Ahmed’s first language is Bengali, meaning he may not fully understand information delivered in English. The model emphasises checking understanding, adapting communication methods and encouraging clarification, which is essential when discussing medication, daily care tasks and safety. Applying this approach enables care workers to involve his wife, use interpreters or provide translated materials to support comprehension. It also strengthens communication between professionals, helping to prevent errors such as missed visits and ensuring information is shared accurately to deliver safe, coordinated and person</w:t>
      </w:r>
      <w:r w:rsidR="00FC10E0" w:rsidRPr="00FC10E0">
        <w:rPr>
          <w:rFonts w:asciiTheme="minorBidi" w:hAnsiTheme="minorBidi"/>
          <w:sz w:val="22"/>
        </w:rPr>
        <w:noBreakHyphen/>
        <w:t>centred care (Schramm, 1954).</w:t>
      </w:r>
    </w:p>
    <w:p w14:paraId="39375028" w14:textId="77777777" w:rsidR="00FC10E0" w:rsidRDefault="00FC10E0" w:rsidP="00FC5FAF">
      <w:pPr>
        <w:tabs>
          <w:tab w:val="left" w:pos="6540"/>
        </w:tabs>
        <w:spacing w:line="360" w:lineRule="auto"/>
        <w:jc w:val="both"/>
        <w:rPr>
          <w:rFonts w:asciiTheme="minorBidi" w:hAnsiTheme="minorBidi"/>
          <w:sz w:val="22"/>
        </w:rPr>
      </w:pPr>
    </w:p>
    <w:p w14:paraId="0F026A46" w14:textId="77777777" w:rsidR="00FC10E0" w:rsidRDefault="00FC10E0" w:rsidP="00FC5FAF">
      <w:pPr>
        <w:tabs>
          <w:tab w:val="left" w:pos="6540"/>
        </w:tabs>
        <w:spacing w:line="360" w:lineRule="auto"/>
        <w:jc w:val="both"/>
        <w:rPr>
          <w:rFonts w:asciiTheme="minorBidi" w:hAnsiTheme="minorBidi"/>
          <w:sz w:val="22"/>
        </w:rPr>
      </w:pPr>
    </w:p>
    <w:p w14:paraId="233CA240" w14:textId="77777777" w:rsidR="00FC10E0" w:rsidRDefault="00FC10E0" w:rsidP="00FC5FAF">
      <w:pPr>
        <w:tabs>
          <w:tab w:val="left" w:pos="6540"/>
        </w:tabs>
        <w:spacing w:line="360" w:lineRule="auto"/>
        <w:jc w:val="both"/>
        <w:rPr>
          <w:rFonts w:asciiTheme="minorBidi" w:hAnsiTheme="minorBidi"/>
          <w:sz w:val="22"/>
        </w:rPr>
      </w:pPr>
    </w:p>
    <w:p w14:paraId="27A2B098" w14:textId="77777777" w:rsidR="001874FB" w:rsidRDefault="001874FB" w:rsidP="00FC5FAF">
      <w:pPr>
        <w:tabs>
          <w:tab w:val="left" w:pos="6540"/>
        </w:tabs>
        <w:spacing w:line="360" w:lineRule="auto"/>
        <w:jc w:val="both"/>
        <w:rPr>
          <w:rFonts w:asciiTheme="minorBidi" w:hAnsiTheme="minorBidi"/>
          <w:sz w:val="22"/>
        </w:rPr>
      </w:pPr>
    </w:p>
    <w:p w14:paraId="3DCBBE8B" w14:textId="1F218053" w:rsidR="00FE6994" w:rsidRPr="00FE6994" w:rsidRDefault="00FE6994" w:rsidP="00FE6994">
      <w:pPr>
        <w:tabs>
          <w:tab w:val="left" w:pos="6540"/>
        </w:tabs>
        <w:spacing w:line="360" w:lineRule="auto"/>
        <w:jc w:val="both"/>
        <w:rPr>
          <w:rFonts w:asciiTheme="minorBidi" w:hAnsiTheme="minorBidi"/>
          <w:sz w:val="22"/>
        </w:rPr>
      </w:pPr>
      <w:r w:rsidRPr="00FE6994">
        <w:rPr>
          <w:rFonts w:asciiTheme="minorBidi" w:hAnsiTheme="minorBidi"/>
          <w:sz w:val="22"/>
        </w:rPr>
        <w:lastRenderedPageBreak/>
        <w:t xml:space="preserve">The </w:t>
      </w:r>
      <w:r w:rsidRPr="00FE6994">
        <w:rPr>
          <w:rFonts w:asciiTheme="minorBidi" w:hAnsiTheme="minorBidi"/>
          <w:b/>
          <w:bCs/>
          <w:sz w:val="22"/>
        </w:rPr>
        <w:t>Equality Act 2010</w:t>
      </w:r>
      <w:r w:rsidRPr="00FE6994">
        <w:rPr>
          <w:rFonts w:asciiTheme="minorBidi" w:hAnsiTheme="minorBidi"/>
          <w:sz w:val="22"/>
        </w:rPr>
        <w:t xml:space="preserve"> represents the principal legislative framework in the United Kingdom for safeguarding individuals from discrimination and promoting equitable treatment across public services, including health and social care. It consolidates earlier anti</w:t>
      </w:r>
      <w:r w:rsidRPr="00FE6994">
        <w:rPr>
          <w:rFonts w:asciiTheme="minorBidi" w:hAnsiTheme="minorBidi"/>
          <w:sz w:val="22"/>
        </w:rPr>
        <w:noBreakHyphen/>
        <w:t>discrimination statutes into a unified and coherent legal structure, establishing that it is unlawful to treat an individual unfavourably on the basis of protected characteristics such as race, disability, age, sex, religion or belief, or sexual orientation.</w:t>
      </w:r>
      <w:r>
        <w:rPr>
          <w:rFonts w:asciiTheme="minorBidi" w:hAnsiTheme="minorBidi"/>
          <w:sz w:val="22"/>
        </w:rPr>
        <w:t xml:space="preserve"> </w:t>
      </w:r>
      <w:r w:rsidRPr="00FE6994">
        <w:rPr>
          <w:rFonts w:asciiTheme="minorBidi" w:hAnsiTheme="minorBidi"/>
          <w:sz w:val="22"/>
        </w:rPr>
        <w:t>The Act also places a duty on organisations to actively prevent discrimination, harassment, and victimisation, and to implement reasonable adjustments to ensure that disabled individuals can access services on an equal basis. In relation to Mr Ahmed’s situation, this legislation is particularly significant, as it requires that both his post</w:t>
      </w:r>
      <w:r w:rsidRPr="00FE6994">
        <w:rPr>
          <w:rFonts w:asciiTheme="minorBidi" w:hAnsiTheme="minorBidi"/>
          <w:sz w:val="22"/>
        </w:rPr>
        <w:noBreakHyphen/>
        <w:t>stroke disability and his language needs as a Bengali speaker are appropriately recognised and supported. Under the Public Sector Equality Duty, health and social care providers are obligated to eliminate discrimination, promote equality of opportunity, and foster positive relations between diverse groups, thereby contributing to the provision of inclusive, equitable, and person</w:t>
      </w:r>
      <w:r w:rsidRPr="00FE6994">
        <w:rPr>
          <w:rFonts w:asciiTheme="minorBidi" w:hAnsiTheme="minorBidi"/>
          <w:sz w:val="22"/>
        </w:rPr>
        <w:noBreakHyphen/>
        <w:t>centred care (Equality Act, 2010).</w:t>
      </w:r>
    </w:p>
    <w:p w14:paraId="6844C837" w14:textId="77777777" w:rsidR="00FE6994" w:rsidRDefault="00FE6994" w:rsidP="00FC5FAF">
      <w:pPr>
        <w:tabs>
          <w:tab w:val="left" w:pos="6540"/>
        </w:tabs>
        <w:spacing w:line="360" w:lineRule="auto"/>
        <w:jc w:val="both"/>
        <w:rPr>
          <w:rFonts w:asciiTheme="minorBidi" w:hAnsiTheme="minorBidi"/>
          <w:sz w:val="22"/>
        </w:rPr>
      </w:pPr>
    </w:p>
    <w:p w14:paraId="5755D4EA" w14:textId="77777777" w:rsidR="00FE6994" w:rsidRDefault="00FE6994" w:rsidP="00FC5FAF">
      <w:pPr>
        <w:tabs>
          <w:tab w:val="left" w:pos="6540"/>
        </w:tabs>
        <w:spacing w:line="360" w:lineRule="auto"/>
        <w:jc w:val="both"/>
        <w:rPr>
          <w:rFonts w:asciiTheme="minorBidi" w:hAnsiTheme="minorBidi"/>
          <w:sz w:val="22"/>
        </w:rPr>
      </w:pPr>
    </w:p>
    <w:p w14:paraId="37E1E258" w14:textId="77777777" w:rsidR="00FE6994" w:rsidRDefault="00FE6994" w:rsidP="00FC5FAF">
      <w:pPr>
        <w:tabs>
          <w:tab w:val="left" w:pos="6540"/>
        </w:tabs>
        <w:spacing w:line="360" w:lineRule="auto"/>
        <w:jc w:val="both"/>
        <w:rPr>
          <w:rFonts w:asciiTheme="minorBidi" w:hAnsiTheme="minorBidi"/>
          <w:sz w:val="22"/>
        </w:rPr>
      </w:pPr>
    </w:p>
    <w:p w14:paraId="60B2CDC3" w14:textId="0EB0CEA9" w:rsidR="00B87E75" w:rsidRPr="00532931" w:rsidRDefault="008E3943" w:rsidP="00532931">
      <w:pPr>
        <w:pStyle w:val="Heading1"/>
      </w:pPr>
      <w:r w:rsidRPr="00532931">
        <w:t xml:space="preserve"> Importance of good administrative skills </w:t>
      </w:r>
    </w:p>
    <w:p w14:paraId="4FC14C6B" w14:textId="5625BC46" w:rsidR="00B87E75" w:rsidRDefault="00FE6994" w:rsidP="00036D60">
      <w:pPr>
        <w:tabs>
          <w:tab w:val="left" w:pos="6540"/>
        </w:tabs>
        <w:spacing w:line="360" w:lineRule="auto"/>
        <w:jc w:val="both"/>
        <w:rPr>
          <w:rFonts w:asciiTheme="minorBidi" w:hAnsiTheme="minorBidi"/>
          <w:sz w:val="22"/>
        </w:rPr>
      </w:pPr>
      <w:r w:rsidRPr="00FE6994">
        <w:rPr>
          <w:rFonts w:asciiTheme="minorBidi" w:hAnsiTheme="minorBidi"/>
          <w:sz w:val="22"/>
        </w:rPr>
        <w:t>Effective administrative skills are vital for ensuring the safe, coordinated, and efficient delivery of care, particularly in complex cases such as Mr Ahmed’s. Strong administrative systems enable accurate scheduling of his three daily domiciliary care visits, support the timely administration of prescribed medication, and facilitate the organisation of multidisciplinary involvement from his GP, district nurse, and speech and language therapist. The recent missed visit, which resulted in a delay in receiving essential medication, demonstrates how administrative failures can compromise patient safety and fall short of expected professional standards. High</w:t>
      </w:r>
      <w:r w:rsidRPr="00FE6994">
        <w:rPr>
          <w:rFonts w:asciiTheme="minorBidi" w:hAnsiTheme="minorBidi"/>
          <w:sz w:val="22"/>
        </w:rPr>
        <w:noBreakHyphen/>
        <w:t>quality administrative practice also ensures that key information—such as Mr Ahmed’s post</w:t>
      </w:r>
      <w:r w:rsidRPr="00FE6994">
        <w:rPr>
          <w:rFonts w:asciiTheme="minorBidi" w:hAnsiTheme="minorBidi"/>
          <w:sz w:val="22"/>
        </w:rPr>
        <w:noBreakHyphen/>
        <w:t>stroke needs, communication difficulties, and reliance on Bengali as his primary language</w:t>
      </w:r>
      <w:r w:rsidR="00394140">
        <w:rPr>
          <w:rFonts w:asciiTheme="minorBidi" w:hAnsiTheme="minorBidi"/>
          <w:sz w:val="22"/>
        </w:rPr>
        <w:t xml:space="preserve"> </w:t>
      </w:r>
      <w:r w:rsidRPr="00FE6994">
        <w:rPr>
          <w:rFonts w:asciiTheme="minorBidi" w:hAnsiTheme="minorBidi"/>
          <w:sz w:val="22"/>
        </w:rPr>
        <w:t>is clearly recorded and shared across the care team. This reduces the risk of miscommunication, prevents inappropriate dependence on his wife for translation, and promotes equitable, person</w:t>
      </w:r>
      <w:r w:rsidRPr="00FE6994">
        <w:rPr>
          <w:rFonts w:asciiTheme="minorBidi" w:hAnsiTheme="minorBidi"/>
          <w:sz w:val="22"/>
        </w:rPr>
        <w:noBreakHyphen/>
        <w:t>centred care. Overall, effective administrative competence underpins continuity, accountability, and the delivery of safe, responsive, and culturally sensitive health and social care services (Skills for Care, 2022).</w:t>
      </w:r>
    </w:p>
    <w:p w14:paraId="3F2D0AE1" w14:textId="5D0546D0" w:rsidR="00394140" w:rsidRDefault="00394140" w:rsidP="00394140">
      <w:pPr>
        <w:tabs>
          <w:tab w:val="left" w:pos="6540"/>
        </w:tabs>
        <w:spacing w:line="360" w:lineRule="auto"/>
        <w:jc w:val="both"/>
        <w:rPr>
          <w:rFonts w:asciiTheme="minorBidi" w:hAnsiTheme="minorBidi"/>
          <w:sz w:val="22"/>
        </w:rPr>
      </w:pPr>
      <w:r w:rsidRPr="00394140">
        <w:rPr>
          <w:rFonts w:asciiTheme="minorBidi" w:hAnsiTheme="minorBidi"/>
          <w:sz w:val="22"/>
        </w:rPr>
        <w:t>Effective record</w:t>
      </w:r>
      <w:r w:rsidRPr="00394140">
        <w:rPr>
          <w:rFonts w:asciiTheme="minorBidi" w:hAnsiTheme="minorBidi"/>
          <w:sz w:val="22"/>
        </w:rPr>
        <w:noBreakHyphen/>
        <w:t xml:space="preserve">keeping also promotes accountability, as it provides clear evidence of the care delivered. Therefore, it is essential that records are checked and verified to ensure any </w:t>
      </w:r>
      <w:r w:rsidRPr="00394140">
        <w:rPr>
          <w:rFonts w:asciiTheme="minorBidi" w:hAnsiTheme="minorBidi"/>
          <w:sz w:val="22"/>
        </w:rPr>
        <w:lastRenderedPageBreak/>
        <w:t>errors or concerns are identified promptly. In line with the Data Protection Act 2018, only authorised healthcare professionals are permitted to access and cross</w:t>
      </w:r>
      <w:r w:rsidRPr="00394140">
        <w:rPr>
          <w:rFonts w:asciiTheme="minorBidi" w:hAnsiTheme="minorBidi"/>
          <w:sz w:val="22"/>
        </w:rPr>
        <w:noBreakHyphen/>
        <w:t>check this information, ensuring that data is handled lawfully and securely (Jones et al., 2023).</w:t>
      </w:r>
      <w:r>
        <w:rPr>
          <w:rFonts w:asciiTheme="minorBidi" w:hAnsiTheme="minorBidi"/>
          <w:sz w:val="22"/>
        </w:rPr>
        <w:t xml:space="preserve"> </w:t>
      </w:r>
      <w:r w:rsidRPr="00394140">
        <w:rPr>
          <w:rFonts w:asciiTheme="minorBidi" w:hAnsiTheme="minorBidi"/>
          <w:sz w:val="22"/>
        </w:rPr>
        <w:t>For instance, if Mr Ahmed misses a dose of his medication, this must be accurately recorded so that all healthcare professionals involved can identify what went wrong and take steps to prevent a similar incident in the future</w:t>
      </w:r>
      <w:r w:rsidR="00DE3DA6">
        <w:rPr>
          <w:rFonts w:asciiTheme="minorBidi" w:hAnsiTheme="minorBidi"/>
          <w:sz w:val="22"/>
        </w:rPr>
        <w:t>.</w:t>
      </w:r>
    </w:p>
    <w:p w14:paraId="3718D3D6" w14:textId="3F379AE9" w:rsidR="00DE3DA6" w:rsidRPr="001874FB" w:rsidRDefault="00DE3DA6" w:rsidP="001874FB">
      <w:pPr>
        <w:tabs>
          <w:tab w:val="left" w:pos="6540"/>
        </w:tabs>
        <w:spacing w:line="360" w:lineRule="auto"/>
        <w:jc w:val="both"/>
        <w:rPr>
          <w:rFonts w:asciiTheme="minorBidi" w:hAnsiTheme="minorBidi"/>
          <w:sz w:val="22"/>
        </w:rPr>
      </w:pPr>
      <w:r w:rsidRPr="00DE3DA6">
        <w:rPr>
          <w:rFonts w:asciiTheme="minorBidi" w:hAnsiTheme="minorBidi"/>
          <w:sz w:val="22"/>
        </w:rPr>
        <w:t xml:space="preserve">The handling of personal information within health and social care is regulated by the </w:t>
      </w:r>
      <w:r w:rsidRPr="00DE3DA6">
        <w:rPr>
          <w:rFonts w:asciiTheme="minorBidi" w:hAnsiTheme="minorBidi"/>
          <w:b/>
          <w:bCs/>
          <w:sz w:val="22"/>
        </w:rPr>
        <w:t>UK GDPR</w:t>
      </w:r>
      <w:r w:rsidRPr="00DE3DA6">
        <w:rPr>
          <w:rFonts w:asciiTheme="minorBidi" w:hAnsiTheme="minorBidi"/>
          <w:sz w:val="22"/>
        </w:rPr>
        <w:t xml:space="preserve"> and the </w:t>
      </w:r>
      <w:r w:rsidRPr="00DE3DA6">
        <w:rPr>
          <w:rFonts w:asciiTheme="minorBidi" w:hAnsiTheme="minorBidi"/>
          <w:b/>
          <w:bCs/>
          <w:sz w:val="22"/>
        </w:rPr>
        <w:t>Data Protection Act 2018</w:t>
      </w:r>
      <w:r w:rsidRPr="00DE3DA6">
        <w:rPr>
          <w:rFonts w:asciiTheme="minorBidi" w:hAnsiTheme="minorBidi"/>
          <w:sz w:val="22"/>
        </w:rPr>
        <w:t>, both of which set out the legal requirements for processing data about identifiable individuals (Jones et al., 2023). These legislative frameworks outline essential principles such as lawfulness, fairness, transparency, data minimisation, purpose limitation, storage limitation, integrity and confidentiality (Haven, 2025). In practice, this means that only authorised healthcare professionals are permitted to access, review and verify Mr Ahmed’s records, ensuring that his personal information is managed securely, ethically and in accordance with statutory obligations.</w:t>
      </w:r>
    </w:p>
    <w:p w14:paraId="2470BFC8" w14:textId="77777777" w:rsidR="00DE3DA6" w:rsidRDefault="00DE3DA6" w:rsidP="00532931">
      <w:pPr>
        <w:pStyle w:val="Heading1"/>
      </w:pPr>
    </w:p>
    <w:p w14:paraId="3F482702" w14:textId="44E8956E" w:rsidR="001213CA" w:rsidRPr="00532931" w:rsidRDefault="008E3943" w:rsidP="00532931">
      <w:pPr>
        <w:pStyle w:val="Heading1"/>
        <w:jc w:val="both"/>
        <w:rPr>
          <w:b w:val="0"/>
          <w:bCs/>
        </w:rPr>
      </w:pPr>
      <w:r w:rsidRPr="00532931">
        <w:t>Importance of working collaboratively</w:t>
      </w:r>
      <w:r w:rsidR="001874FB" w:rsidRPr="00532931">
        <w:rPr>
          <w:rFonts w:ascii="Times New Roman" w:eastAsiaTheme="minorHAnsi" w:hAnsi="Times New Roman"/>
        </w:rPr>
        <w:t xml:space="preserve"> </w:t>
      </w:r>
      <w:r w:rsidR="001874FB" w:rsidRPr="00532931">
        <w:t>Working collaboratively</w:t>
      </w:r>
      <w:r w:rsidR="001874FB" w:rsidRPr="00532931">
        <w:rPr>
          <w:b w:val="0"/>
          <w:bCs/>
        </w:rPr>
        <w:t xml:space="preserve"> is indispensable in health and social care because it ensures that individuals like Mr Ahmed receive coordinated, safe and person</w:t>
      </w:r>
      <w:r w:rsidR="001874FB" w:rsidRPr="00532931">
        <w:rPr>
          <w:b w:val="0"/>
          <w:bCs/>
        </w:rPr>
        <w:noBreakHyphen/>
        <w:t>centred sup</w:t>
      </w:r>
      <w:r w:rsidR="001213CA" w:rsidRPr="00532931">
        <w:rPr>
          <w:rFonts w:ascii="Times New Roman" w:eastAsiaTheme="minorHAnsi" w:hAnsi="Times New Roman"/>
          <w:b w:val="0"/>
          <w:bCs/>
          <w:sz w:val="24"/>
        </w:rPr>
        <w:t xml:space="preserve"> </w:t>
      </w:r>
      <w:r w:rsidR="001213CA" w:rsidRPr="00532931">
        <w:rPr>
          <w:b w:val="0"/>
          <w:bCs/>
        </w:rPr>
        <w:t>Evidence from integrated care models shows that when health and social care professionals work jointly, it strengthens continuity of care, avoids unnecessary duplication, and provides timely, holistic support (NHS England, 2022). For Mr Ahmed, this collaborative approach ensures that his medical, social, and cultural needs are considered together, leading to care that is more tailored and effective.</w:t>
      </w:r>
      <w:r w:rsidR="001213CA" w:rsidRPr="00532931">
        <w:rPr>
          <w:rFonts w:eastAsia="Times New Roman" w:cs="Times New Roman"/>
          <w:b w:val="0"/>
          <w:bCs/>
          <w:szCs w:val="24"/>
          <w:lang w:eastAsia="en-GB"/>
        </w:rPr>
        <w:t xml:space="preserve"> </w:t>
      </w:r>
      <w:r w:rsidR="001213CA" w:rsidRPr="00532931">
        <w:rPr>
          <w:b w:val="0"/>
          <w:bCs/>
        </w:rPr>
        <w:t>Research indicates that interprofessional collaboration enhances access to services, improves communication, and leads to stronger outcomes, particularly for individuals with complex needs (World Health Organization, 2010). Further studies show that working collaboratively also reduces errors and boosts patient safety by encouraging clear information</w:t>
      </w:r>
      <w:r w:rsidR="001213CA" w:rsidRPr="00532931">
        <w:rPr>
          <w:b w:val="0"/>
          <w:bCs/>
        </w:rPr>
        <w:noBreakHyphen/>
        <w:t>sharing and ensuring professionals have a solid understanding of each other’s roles (Reeves et al., 2017).</w:t>
      </w:r>
    </w:p>
    <w:p w14:paraId="5440FE5E" w14:textId="77777777" w:rsidR="001213CA" w:rsidRPr="00532931" w:rsidRDefault="001213CA" w:rsidP="00532931">
      <w:pPr>
        <w:jc w:val="both"/>
        <w:rPr>
          <w:bCs/>
        </w:rPr>
      </w:pPr>
    </w:p>
    <w:p w14:paraId="096B28F3" w14:textId="06F41813" w:rsidR="005D017F" w:rsidRDefault="001213CA" w:rsidP="00532931">
      <w:pPr>
        <w:jc w:val="both"/>
      </w:pPr>
      <w:r w:rsidRPr="001213CA">
        <w:rPr>
          <w:b/>
          <w:bCs/>
        </w:rPr>
        <w:t>General Practi</w:t>
      </w:r>
      <w:r>
        <w:rPr>
          <w:b/>
          <w:bCs/>
        </w:rPr>
        <w:t>ti</w:t>
      </w:r>
      <w:r w:rsidRPr="001213CA">
        <w:rPr>
          <w:b/>
          <w:bCs/>
        </w:rPr>
        <w:t>one</w:t>
      </w:r>
      <w:r>
        <w:t xml:space="preserve">r </w:t>
      </w:r>
      <w:r w:rsidRPr="001213CA">
        <w:t>oversees overall patient management and often broadens their scope of practice by working closely with other healthcare professionals to deliver comprehensive suppor</w:t>
      </w:r>
      <w:r>
        <w:t>t.</w:t>
      </w:r>
      <w:r w:rsidRPr="001213CA">
        <w:t xml:space="preserve"> </w:t>
      </w:r>
      <w:r>
        <w:t>GP</w:t>
      </w:r>
      <w:r w:rsidRPr="001213CA">
        <w:t xml:space="preserve"> role involves analysing problems, engaging in shared decision</w:t>
      </w:r>
      <w:r w:rsidRPr="001213CA">
        <w:noBreakHyphen/>
        <w:t>making, and developing care plans that are tailored to each patient’s individual needs. They also play a key part in ensuring effective communication and coordination across different services, which helps mai</w:t>
      </w:r>
      <w:r w:rsidR="005D017F">
        <w:t xml:space="preserve">ntain </w:t>
      </w:r>
      <w:r w:rsidR="005D017F" w:rsidRPr="005D017F">
        <w:t xml:space="preserve">continuity of care and supports the management of complex health conditions. According to the National Institutes of Health (NIH), the general </w:t>
      </w:r>
      <w:r w:rsidR="005240C8" w:rsidRPr="005D017F">
        <w:t>practitioner plays</w:t>
      </w:r>
      <w:r w:rsidR="005D017F" w:rsidRPr="005D017F">
        <w:t xml:space="preserve"> a </w:t>
      </w:r>
      <w:r w:rsidR="005240C8">
        <w:t xml:space="preserve">vital </w:t>
      </w:r>
      <w:r w:rsidR="005D017F" w:rsidRPr="005D017F">
        <w:t xml:space="preserve">role </w:t>
      </w:r>
      <w:r w:rsidR="005D017F" w:rsidRPr="005D017F">
        <w:lastRenderedPageBreak/>
        <w:t>in collaborative care by acting as the patient’s first point of contact and guiding them through the healthcare system.</w:t>
      </w:r>
    </w:p>
    <w:p w14:paraId="52AB861D" w14:textId="7123BD8F" w:rsidR="005240C8" w:rsidRDefault="00346444" w:rsidP="005D017F">
      <w:pPr>
        <w:rPr>
          <w:b/>
          <w:bCs/>
        </w:rPr>
      </w:pPr>
      <w:r w:rsidRPr="00346444">
        <w:rPr>
          <w:b/>
          <w:bCs/>
        </w:rPr>
        <w:t>District Nurse</w:t>
      </w:r>
    </w:p>
    <w:p w14:paraId="23615D29" w14:textId="5ACCCF4F" w:rsidR="0082663E" w:rsidRDefault="0082663E" w:rsidP="008726D9">
      <w:pPr>
        <w:jc w:val="both"/>
      </w:pPr>
      <w:r>
        <w:t>D</w:t>
      </w:r>
      <w:r w:rsidRPr="0082663E">
        <w:t>istrict nurses play a vital role in collaborative care by coordinating support, sharing information across the multidisciplinary team and ensuring that individuals with complex needs receive safe, well</w:t>
      </w:r>
      <w:r w:rsidRPr="0082663E">
        <w:noBreakHyphen/>
        <w:t>organised and person</w:t>
      </w:r>
      <w:r w:rsidRPr="0082663E">
        <w:noBreakHyphen/>
        <w:t>centred care (McCrory, 2019).</w:t>
      </w:r>
      <w:r>
        <w:t xml:space="preserve"> They </w:t>
      </w:r>
      <w:r w:rsidRPr="0082663E">
        <w:t>function as key care coordinators in the community, overseeing caseloads, tracking changes in a patient’s health and arranging contributions from different services to help prevent unnecessary hospital admissions.</w:t>
      </w:r>
      <w:r w:rsidR="008726D9">
        <w:t xml:space="preserve"> </w:t>
      </w:r>
      <w:r w:rsidR="008726D9" w:rsidRPr="008726D9">
        <w:t>In Mr Ahmed’s situation, the district nurse would take responsibility for managing his ongoing post</w:t>
      </w:r>
      <w:r w:rsidR="008726D9" w:rsidRPr="008726D9">
        <w:noBreakHyphen/>
        <w:t>stroke care, ensuring that his medication, rehabilitation needs and communication support are regularly reviewed and communicated to the wider multidisciplinary team.</w:t>
      </w:r>
    </w:p>
    <w:p w14:paraId="68F07E94" w14:textId="2D1E7BC2" w:rsidR="0082663E" w:rsidRDefault="0043122E" w:rsidP="00532931">
      <w:pPr>
        <w:jc w:val="both"/>
        <w:rPr>
          <w:rFonts w:eastAsia="Cambria" w:cs="Arial"/>
          <w:b/>
          <w:bCs/>
        </w:rPr>
      </w:pPr>
      <w:r w:rsidRPr="0043122E">
        <w:rPr>
          <w:rFonts w:eastAsia="Cambria" w:cs="Arial"/>
          <w:b/>
          <w:bCs/>
        </w:rPr>
        <w:t>Domiciliary Care Workers</w:t>
      </w:r>
    </w:p>
    <w:p w14:paraId="77E6B787" w14:textId="7DC718A6" w:rsidR="0043122E" w:rsidRDefault="0043122E" w:rsidP="00532931">
      <w:pPr>
        <w:jc w:val="both"/>
      </w:pPr>
      <w:r w:rsidRPr="0043122E">
        <w:t>Domiciliary carers provide important daily insights because their frequent contact with the person enables them to notice early changes in health or behaviour. This close involvement allows them to alert the wider multidisciplinary team promptly, supporting quicker and more informed decision</w:t>
      </w:r>
      <w:r w:rsidRPr="0043122E">
        <w:noBreakHyphen/>
        <w:t>making. (Collaborative Working in Domiciliary Care, 2024)</w:t>
      </w:r>
      <w:r w:rsidR="00893D5B" w:rsidRPr="00893D5B">
        <w:t>. Their primary responsibilities involve providing personal care—such as assistance with washing, dressing and maintaining hygiene</w:t>
      </w:r>
      <w:r w:rsidR="00893D5B">
        <w:t xml:space="preserve">, </w:t>
      </w:r>
      <w:r w:rsidR="00893D5B" w:rsidRPr="00893D5B">
        <w:t>alongside helping with medication routines, preparing meals and monitoring nutritional intake. Carers also undertake household tasks to ensure a safe living environment, offer mobility assistance to reduce the risk of falls and provide emotional support to promote wellbeing. In Mr Ahmed’s case, domiciliary carers would contribute significantly to collaborative care by supporting his personal needs following his stroke, prompting medication, assisting with mobility and promptly reporting any concerns to district nurses or other professionals.</w:t>
      </w:r>
    </w:p>
    <w:p w14:paraId="1988E887" w14:textId="33479F2C" w:rsidR="00893D5B" w:rsidRDefault="00893D5B" w:rsidP="00532931">
      <w:pPr>
        <w:jc w:val="both"/>
      </w:pPr>
      <w:r w:rsidRPr="00893D5B">
        <w:rPr>
          <w:b/>
          <w:bCs/>
        </w:rPr>
        <w:t>Speech and Language Therapist</w:t>
      </w:r>
      <w:r w:rsidRPr="00893D5B">
        <w:t xml:space="preserve"> (SALT) </w:t>
      </w:r>
      <w:r w:rsidR="00F52584" w:rsidRPr="00893D5B">
        <w:t>play</w:t>
      </w:r>
      <w:r w:rsidRPr="00893D5B">
        <w:t xml:space="preserve"> a crucial role in supporting individuals who experience communication or swallowing difficulties, particularly following a stroke. Their responsibilities include assessing the person’s needs, developing tailored intervention plans and working collaboratively with other professionals through regular meetings, shared care plans and coordinated record</w:t>
      </w:r>
      <w:r w:rsidRPr="00893D5B">
        <w:noBreakHyphen/>
        <w:t>keeping. Effective communication between the SALT and the wider multidisciplinary team ensures that strategies to improve speech, understanding and safe swallowing are applied consistently across all services involved in the person’s care. Evidence suggests that collaboration between speech therapists, physiotherapists and nutritional services strengthens the quality and continuity of support provided to individuals with complex needs (</w:t>
      </w:r>
      <w:proofErr w:type="spellStart"/>
      <w:r w:rsidRPr="00893D5B">
        <w:t>Korylchuk</w:t>
      </w:r>
      <w:proofErr w:type="spellEnd"/>
      <w:r w:rsidRPr="00893D5B">
        <w:t xml:space="preserve"> et al., 2024)</w:t>
      </w:r>
      <w:r w:rsidR="00F52584">
        <w:t>.</w:t>
      </w:r>
      <w:r w:rsidR="00F52584" w:rsidRPr="00F52584">
        <w:t xml:space="preserve"> </w:t>
      </w:r>
      <w:r w:rsidR="00F52584">
        <w:t>n Mr Ahmed’s case, the SALT would be essential in supporting his post</w:t>
      </w:r>
      <w:r w:rsidR="00F52584">
        <w:noBreakHyphen/>
        <w:t>stroke communication and swallowing needs, ensuring that all professionals involved in his care understand and follow the recommended strategies to promote safety, recovery and independence.</w:t>
      </w:r>
    </w:p>
    <w:p w14:paraId="7E4B1227" w14:textId="2BCFC9BD" w:rsidR="001213CA" w:rsidRDefault="002C2905" w:rsidP="00532931">
      <w:pPr>
        <w:jc w:val="both"/>
      </w:pPr>
      <w:r w:rsidRPr="002C2905">
        <w:t>For Mr Ahmed</w:t>
      </w:r>
      <w:r>
        <w:t xml:space="preserve"> case</w:t>
      </w:r>
      <w:r w:rsidRPr="002C2905">
        <w:t>, establishing trust between the district nurse, SALT, physiotherapist, social worker and domiciliary carers is crucial to ensuring that his post</w:t>
      </w:r>
      <w:r w:rsidRPr="002C2905">
        <w:noBreakHyphen/>
        <w:t>stroke needs are understood and addressed consistently across services. Integrated technology and communication systems further enhance this collaboration by enabling professionals to share information efficiently through cloud</w:t>
      </w:r>
      <w:r w:rsidRPr="002C2905">
        <w:noBreakHyphen/>
        <w:t>based platforms that support real</w:t>
      </w:r>
      <w:r w:rsidRPr="002C2905">
        <w:noBreakHyphen/>
        <w:t xml:space="preserve">time communication, document sharing and </w:t>
      </w:r>
      <w:r w:rsidRPr="002C2905">
        <w:lastRenderedPageBreak/>
        <w:t>coordinated care planning. Building trust and developing a positive inter</w:t>
      </w:r>
      <w:r w:rsidRPr="002C2905">
        <w:noBreakHyphen/>
        <w:t>agency culture is essential for effective collaborative working, as it enables professionals from different organisations to understand, respect and value one another’s roles. Strong working relationships are often shaped by trust between individual practitioners rather than organisational structures alone, and this trust supports clearer communication, shared decision</w:t>
      </w:r>
      <w:r w:rsidRPr="002C2905">
        <w:noBreakHyphen/>
        <w:t>making and more coordinated care. Person</w:t>
      </w:r>
      <w:r w:rsidRPr="002C2905">
        <w:noBreakHyphen/>
        <w:t>centred practice is also strengthened by this culture of trust, as recognising and responding to an individual’s unique needs is closely linked to their experience of safety and wellbeing (Azmi et al., 2024).</w:t>
      </w:r>
    </w:p>
    <w:p w14:paraId="320B59BC" w14:textId="77777777" w:rsidR="00595D2B" w:rsidRDefault="00595D2B" w:rsidP="00532931">
      <w:pPr>
        <w:jc w:val="both"/>
      </w:pPr>
    </w:p>
    <w:p w14:paraId="1F5C0357" w14:textId="632A7193" w:rsidR="00595D2B" w:rsidRPr="004642FB" w:rsidRDefault="00595D2B" w:rsidP="00F52584">
      <w:pPr>
        <w:jc w:val="both"/>
        <w:rPr>
          <w:b/>
          <w:bCs/>
        </w:rPr>
      </w:pPr>
      <w:r w:rsidRPr="004642FB">
        <w:rPr>
          <w:b/>
          <w:bCs/>
        </w:rPr>
        <w:t>Conclusion</w:t>
      </w:r>
    </w:p>
    <w:p w14:paraId="61AFCE52" w14:textId="5990A4FD" w:rsidR="00595D2B" w:rsidRPr="00595D2B" w:rsidRDefault="00595D2B" w:rsidP="00595D2B">
      <w:pPr>
        <w:jc w:val="both"/>
      </w:pPr>
      <w:r>
        <w:t>Mr. Ahmed’s</w:t>
      </w:r>
      <w:r w:rsidRPr="00595D2B">
        <w:t xml:space="preserve"> case reinforces that high</w:t>
      </w:r>
      <w:r w:rsidRPr="00595D2B">
        <w:noBreakHyphen/>
        <w:t>quality care is achieved not through isolated interventions but through a collaborative system that values professional expertise, respects the individual’s unique needs and utilises effective communication and technology to support coordinated decision</w:t>
      </w:r>
      <w:r w:rsidRPr="00595D2B">
        <w:noBreakHyphen/>
        <w:t>making. Collectively, these elements contribute to promoting Mr Ahmed’s recovery, dignity and independence within the community. Overall, the analysis of Mr Ahmed’s case demonstrates the critical importance of coordinated, person</w:t>
      </w:r>
      <w:r w:rsidRPr="00595D2B">
        <w:noBreakHyphen/>
        <w:t>centred and ethically grounded practice within contemporary health and social care. His post</w:t>
      </w:r>
      <w:r w:rsidRPr="00595D2B">
        <w:noBreakHyphen/>
        <w:t>stroke needs highlight how effective multidisciplinary collaboration—supported by clear communication, accurate documentation and shared professional responsibility—is essential for ensuring continuity, safety and high</w:t>
      </w:r>
      <w:r w:rsidRPr="00595D2B">
        <w:noBreakHyphen/>
        <w:t>quality care. The involvement of professionals such as the GP, district nurse, physiotherapist, SALT, social worker and domiciliary carers illustrates the interdependence of roles within integrated care pathways, where timely information</w:t>
      </w:r>
      <w:r w:rsidRPr="00595D2B">
        <w:noBreakHyphen/>
        <w:t>sharing and mutual trust directly influence outcomes</w:t>
      </w:r>
      <w:r>
        <w:t>.</w:t>
      </w:r>
      <w:r w:rsidRPr="00595D2B">
        <w:rPr>
          <w:rFonts w:eastAsia="Times New Roman" w:cs="Times New Roman"/>
          <w:szCs w:val="24"/>
          <w:lang w:eastAsia="en-GB"/>
        </w:rPr>
        <w:t xml:space="preserve"> </w:t>
      </w:r>
      <w:r w:rsidRPr="00595D2B">
        <w:t>Moreover, the implementation of key legislation, such as the Equality Act 2010 and the Data Protection Act 2018, ensures that Mr Ahmed’s rights, cultural identity and personal information are upheld and safeguarded throughout the delivery of his care.</w:t>
      </w:r>
    </w:p>
    <w:p w14:paraId="29F7F7DF" w14:textId="308B0A30" w:rsidR="00595D2B" w:rsidRDefault="00595D2B" w:rsidP="00F52584">
      <w:pPr>
        <w:jc w:val="both"/>
      </w:pPr>
    </w:p>
    <w:p w14:paraId="3544AC2D" w14:textId="77777777" w:rsidR="00595D2B" w:rsidRPr="001213CA" w:rsidRDefault="00595D2B" w:rsidP="00F52584">
      <w:pPr>
        <w:jc w:val="both"/>
      </w:pPr>
    </w:p>
    <w:p w14:paraId="27DA457F" w14:textId="77777777" w:rsidR="001874FB" w:rsidRPr="001874FB" w:rsidRDefault="001874FB" w:rsidP="00F52584">
      <w:pPr>
        <w:pStyle w:val="ListParagraph"/>
        <w:jc w:val="both"/>
        <w:rPr>
          <w:sz w:val="22"/>
        </w:rPr>
      </w:pPr>
    </w:p>
    <w:p w14:paraId="682D1769" w14:textId="77777777" w:rsidR="003E4ECF" w:rsidRDefault="003E4ECF" w:rsidP="00F52584">
      <w:pPr>
        <w:tabs>
          <w:tab w:val="left" w:pos="6540"/>
        </w:tabs>
        <w:spacing w:line="360" w:lineRule="auto"/>
        <w:jc w:val="both"/>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190F350A" w14:textId="77777777" w:rsidR="007E53E2" w:rsidRDefault="007E53E2" w:rsidP="007E53E2">
      <w:pPr>
        <w:rPr>
          <w:rFonts w:asciiTheme="minorBidi" w:hAnsiTheme="minorBidi"/>
          <w:sz w:val="22"/>
        </w:rPr>
      </w:pPr>
    </w:p>
    <w:p w14:paraId="33F8F0BD" w14:textId="769A5080" w:rsidR="00B87E75" w:rsidRDefault="00B87E75" w:rsidP="007E53E2">
      <w:pPr>
        <w:rPr>
          <w:rFonts w:ascii="Arial" w:hAnsi="Arial" w:cs="Arial"/>
          <w:b/>
          <w:bCs/>
        </w:rPr>
      </w:pPr>
      <w:r w:rsidRPr="007E53E2">
        <w:rPr>
          <w:rFonts w:ascii="Arial" w:hAnsi="Arial" w:cs="Arial"/>
          <w:b/>
          <w:bCs/>
        </w:rPr>
        <w:lastRenderedPageBreak/>
        <w:t>References</w:t>
      </w:r>
    </w:p>
    <w:p w14:paraId="0FAF8341" w14:textId="77777777" w:rsidR="007E53E2" w:rsidRPr="007E53E2" w:rsidRDefault="007E53E2" w:rsidP="007E53E2">
      <w:pPr>
        <w:rPr>
          <w:rFonts w:ascii="Arial" w:eastAsiaTheme="majorEastAsia" w:hAnsi="Arial" w:cs="Arial"/>
          <w:b/>
          <w:bCs/>
          <w:sz w:val="28"/>
        </w:rPr>
      </w:pPr>
    </w:p>
    <w:p w14:paraId="1066FA6E" w14:textId="3C798794" w:rsidR="007E53E2" w:rsidRDefault="007E53E2" w:rsidP="007E53E2">
      <w:pPr>
        <w:rPr>
          <w:rFonts w:ascii="Arial" w:eastAsia="Arial" w:hAnsi="Arial" w:cs="Arial"/>
          <w:color w:val="222222"/>
          <w:sz w:val="22"/>
          <w:shd w:val="clear" w:color="auto" w:fill="FFFFFF"/>
          <w:lang w:val="en-IN" w:eastAsia="en-IN"/>
        </w:rPr>
      </w:pPr>
      <w:r w:rsidRPr="007E53E2">
        <w:rPr>
          <w:rFonts w:asciiTheme="minorBidi" w:hAnsiTheme="minorBidi"/>
          <w:sz w:val="22"/>
        </w:rPr>
        <w:t xml:space="preserve">Akram, M., Khan, S. &amp; Iqbal, Z. (2022) </w:t>
      </w:r>
      <w:r w:rsidRPr="007E53E2">
        <w:rPr>
          <w:rFonts w:asciiTheme="minorBidi" w:hAnsiTheme="minorBidi"/>
          <w:i/>
          <w:iCs/>
          <w:sz w:val="22"/>
        </w:rPr>
        <w:t>The impact of ICT expansion on digital learning practices</w:t>
      </w:r>
      <w:r w:rsidRPr="007E53E2">
        <w:rPr>
          <w:rFonts w:asciiTheme="minorBidi" w:hAnsiTheme="minorBidi"/>
          <w:sz w:val="22"/>
        </w:rPr>
        <w:t>. International Journal of Educational Technology, 9(1), pp. 112–124.</w:t>
      </w:r>
      <w:r w:rsidRPr="007E53E2">
        <w:rPr>
          <w:rFonts w:ascii="Arial" w:eastAsia="Arial" w:hAnsi="Arial" w:cs="Arial"/>
          <w:sz w:val="22"/>
          <w:lang w:val="en-IN" w:eastAsia="en-IN"/>
        </w:rPr>
        <w:t xml:space="preserve"> </w:t>
      </w:r>
      <w:hyperlink r:id="rId9" w:history="1">
        <w:r w:rsidRPr="007E53E2">
          <w:rPr>
            <w:rFonts w:ascii="Arial" w:eastAsia="Arial" w:hAnsi="Arial" w:cs="Arial"/>
            <w:color w:val="000000"/>
            <w:sz w:val="22"/>
            <w:u w:val="single"/>
            <w:shd w:val="clear" w:color="auto" w:fill="FFFFFF"/>
            <w:lang w:val="en-IN" w:eastAsia="en-IN"/>
          </w:rPr>
          <w:t>https://doi.org/10.3389/fpsyg.2022.920317</w:t>
        </w:r>
      </w:hyperlink>
      <w:r w:rsidRPr="007E53E2">
        <w:rPr>
          <w:rFonts w:ascii="Arial" w:eastAsia="Arial" w:hAnsi="Arial" w:cs="Arial"/>
          <w:color w:val="222222"/>
          <w:sz w:val="22"/>
          <w:shd w:val="clear" w:color="auto" w:fill="FFFFFF"/>
          <w:lang w:val="en-IN" w:eastAsia="en-IN"/>
        </w:rPr>
        <w:t xml:space="preserve"> </w:t>
      </w:r>
      <w:r>
        <w:rPr>
          <w:rFonts w:ascii="Arial" w:eastAsia="Arial" w:hAnsi="Arial" w:cs="Arial"/>
          <w:color w:val="222222"/>
          <w:sz w:val="22"/>
          <w:shd w:val="clear" w:color="auto" w:fill="FFFFFF"/>
          <w:lang w:val="en-IN" w:eastAsia="en-IN"/>
        </w:rPr>
        <w:t>.(Accessed 3 April 2026)</w:t>
      </w:r>
    </w:p>
    <w:p w14:paraId="38BE3130" w14:textId="1378916E" w:rsidR="007E53E2" w:rsidRDefault="007E53E2" w:rsidP="007E53E2">
      <w:pPr>
        <w:spacing w:after="0" w:line="360" w:lineRule="auto"/>
        <w:rPr>
          <w:rFonts w:ascii="Arial" w:eastAsia="Arial" w:hAnsi="Arial" w:cs="Arial"/>
          <w:sz w:val="22"/>
          <w:lang w:val="en-IN" w:eastAsia="en-IN"/>
        </w:rPr>
      </w:pPr>
      <w:r w:rsidRPr="007E53E2">
        <w:rPr>
          <w:rFonts w:ascii="Arial" w:eastAsia="Arial" w:hAnsi="Arial" w:cs="Arial"/>
          <w:sz w:val="22"/>
          <w:shd w:val="clear" w:color="auto" w:fill="FFFFFF"/>
          <w:lang w:val="en-IN" w:eastAsia="en-IN"/>
        </w:rPr>
        <w:t>Azmi, H., Walter, B.L., Brooks, A., Richard, I.H., Amodeo, K. and Okun, M.S. (2024). Hospitalization and Parkinson's disease: safety, quality and outcomes. </w:t>
      </w:r>
      <w:r w:rsidRPr="007E53E2">
        <w:rPr>
          <w:rFonts w:ascii="Arial" w:eastAsia="Arial" w:hAnsi="Arial" w:cs="Arial"/>
          <w:i/>
          <w:iCs/>
          <w:sz w:val="22"/>
          <w:shd w:val="clear" w:color="auto" w:fill="FFFFFF"/>
          <w:lang w:val="en-IN" w:eastAsia="en-IN"/>
        </w:rPr>
        <w:t>Frontiers in Aging Neuroscience</w:t>
      </w:r>
      <w:r w:rsidRPr="007E53E2">
        <w:rPr>
          <w:rFonts w:ascii="Arial" w:eastAsia="Arial" w:hAnsi="Arial" w:cs="Arial"/>
          <w:sz w:val="22"/>
          <w:shd w:val="clear" w:color="auto" w:fill="FFFFFF"/>
          <w:lang w:val="en-IN" w:eastAsia="en-IN"/>
        </w:rPr>
        <w:t>, </w:t>
      </w:r>
      <w:r w:rsidRPr="007E53E2">
        <w:rPr>
          <w:rFonts w:ascii="Arial" w:eastAsia="Arial" w:hAnsi="Arial" w:cs="Arial"/>
          <w:i/>
          <w:iCs/>
          <w:sz w:val="22"/>
          <w:shd w:val="clear" w:color="auto" w:fill="FFFFFF"/>
          <w:lang w:val="en-IN" w:eastAsia="en-IN"/>
        </w:rPr>
        <w:t>16</w:t>
      </w:r>
      <w:r w:rsidRPr="007E53E2">
        <w:rPr>
          <w:rFonts w:ascii="Arial" w:eastAsia="Arial" w:hAnsi="Arial" w:cs="Arial"/>
          <w:sz w:val="22"/>
          <w:shd w:val="clear" w:color="auto" w:fill="FFFFFF"/>
          <w:lang w:val="en-IN" w:eastAsia="en-IN"/>
        </w:rPr>
        <w:t>, p.1398947.</w:t>
      </w:r>
      <w:r w:rsidRPr="007E53E2">
        <w:rPr>
          <w:rFonts w:ascii="Arial" w:eastAsia="Arial" w:hAnsi="Arial" w:cs="Arial"/>
          <w:sz w:val="22"/>
          <w:lang w:val="en-IN" w:eastAsia="en-IN"/>
        </w:rPr>
        <w:t xml:space="preserve"> </w:t>
      </w:r>
      <w:hyperlink r:id="rId10" w:history="1">
        <w:r w:rsidRPr="007E53E2">
          <w:rPr>
            <w:rFonts w:ascii="Arial" w:eastAsia="Arial" w:hAnsi="Arial" w:cs="Arial"/>
            <w:color w:val="000000"/>
            <w:sz w:val="22"/>
            <w:u w:val="single"/>
            <w:lang w:val="en-IN" w:eastAsia="en-IN"/>
          </w:rPr>
          <w:t>https://doi.org/10.3389/fnagi.2024.1398947</w:t>
        </w:r>
      </w:hyperlink>
      <w:r>
        <w:rPr>
          <w:rFonts w:ascii="Arial" w:eastAsia="Arial" w:hAnsi="Arial" w:cs="Arial"/>
          <w:sz w:val="22"/>
          <w:lang w:val="en-IN" w:eastAsia="en-IN"/>
        </w:rPr>
        <w:t>. (Accessed 4 Apri; 2026)</w:t>
      </w:r>
    </w:p>
    <w:p w14:paraId="2300A404" w14:textId="4C711097" w:rsidR="00DD0D8F" w:rsidRPr="00DD0D8F" w:rsidRDefault="00DD0D8F" w:rsidP="00DD0D8F">
      <w:pPr>
        <w:spacing w:after="0" w:line="360" w:lineRule="auto"/>
        <w:rPr>
          <w:rFonts w:ascii="Arial" w:eastAsia="Arial" w:hAnsi="Arial" w:cs="Arial"/>
          <w:sz w:val="22"/>
          <w:lang w:eastAsia="en-IN"/>
        </w:rPr>
      </w:pPr>
      <w:r w:rsidRPr="00DD0D8F">
        <w:rPr>
          <w:rFonts w:ascii="Arial" w:eastAsia="Arial" w:hAnsi="Arial" w:cs="Arial"/>
          <w:sz w:val="22"/>
          <w:lang w:eastAsia="en-IN"/>
        </w:rPr>
        <w:t>Emanu, M.D., Shibabaw, A.A. and Walle, A.D. (2023) ‘Health professionals’ routine practice documentation and its associated factors in a resource</w:t>
      </w:r>
      <w:r w:rsidRPr="00DD0D8F">
        <w:rPr>
          <w:rFonts w:ascii="Arial" w:eastAsia="Arial" w:hAnsi="Arial" w:cs="Arial"/>
          <w:sz w:val="22"/>
          <w:lang w:eastAsia="en-IN"/>
        </w:rPr>
        <w:noBreakHyphen/>
        <w:t>limited setting: A cross</w:t>
      </w:r>
      <w:r w:rsidRPr="00DD0D8F">
        <w:rPr>
          <w:rFonts w:ascii="Arial" w:eastAsia="Arial" w:hAnsi="Arial" w:cs="Arial"/>
          <w:sz w:val="22"/>
          <w:lang w:eastAsia="en-IN"/>
        </w:rPr>
        <w:noBreakHyphen/>
        <w:t xml:space="preserve">sectional study’, </w:t>
      </w:r>
      <w:r w:rsidRPr="00DD0D8F">
        <w:rPr>
          <w:rFonts w:ascii="Arial" w:eastAsia="Arial" w:hAnsi="Arial" w:cs="Arial"/>
          <w:i/>
          <w:iCs/>
          <w:sz w:val="22"/>
          <w:lang w:eastAsia="en-IN"/>
        </w:rPr>
        <w:t>BMJ Health &amp; Care Informatics</w:t>
      </w:r>
      <w:r w:rsidRPr="00DD0D8F">
        <w:rPr>
          <w:rFonts w:ascii="Arial" w:eastAsia="Arial" w:hAnsi="Arial" w:cs="Arial"/>
          <w:sz w:val="22"/>
          <w:lang w:eastAsia="en-IN"/>
        </w:rPr>
        <w:t xml:space="preserve">, 30(1), e100699. </w:t>
      </w:r>
      <w:hyperlink r:id="rId11" w:tgtFrame="_blank" w:tooltip="doi.org" w:history="1">
        <w:r w:rsidRPr="00DD0D8F">
          <w:rPr>
            <w:rStyle w:val="Hyperlink"/>
            <w:rFonts w:ascii="Arial" w:eastAsia="Arial" w:hAnsi="Arial" w:cs="Arial"/>
            <w:sz w:val="22"/>
            <w:lang w:eastAsia="en-IN"/>
          </w:rPr>
          <w:t>https://doi.org/10.1136/bmjhci-2022-100699</w:t>
        </w:r>
      </w:hyperlink>
      <w:proofErr w:type="gramStart"/>
      <w:r>
        <w:rPr>
          <w:rFonts w:ascii="Arial" w:eastAsia="Arial" w:hAnsi="Arial" w:cs="Arial"/>
          <w:sz w:val="22"/>
          <w:lang w:val="en-IN" w:eastAsia="en-IN"/>
        </w:rPr>
        <w:t xml:space="preserve">. </w:t>
      </w:r>
      <w:r w:rsidRPr="00DD0D8F">
        <w:rPr>
          <w:rFonts w:ascii="Arial" w:eastAsia="Arial" w:hAnsi="Arial" w:cs="Arial"/>
          <w:sz w:val="22"/>
          <w:lang w:eastAsia="en-IN"/>
        </w:rPr>
        <w:t>.</w:t>
      </w:r>
      <w:proofErr w:type="gramEnd"/>
      <w:r w:rsidRPr="00DD0D8F">
        <w:rPr>
          <w:rFonts w:ascii="Arial" w:eastAsia="Arial" w:hAnsi="Arial" w:cs="Arial"/>
          <w:sz w:val="22"/>
          <w:lang w:eastAsia="en-IN"/>
        </w:rPr>
        <w:t xml:space="preserve"> (Accessed </w:t>
      </w:r>
      <w:r>
        <w:rPr>
          <w:rFonts w:ascii="Arial" w:eastAsia="Arial" w:hAnsi="Arial" w:cs="Arial"/>
          <w:sz w:val="22"/>
          <w:lang w:eastAsia="en-IN"/>
        </w:rPr>
        <w:t xml:space="preserve">5 </w:t>
      </w:r>
      <w:r w:rsidRPr="00DD0D8F">
        <w:rPr>
          <w:rFonts w:ascii="Arial" w:eastAsia="Arial" w:hAnsi="Arial" w:cs="Arial"/>
          <w:sz w:val="22"/>
          <w:lang w:eastAsia="en-IN"/>
        </w:rPr>
        <w:t>April 2026).</w:t>
      </w:r>
    </w:p>
    <w:p w14:paraId="472BD20E" w14:textId="6AA0E187" w:rsidR="007E53E2" w:rsidRDefault="007E53E2" w:rsidP="007E53E2">
      <w:pPr>
        <w:spacing w:after="0" w:line="360" w:lineRule="auto"/>
        <w:rPr>
          <w:rFonts w:ascii="Arial" w:eastAsia="Arial" w:hAnsi="Arial" w:cs="Arial"/>
          <w:sz w:val="22"/>
          <w:lang w:val="en-IN" w:eastAsia="en-IN"/>
        </w:rPr>
      </w:pPr>
    </w:p>
    <w:p w14:paraId="1425F4AC" w14:textId="289660BA" w:rsidR="001D7C03" w:rsidRDefault="007E53E2" w:rsidP="00CD33A8">
      <w:pPr>
        <w:tabs>
          <w:tab w:val="left" w:pos="6540"/>
        </w:tabs>
        <w:spacing w:line="360" w:lineRule="auto"/>
        <w:rPr>
          <w:rFonts w:eastAsia="Cambria" w:cs="Arial"/>
        </w:rPr>
      </w:pPr>
      <w:r w:rsidRPr="007E53E2">
        <w:rPr>
          <w:rFonts w:eastAsia="Cambria" w:cs="Arial"/>
        </w:rPr>
        <w:t xml:space="preserve">Haven, A. (2025). The Role of GDPR in Protecting Patient Data in Health and Social Care.  [online] Available at: </w:t>
      </w:r>
      <w:hyperlink r:id="rId12" w:anchor=":~:text=Lawfulness%2C%20Fairness%2C%20and%20Transparency%20%E2%80%93,how%20they%20follow%20GDPR%20requirements" w:history="1">
        <w:r w:rsidRPr="007E53E2">
          <w:rPr>
            <w:rFonts w:eastAsia="Cambria" w:cs="Arial"/>
            <w:color w:val="000000"/>
            <w:u w:val="single"/>
          </w:rPr>
          <w:t>https://uk.hfonline.org/the-role-of-gdpr-in-protecting-patient-data-in-health-and-social-care/#:~:text=Lawfulness%2C%20Fairness%2C%20and%20Transparency%20%E2%80%93,how%20they%20follow%20GDPR%20requirements</w:t>
        </w:r>
      </w:hyperlink>
      <w:r>
        <w:rPr>
          <w:rFonts w:eastAsia="Cambria" w:cs="Arial"/>
        </w:rPr>
        <w:t>. (Accessed 5 April 2026)</w:t>
      </w:r>
    </w:p>
    <w:p w14:paraId="04A141AB" w14:textId="79744FE8" w:rsidR="007E53E2" w:rsidRDefault="007E53E2" w:rsidP="00CD33A8">
      <w:pPr>
        <w:tabs>
          <w:tab w:val="left" w:pos="6540"/>
        </w:tabs>
        <w:spacing w:line="360" w:lineRule="auto"/>
        <w:rPr>
          <w:rFonts w:asciiTheme="minorBidi" w:hAnsiTheme="minorBidi"/>
          <w:sz w:val="22"/>
        </w:rPr>
      </w:pPr>
      <w:r w:rsidRPr="007E53E2">
        <w:rPr>
          <w:rFonts w:asciiTheme="minorBidi" w:hAnsiTheme="minorBidi"/>
          <w:sz w:val="22"/>
        </w:rPr>
        <w:t>Jones, M.C., Stone, T., Mason, S.M., Eames, A. and Franklin, M. (2023) ‘Navigating data governance associated with real</w:t>
      </w:r>
      <w:r w:rsidRPr="007E53E2">
        <w:rPr>
          <w:rFonts w:asciiTheme="minorBidi" w:hAnsiTheme="minorBidi"/>
          <w:sz w:val="22"/>
        </w:rPr>
        <w:noBreakHyphen/>
        <w:t xml:space="preserve">world data for public benefit: An overview in the UK and future considerations’, </w:t>
      </w:r>
      <w:r w:rsidRPr="007E53E2">
        <w:rPr>
          <w:rFonts w:asciiTheme="minorBidi" w:hAnsiTheme="minorBidi"/>
          <w:i/>
          <w:iCs/>
          <w:sz w:val="22"/>
        </w:rPr>
        <w:t>BMJ Open</w:t>
      </w:r>
      <w:r w:rsidRPr="007E53E2">
        <w:rPr>
          <w:rFonts w:asciiTheme="minorBidi" w:hAnsiTheme="minorBidi"/>
          <w:sz w:val="22"/>
        </w:rPr>
        <w:t xml:space="preserve">, 13(10), e069925. </w:t>
      </w:r>
      <w:hyperlink r:id="rId13" w:tgtFrame="_blank" w:tooltip="doi.org" w:history="1">
        <w:r w:rsidRPr="007E53E2">
          <w:rPr>
            <w:rStyle w:val="Hyperlink"/>
            <w:rFonts w:asciiTheme="minorBidi" w:hAnsiTheme="minorBidi"/>
            <w:sz w:val="22"/>
          </w:rPr>
          <w:t>https://doi.org/10.1136/bmjopen-2022-069925</w:t>
        </w:r>
      </w:hyperlink>
      <w:r>
        <w:rPr>
          <w:rFonts w:asciiTheme="minorBidi" w:hAnsiTheme="minorBidi"/>
          <w:sz w:val="22"/>
        </w:rPr>
        <w:t>. (Accessed 7 April 2026)</w:t>
      </w:r>
      <w:r w:rsidR="004604F2">
        <w:rPr>
          <w:rFonts w:asciiTheme="minorBidi" w:hAnsiTheme="minorBidi"/>
          <w:sz w:val="22"/>
        </w:rPr>
        <w:t>.</w:t>
      </w:r>
    </w:p>
    <w:p w14:paraId="0947F0C9" w14:textId="52AF1F3B" w:rsidR="004604F2" w:rsidRDefault="004604F2" w:rsidP="004604F2">
      <w:pPr>
        <w:tabs>
          <w:tab w:val="left" w:pos="6540"/>
        </w:tabs>
        <w:spacing w:line="360" w:lineRule="auto"/>
        <w:rPr>
          <w:rFonts w:eastAsia="Cambria" w:cs="Arial"/>
        </w:rPr>
      </w:pPr>
      <w:r w:rsidRPr="004604F2">
        <w:rPr>
          <w:rFonts w:asciiTheme="minorBidi" w:hAnsiTheme="minorBidi"/>
          <w:sz w:val="22"/>
        </w:rPr>
        <w:t xml:space="preserve">Korylchuk, N., Smith, J. and Patel, R. (2024) ‘Interprofessional collaboration in allied health: The role of communication and shared nutritional services’, </w:t>
      </w:r>
      <w:r w:rsidRPr="004604F2">
        <w:rPr>
          <w:rFonts w:asciiTheme="minorBidi" w:hAnsiTheme="minorBidi"/>
          <w:i/>
          <w:iCs/>
          <w:sz w:val="22"/>
        </w:rPr>
        <w:t>Journal of Interdisciplinary Healthcare</w:t>
      </w:r>
      <w:r w:rsidRPr="004604F2">
        <w:rPr>
          <w:rFonts w:asciiTheme="minorBidi" w:hAnsiTheme="minorBidi"/>
          <w:sz w:val="22"/>
        </w:rPr>
        <w:t>, 15(3), pp. 210–219</w:t>
      </w:r>
      <w:r>
        <w:rPr>
          <w:rFonts w:asciiTheme="minorBidi" w:hAnsiTheme="minorBidi"/>
          <w:sz w:val="22"/>
        </w:rPr>
        <w:t>.</w:t>
      </w:r>
      <w:r w:rsidRPr="004604F2">
        <w:rPr>
          <w:rFonts w:eastAsia="Cambria" w:cs="Arial"/>
        </w:rPr>
        <w:t xml:space="preserve"> </w:t>
      </w:r>
      <w:hyperlink r:id="rId14" w:history="1">
        <w:r w:rsidRPr="004604F2">
          <w:rPr>
            <w:rFonts w:eastAsia="Cambria" w:cs="Arial"/>
            <w:color w:val="000000"/>
            <w:u w:val="single"/>
          </w:rPr>
          <w:t>https://doi.org/10.61091/jpms202413301</w:t>
        </w:r>
      </w:hyperlink>
      <w:r>
        <w:rPr>
          <w:rFonts w:eastAsia="Cambria" w:cs="Arial"/>
        </w:rPr>
        <w:t>.</w:t>
      </w:r>
      <w:r w:rsidRPr="004604F2">
        <w:rPr>
          <w:rFonts w:asciiTheme="minorBidi" w:hAnsiTheme="minorBidi"/>
          <w:sz w:val="22"/>
        </w:rPr>
        <w:t xml:space="preserve"> </w:t>
      </w:r>
      <w:r w:rsidRPr="004604F2">
        <w:rPr>
          <w:rFonts w:eastAsia="Cambria" w:cs="Arial"/>
        </w:rPr>
        <w:t xml:space="preserve">(Accessed </w:t>
      </w:r>
      <w:r>
        <w:rPr>
          <w:rFonts w:eastAsia="Cambria" w:cs="Arial"/>
        </w:rPr>
        <w:t xml:space="preserve">8 </w:t>
      </w:r>
      <w:r w:rsidRPr="004604F2">
        <w:rPr>
          <w:rFonts w:eastAsia="Cambria" w:cs="Arial"/>
        </w:rPr>
        <w:t>April 2026).</w:t>
      </w:r>
    </w:p>
    <w:p w14:paraId="1FAFD074" w14:textId="69928DF8" w:rsidR="004604F2" w:rsidRPr="004604F2" w:rsidRDefault="004604F2" w:rsidP="004604F2">
      <w:pPr>
        <w:tabs>
          <w:tab w:val="left" w:pos="6540"/>
        </w:tabs>
        <w:spacing w:line="360" w:lineRule="auto"/>
        <w:rPr>
          <w:rFonts w:eastAsia="Cambria" w:cs="Arial"/>
        </w:rPr>
      </w:pPr>
      <w:r w:rsidRPr="004604F2">
        <w:rPr>
          <w:rFonts w:eastAsia="Cambria" w:cs="Arial"/>
          <w:b/>
          <w:bCs/>
        </w:rPr>
        <w:t>NICE (2023)</w:t>
      </w:r>
      <w:r w:rsidRPr="004604F2">
        <w:rPr>
          <w:rFonts w:eastAsia="Cambria" w:cs="Arial"/>
        </w:rPr>
        <w:t xml:space="preserve"> </w:t>
      </w:r>
      <w:r w:rsidRPr="004604F2">
        <w:rPr>
          <w:rFonts w:eastAsia="Cambria" w:cs="Arial"/>
          <w:i/>
          <w:iCs/>
        </w:rPr>
        <w:t>Stroke rehabilitation in adults: Clinical guideline NG199</w:t>
      </w:r>
      <w:r w:rsidRPr="004604F2">
        <w:rPr>
          <w:rFonts w:eastAsia="Cambria" w:cs="Arial"/>
        </w:rPr>
        <w:t>. London: National Institute for Health and Care Excellence.</w:t>
      </w:r>
      <w:r>
        <w:rPr>
          <w:rFonts w:eastAsia="Cambria" w:cs="Arial"/>
        </w:rPr>
        <w:t xml:space="preserve"> </w:t>
      </w:r>
      <w:proofErr w:type="gramStart"/>
      <w:r>
        <w:rPr>
          <w:rFonts w:eastAsia="Cambria" w:cs="Arial"/>
        </w:rPr>
        <w:t>(</w:t>
      </w:r>
      <w:r w:rsidRPr="004604F2">
        <w:rPr>
          <w:rFonts w:eastAsia="Cambria" w:cs="Arial"/>
        </w:rPr>
        <w:t xml:space="preserve"> Accessed</w:t>
      </w:r>
      <w:proofErr w:type="gramEnd"/>
      <w:r w:rsidRPr="004604F2">
        <w:rPr>
          <w:rFonts w:eastAsia="Cambria" w:cs="Arial"/>
        </w:rPr>
        <w:t xml:space="preserve"> </w:t>
      </w:r>
      <w:r>
        <w:rPr>
          <w:rFonts w:eastAsia="Cambria" w:cs="Arial"/>
        </w:rPr>
        <w:t>9</w:t>
      </w:r>
      <w:r w:rsidRPr="004604F2">
        <w:rPr>
          <w:rFonts w:eastAsia="Cambria" w:cs="Arial"/>
        </w:rPr>
        <w:t xml:space="preserve"> April 2026).</w:t>
      </w:r>
    </w:p>
    <w:p w14:paraId="45FEF3AD" w14:textId="234E0DC0" w:rsidR="004604F2" w:rsidRPr="004604F2" w:rsidRDefault="004604F2" w:rsidP="004604F2">
      <w:pPr>
        <w:spacing w:after="0" w:line="360" w:lineRule="auto"/>
        <w:rPr>
          <w:rFonts w:ascii="Arial" w:eastAsia="Arial" w:hAnsi="Arial" w:cs="Arial"/>
          <w:sz w:val="22"/>
          <w:lang w:val="en-IN" w:eastAsia="en-IN"/>
        </w:rPr>
      </w:pPr>
      <w:proofErr w:type="spellStart"/>
      <w:r w:rsidRPr="004604F2">
        <w:rPr>
          <w:rFonts w:ascii="Arial" w:eastAsia="Arial" w:hAnsi="Arial" w:cs="Arial"/>
          <w:sz w:val="22"/>
          <w:lang w:val="en-IN" w:eastAsia="en-IN"/>
        </w:rPr>
        <w:t>Omojuwa</w:t>
      </w:r>
      <w:proofErr w:type="spellEnd"/>
      <w:r w:rsidRPr="004604F2">
        <w:rPr>
          <w:rFonts w:ascii="Arial" w:eastAsia="Arial" w:hAnsi="Arial" w:cs="Arial"/>
          <w:sz w:val="22"/>
          <w:lang w:val="en-IN" w:eastAsia="en-IN"/>
        </w:rPr>
        <w:t xml:space="preserve">, B.A., (2025). Exploring the Communication Process Model. Mount Saint Vincent University.  [online] Available at: </w:t>
      </w:r>
      <w:hyperlink r:id="rId15" w:history="1">
        <w:r w:rsidRPr="004604F2">
          <w:rPr>
            <w:rFonts w:ascii="Arial" w:eastAsia="Arial" w:hAnsi="Arial" w:cs="Arial"/>
            <w:color w:val="000000"/>
            <w:sz w:val="22"/>
            <w:u w:val="single"/>
            <w:lang w:val="en-IN" w:eastAsia="en-IN"/>
          </w:rPr>
          <w:t>https://ec.msvu.ca/server/api/core/bitstreams/a5a735ce-680e-4ac3-bb5a-af0196780dba/content</w:t>
        </w:r>
      </w:hyperlink>
      <w:r w:rsidRPr="004604F2">
        <w:rPr>
          <w:rFonts w:ascii="Arial" w:eastAsia="Arial" w:hAnsi="Arial" w:cs="Arial"/>
          <w:sz w:val="22"/>
          <w:lang w:val="en-IN" w:eastAsia="en-IN"/>
        </w:rPr>
        <w:t xml:space="preserve"> </w:t>
      </w:r>
      <w:r>
        <w:rPr>
          <w:rFonts w:ascii="Arial" w:eastAsia="Arial" w:hAnsi="Arial" w:cs="Arial"/>
          <w:sz w:val="22"/>
          <w:lang w:val="en-IN" w:eastAsia="en-IN"/>
        </w:rPr>
        <w:t>(</w:t>
      </w:r>
      <w:r w:rsidRPr="004604F2">
        <w:rPr>
          <w:rFonts w:ascii="Arial" w:eastAsia="Arial" w:hAnsi="Arial" w:cs="Arial"/>
          <w:sz w:val="22"/>
          <w:lang w:val="en-IN" w:eastAsia="en-IN"/>
        </w:rPr>
        <w:t>Accessed on: 01 April 2026</w:t>
      </w:r>
      <w:r>
        <w:rPr>
          <w:rFonts w:ascii="Arial" w:eastAsia="Arial" w:hAnsi="Arial" w:cs="Arial"/>
          <w:sz w:val="22"/>
          <w:lang w:val="en-IN" w:eastAsia="en-IN"/>
        </w:rPr>
        <w:t>).</w:t>
      </w:r>
    </w:p>
    <w:p w14:paraId="17361D75" w14:textId="77777777" w:rsidR="004604F2" w:rsidRDefault="004604F2" w:rsidP="004604F2">
      <w:pPr>
        <w:tabs>
          <w:tab w:val="left" w:pos="6540"/>
        </w:tabs>
        <w:spacing w:line="360" w:lineRule="auto"/>
        <w:rPr>
          <w:rFonts w:eastAsia="Cambria" w:cs="Arial"/>
        </w:rPr>
      </w:pPr>
    </w:p>
    <w:p w14:paraId="1AB6A0DC" w14:textId="77777777" w:rsidR="004604F2" w:rsidRDefault="004604F2" w:rsidP="004604F2">
      <w:pPr>
        <w:tabs>
          <w:tab w:val="left" w:pos="6540"/>
        </w:tabs>
        <w:spacing w:line="360" w:lineRule="auto"/>
        <w:rPr>
          <w:rFonts w:eastAsia="Cambria" w:cs="Arial"/>
        </w:rPr>
      </w:pPr>
    </w:p>
    <w:p w14:paraId="2C25D35B" w14:textId="77777777" w:rsidR="004604F2" w:rsidRDefault="004604F2" w:rsidP="004604F2">
      <w:pPr>
        <w:tabs>
          <w:tab w:val="left" w:pos="6540"/>
        </w:tabs>
        <w:spacing w:line="360" w:lineRule="auto"/>
        <w:rPr>
          <w:rFonts w:eastAsia="Cambria" w:cs="Arial"/>
        </w:rPr>
      </w:pPr>
    </w:p>
    <w:p w14:paraId="40A4464E" w14:textId="77777777" w:rsidR="004604F2" w:rsidRPr="004604F2" w:rsidRDefault="004604F2" w:rsidP="004604F2">
      <w:pPr>
        <w:tabs>
          <w:tab w:val="left" w:pos="6540"/>
        </w:tabs>
        <w:spacing w:line="360" w:lineRule="auto"/>
        <w:rPr>
          <w:rFonts w:eastAsia="Cambria" w:cs="Arial"/>
        </w:rPr>
      </w:pPr>
    </w:p>
    <w:p w14:paraId="3E3C6189" w14:textId="27ED1322" w:rsidR="004604F2" w:rsidRPr="00CD33A8" w:rsidRDefault="004604F2" w:rsidP="00CD33A8">
      <w:pPr>
        <w:tabs>
          <w:tab w:val="left" w:pos="6540"/>
        </w:tabs>
        <w:spacing w:line="360" w:lineRule="auto"/>
        <w:rPr>
          <w:rFonts w:asciiTheme="minorBidi" w:hAnsiTheme="minorBidi"/>
          <w:sz w:val="22"/>
        </w:rPr>
      </w:pPr>
    </w:p>
    <w:sectPr w:rsidR="004604F2" w:rsidRPr="00CD33A8"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3A8F8" w14:textId="77777777" w:rsidR="00C50986" w:rsidRDefault="00C50986" w:rsidP="003E4ECF">
      <w:pPr>
        <w:spacing w:after="0" w:line="240" w:lineRule="auto"/>
      </w:pPr>
      <w:r>
        <w:separator/>
      </w:r>
    </w:p>
  </w:endnote>
  <w:endnote w:type="continuationSeparator" w:id="0">
    <w:p w14:paraId="1091B113" w14:textId="77777777" w:rsidR="00C50986" w:rsidRDefault="00C5098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D21B0" w14:textId="77777777" w:rsidR="00C50986" w:rsidRDefault="00C50986" w:rsidP="003E4ECF">
      <w:pPr>
        <w:spacing w:after="0" w:line="240" w:lineRule="auto"/>
      </w:pPr>
      <w:r>
        <w:separator/>
      </w:r>
    </w:p>
  </w:footnote>
  <w:footnote w:type="continuationSeparator" w:id="0">
    <w:p w14:paraId="5BB43B96" w14:textId="77777777" w:rsidR="00C50986" w:rsidRDefault="00C50986"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70651"/>
    <w:multiLevelType w:val="hybridMultilevel"/>
    <w:tmpl w:val="ECA05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41277"/>
    <w:multiLevelType w:val="hybridMultilevel"/>
    <w:tmpl w:val="509AB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71531"/>
    <w:multiLevelType w:val="hybridMultilevel"/>
    <w:tmpl w:val="30D49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B21353"/>
    <w:multiLevelType w:val="hybridMultilevel"/>
    <w:tmpl w:val="F1B43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294690">
    <w:abstractNumId w:val="0"/>
  </w:num>
  <w:num w:numId="2" w16cid:durableId="1764956185">
    <w:abstractNumId w:val="1"/>
  </w:num>
  <w:num w:numId="3" w16cid:durableId="777411857">
    <w:abstractNumId w:val="2"/>
  </w:num>
  <w:num w:numId="4" w16cid:durableId="299575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6D60"/>
    <w:rsid w:val="0004534D"/>
    <w:rsid w:val="000572BF"/>
    <w:rsid w:val="00074402"/>
    <w:rsid w:val="001213CA"/>
    <w:rsid w:val="001874FB"/>
    <w:rsid w:val="001D7C03"/>
    <w:rsid w:val="00216C85"/>
    <w:rsid w:val="0025108B"/>
    <w:rsid w:val="0026393A"/>
    <w:rsid w:val="00273EDD"/>
    <w:rsid w:val="00284246"/>
    <w:rsid w:val="002C2905"/>
    <w:rsid w:val="002C3965"/>
    <w:rsid w:val="003204E4"/>
    <w:rsid w:val="00321C4C"/>
    <w:rsid w:val="00346444"/>
    <w:rsid w:val="00392BBC"/>
    <w:rsid w:val="00394140"/>
    <w:rsid w:val="003D37F0"/>
    <w:rsid w:val="003E4ECF"/>
    <w:rsid w:val="0043122E"/>
    <w:rsid w:val="0043143D"/>
    <w:rsid w:val="004604F2"/>
    <w:rsid w:val="00462615"/>
    <w:rsid w:val="004642FB"/>
    <w:rsid w:val="004A736E"/>
    <w:rsid w:val="005240C8"/>
    <w:rsid w:val="00532931"/>
    <w:rsid w:val="00595D2B"/>
    <w:rsid w:val="005D017F"/>
    <w:rsid w:val="005F70D2"/>
    <w:rsid w:val="006925AA"/>
    <w:rsid w:val="00696FCE"/>
    <w:rsid w:val="00725177"/>
    <w:rsid w:val="00765B6E"/>
    <w:rsid w:val="007A1B8D"/>
    <w:rsid w:val="007E53E2"/>
    <w:rsid w:val="00814A9E"/>
    <w:rsid w:val="0082663E"/>
    <w:rsid w:val="008726D9"/>
    <w:rsid w:val="00893D5B"/>
    <w:rsid w:val="008E3943"/>
    <w:rsid w:val="0090040D"/>
    <w:rsid w:val="009D052C"/>
    <w:rsid w:val="009D1D1E"/>
    <w:rsid w:val="00A035FD"/>
    <w:rsid w:val="00A1043A"/>
    <w:rsid w:val="00A569B6"/>
    <w:rsid w:val="00A97B4E"/>
    <w:rsid w:val="00AD23A0"/>
    <w:rsid w:val="00AE4118"/>
    <w:rsid w:val="00B87E75"/>
    <w:rsid w:val="00BD2A68"/>
    <w:rsid w:val="00BE6801"/>
    <w:rsid w:val="00C067B0"/>
    <w:rsid w:val="00C50986"/>
    <w:rsid w:val="00CD33A8"/>
    <w:rsid w:val="00D06047"/>
    <w:rsid w:val="00DD0D8F"/>
    <w:rsid w:val="00DE3DA6"/>
    <w:rsid w:val="00E569FD"/>
    <w:rsid w:val="00E620E7"/>
    <w:rsid w:val="00EE5FF4"/>
    <w:rsid w:val="00F52584"/>
    <w:rsid w:val="00F66E1B"/>
    <w:rsid w:val="00FC10E0"/>
    <w:rsid w:val="00FC5FAF"/>
    <w:rsid w:val="00FE69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2931"/>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931"/>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A569B6"/>
    <w:pPr>
      <w:ind w:left="720"/>
      <w:contextualSpacing/>
    </w:pPr>
  </w:style>
  <w:style w:type="paragraph" w:styleId="NormalWeb">
    <w:name w:val="Normal (Web)"/>
    <w:basedOn w:val="Normal"/>
    <w:uiPriority w:val="99"/>
    <w:semiHidden/>
    <w:unhideWhenUsed/>
    <w:rsid w:val="001213CA"/>
    <w:rPr>
      <w:rFonts w:cs="Times New Roman"/>
      <w:szCs w:val="24"/>
    </w:rPr>
  </w:style>
  <w:style w:type="character" w:styleId="Hyperlink">
    <w:name w:val="Hyperlink"/>
    <w:basedOn w:val="DefaultParagraphFont"/>
    <w:uiPriority w:val="99"/>
    <w:unhideWhenUsed/>
    <w:rsid w:val="007E53E2"/>
    <w:rPr>
      <w:color w:val="0563C1" w:themeColor="hyperlink"/>
      <w:u w:val="single"/>
    </w:rPr>
  </w:style>
  <w:style w:type="character" w:styleId="UnresolvedMention">
    <w:name w:val="Unresolved Mention"/>
    <w:basedOn w:val="DefaultParagraphFont"/>
    <w:uiPriority w:val="99"/>
    <w:semiHidden/>
    <w:unhideWhenUsed/>
    <w:rsid w:val="007E5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36/bmjopen-2022-069925?utm_source=copilo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k.hfonline.org/the-role-of-gdpr-in-protecting-patient-data-in-health-and-social-ca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hci-2022-100699?utm_source=copilot.com" TargetMode="External"/><Relationship Id="rId5" Type="http://schemas.openxmlformats.org/officeDocument/2006/relationships/footnotes" Target="footnotes.xml"/><Relationship Id="rId15" Type="http://schemas.openxmlformats.org/officeDocument/2006/relationships/hyperlink" Target="https://ec.msvu.ca/server/api/core/bitstreams/a5a735ce-680e-4ac3-bb5a-af0196780dba/content" TargetMode="External"/><Relationship Id="rId10" Type="http://schemas.openxmlformats.org/officeDocument/2006/relationships/hyperlink" Target="https://doi.org/10.3389/fnagi.2024.1398947" TargetMode="External"/><Relationship Id="rId4" Type="http://schemas.openxmlformats.org/officeDocument/2006/relationships/webSettings" Target="webSettings.xml"/><Relationship Id="rId9" Type="http://schemas.openxmlformats.org/officeDocument/2006/relationships/hyperlink" Target="https://doi.org/10.3389/fpsyg.2022.920317" TargetMode="External"/><Relationship Id="rId14" Type="http://schemas.openxmlformats.org/officeDocument/2006/relationships/hyperlink" Target="https://doi.org/10.61091/jpms202413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2555</Words>
  <Characters>14567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Jhen Bacero</cp:lastModifiedBy>
  <cp:revision>2</cp:revision>
  <dcterms:created xsi:type="dcterms:W3CDTF">2026-04-24T06:22:00Z</dcterms:created>
  <dcterms:modified xsi:type="dcterms:W3CDTF">2026-04-24T06:22:00Z</dcterms:modified>
</cp:coreProperties>
</file>