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C3D73" w14:textId="77777777" w:rsidR="00AA3459" w:rsidRPr="0066338B" w:rsidRDefault="0076577B" w:rsidP="0066338B">
      <w:pPr>
        <w:spacing w:line="360" w:lineRule="auto"/>
        <w:rPr>
          <w:szCs w:val="24"/>
        </w:rPr>
      </w:pPr>
      <w:r w:rsidRPr="0066338B">
        <w:rPr>
          <w:szCs w:val="24"/>
        </w:rPr>
        <w:t>Slide 1</w:t>
      </w:r>
    </w:p>
    <w:p w14:paraId="2D7E2A9D" w14:textId="16D67BF2" w:rsidR="0076577B" w:rsidRPr="0066338B" w:rsidRDefault="001C1A34" w:rsidP="0066338B">
      <w:pPr>
        <w:spacing w:line="360" w:lineRule="auto"/>
        <w:rPr>
          <w:szCs w:val="24"/>
        </w:rPr>
      </w:pPr>
      <w:r w:rsidRPr="0066338B">
        <w:rPr>
          <w:noProof/>
          <w:szCs w:val="24"/>
        </w:rPr>
        <w:drawing>
          <wp:inline distT="0" distB="0" distL="0" distR="0" wp14:anchorId="3D5D9E73" wp14:editId="74E0BB7F">
            <wp:extent cx="5943600" cy="3263900"/>
            <wp:effectExtent l="0" t="0" r="0" b="0"/>
            <wp:docPr id="1352858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58435" name=""/>
                    <pic:cNvPicPr/>
                  </pic:nvPicPr>
                  <pic:blipFill>
                    <a:blip r:embed="rId5"/>
                    <a:stretch>
                      <a:fillRect/>
                    </a:stretch>
                  </pic:blipFill>
                  <pic:spPr>
                    <a:xfrm>
                      <a:off x="0" y="0"/>
                      <a:ext cx="5943600" cy="3263900"/>
                    </a:xfrm>
                    <a:prstGeom prst="rect">
                      <a:avLst/>
                    </a:prstGeom>
                  </pic:spPr>
                </pic:pic>
              </a:graphicData>
            </a:graphic>
          </wp:inline>
        </w:drawing>
      </w:r>
    </w:p>
    <w:p w14:paraId="67A5AC72" w14:textId="6C85F7A3" w:rsidR="00B07C9B" w:rsidRDefault="00B07C9B" w:rsidP="0066338B">
      <w:pPr>
        <w:spacing w:line="360" w:lineRule="auto"/>
        <w:jc w:val="center"/>
        <w:rPr>
          <w:noProof/>
          <w:szCs w:val="24"/>
        </w:rPr>
      </w:pPr>
    </w:p>
    <w:p w14:paraId="0A50810F" w14:textId="2D8AEE2C" w:rsidR="00B07C9B" w:rsidRPr="00B07C9B" w:rsidRDefault="00B07C9B" w:rsidP="00B07C9B">
      <w:pPr>
        <w:pStyle w:val="NoSpacing"/>
        <w:rPr>
          <w:noProof/>
        </w:rPr>
      </w:pPr>
      <w:r w:rsidRPr="00B07C9B">
        <w:rPr>
          <w:noProof/>
        </w:rPr>
        <w:t xml:space="preserve">Student name : Diana Valerica Paul </w:t>
      </w:r>
    </w:p>
    <w:p w14:paraId="35FEE72B" w14:textId="19D5B54A" w:rsidR="00B07C9B" w:rsidRPr="00B07C9B" w:rsidRDefault="00B07C9B" w:rsidP="00B07C9B">
      <w:pPr>
        <w:pStyle w:val="NoSpacing"/>
        <w:rPr>
          <w:noProof/>
        </w:rPr>
      </w:pPr>
      <w:r w:rsidRPr="00B07C9B">
        <w:rPr>
          <w:noProof/>
        </w:rPr>
        <w:t>Student Number :2221008</w:t>
      </w:r>
    </w:p>
    <w:p w14:paraId="18CA7032" w14:textId="4E25E634" w:rsidR="00B07C9B" w:rsidRPr="00B07C9B" w:rsidRDefault="00B07C9B" w:rsidP="00B07C9B">
      <w:pPr>
        <w:pStyle w:val="NoSpacing"/>
        <w:rPr>
          <w:noProof/>
        </w:rPr>
      </w:pPr>
      <w:r w:rsidRPr="00B07C9B">
        <w:rPr>
          <w:noProof/>
        </w:rPr>
        <w:t>Tutor’s Name :Kathryn Flynn</w:t>
      </w:r>
    </w:p>
    <w:p w14:paraId="5C358799" w14:textId="209D49E5" w:rsidR="0076577B" w:rsidRPr="0066338B" w:rsidRDefault="0076577B" w:rsidP="00B07C9B">
      <w:pPr>
        <w:spacing w:line="360" w:lineRule="auto"/>
        <w:rPr>
          <w:szCs w:val="24"/>
        </w:rPr>
      </w:pPr>
    </w:p>
    <w:p w14:paraId="35EEBBCF" w14:textId="77777777" w:rsidR="0076577B" w:rsidRPr="0066338B" w:rsidRDefault="0076577B" w:rsidP="0066338B">
      <w:pPr>
        <w:spacing w:line="360" w:lineRule="auto"/>
        <w:jc w:val="center"/>
        <w:rPr>
          <w:szCs w:val="24"/>
        </w:rPr>
      </w:pPr>
    </w:p>
    <w:p w14:paraId="199B32B0" w14:textId="77777777" w:rsidR="0076577B" w:rsidRPr="0066338B" w:rsidRDefault="0076577B" w:rsidP="0066338B">
      <w:pPr>
        <w:spacing w:line="360" w:lineRule="auto"/>
        <w:rPr>
          <w:szCs w:val="24"/>
        </w:rPr>
      </w:pPr>
    </w:p>
    <w:p w14:paraId="446E7FF4" w14:textId="5E2F8264" w:rsidR="0076577B" w:rsidRPr="0066338B" w:rsidRDefault="0076577B" w:rsidP="0066338B">
      <w:pPr>
        <w:spacing w:line="360" w:lineRule="auto"/>
        <w:rPr>
          <w:szCs w:val="24"/>
        </w:rPr>
      </w:pPr>
      <w:r w:rsidRPr="0066338B">
        <w:rPr>
          <w:szCs w:val="24"/>
        </w:rPr>
        <w:br w:type="page"/>
      </w:r>
    </w:p>
    <w:p w14:paraId="5FAA0C7E" w14:textId="19AE39A2" w:rsidR="0076577B" w:rsidRPr="0066338B" w:rsidRDefault="0076577B" w:rsidP="0066338B">
      <w:pPr>
        <w:spacing w:line="360" w:lineRule="auto"/>
        <w:rPr>
          <w:szCs w:val="24"/>
        </w:rPr>
      </w:pPr>
      <w:r w:rsidRPr="0066338B">
        <w:rPr>
          <w:szCs w:val="24"/>
        </w:rPr>
        <w:lastRenderedPageBreak/>
        <w:t>Slide 2</w:t>
      </w:r>
    </w:p>
    <w:p w14:paraId="46F6CA81" w14:textId="77777777" w:rsidR="0076577B" w:rsidRPr="0066338B" w:rsidRDefault="0076577B" w:rsidP="0066338B">
      <w:pPr>
        <w:spacing w:line="360" w:lineRule="auto"/>
        <w:rPr>
          <w:szCs w:val="24"/>
        </w:rPr>
      </w:pPr>
    </w:p>
    <w:p w14:paraId="5E53B265" w14:textId="61002C7F" w:rsidR="0076577B" w:rsidRPr="0066338B" w:rsidRDefault="0066338B" w:rsidP="0066338B">
      <w:pPr>
        <w:spacing w:line="360" w:lineRule="auto"/>
        <w:jc w:val="center"/>
        <w:rPr>
          <w:szCs w:val="24"/>
        </w:rPr>
      </w:pPr>
      <w:r w:rsidRPr="0066338B">
        <w:rPr>
          <w:noProof/>
          <w:szCs w:val="24"/>
        </w:rPr>
        <w:drawing>
          <wp:inline distT="0" distB="0" distL="0" distR="0" wp14:anchorId="5EB7DC53" wp14:editId="35BA4D82">
            <wp:extent cx="5943600" cy="3343275"/>
            <wp:effectExtent l="0" t="0" r="0" b="0"/>
            <wp:docPr id="190404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42955" name=""/>
                    <pic:cNvPicPr/>
                  </pic:nvPicPr>
                  <pic:blipFill>
                    <a:blip r:embed="rId6"/>
                    <a:stretch>
                      <a:fillRect/>
                    </a:stretch>
                  </pic:blipFill>
                  <pic:spPr>
                    <a:xfrm>
                      <a:off x="0" y="0"/>
                      <a:ext cx="5943600" cy="3343275"/>
                    </a:xfrm>
                    <a:prstGeom prst="rect">
                      <a:avLst/>
                    </a:prstGeom>
                  </pic:spPr>
                </pic:pic>
              </a:graphicData>
            </a:graphic>
          </wp:inline>
        </w:drawing>
      </w:r>
    </w:p>
    <w:p w14:paraId="4CADBF54" w14:textId="77777777" w:rsidR="0076577B" w:rsidRPr="0066338B" w:rsidRDefault="0076577B" w:rsidP="0066338B">
      <w:pPr>
        <w:spacing w:line="360" w:lineRule="auto"/>
        <w:jc w:val="center"/>
        <w:rPr>
          <w:szCs w:val="24"/>
        </w:rPr>
      </w:pPr>
    </w:p>
    <w:p w14:paraId="4F1F5FEE"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Technology integration is regarded as one of the most essential elements in the modern business landscape (Hoffmann, 2021). Business organisations from different industries have started to include technology within daily operational activities. It is important to understand both positive and negative aspects associated with technology integration. Some individuals might not have proper skills as well as abilities to handle highly advanced technology in a strategic management. It is a major responsibility for industry leaders to provide proper focus on inclusive technology integration. The proposed event is focused to promote the concept and characteristics of an inclusive technology conference. </w:t>
      </w:r>
    </w:p>
    <w:p w14:paraId="01AFFD6A"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342E39CD" w14:textId="77777777" w:rsidR="0076577B" w:rsidRPr="0066338B" w:rsidRDefault="0076577B" w:rsidP="0066338B">
      <w:pPr>
        <w:spacing w:line="360" w:lineRule="auto"/>
        <w:rPr>
          <w:szCs w:val="24"/>
        </w:rPr>
      </w:pPr>
    </w:p>
    <w:p w14:paraId="359287C4" w14:textId="516F4457" w:rsidR="0076577B" w:rsidRPr="0066338B" w:rsidRDefault="0076577B" w:rsidP="0066338B">
      <w:pPr>
        <w:spacing w:line="360" w:lineRule="auto"/>
        <w:rPr>
          <w:szCs w:val="24"/>
        </w:rPr>
      </w:pPr>
      <w:r w:rsidRPr="0066338B">
        <w:rPr>
          <w:szCs w:val="24"/>
        </w:rPr>
        <w:br w:type="page"/>
      </w:r>
    </w:p>
    <w:p w14:paraId="349DAB27" w14:textId="1FBBC013" w:rsidR="0076577B" w:rsidRPr="0066338B" w:rsidRDefault="0076577B" w:rsidP="0066338B">
      <w:pPr>
        <w:spacing w:line="360" w:lineRule="auto"/>
        <w:rPr>
          <w:szCs w:val="24"/>
        </w:rPr>
      </w:pPr>
      <w:r w:rsidRPr="0066338B">
        <w:rPr>
          <w:szCs w:val="24"/>
        </w:rPr>
        <w:lastRenderedPageBreak/>
        <w:t>Slide 3</w:t>
      </w:r>
    </w:p>
    <w:p w14:paraId="09EEA628" w14:textId="77777777" w:rsidR="0076577B" w:rsidRPr="0066338B" w:rsidRDefault="0076577B" w:rsidP="0066338B">
      <w:pPr>
        <w:spacing w:line="360" w:lineRule="auto"/>
        <w:rPr>
          <w:szCs w:val="24"/>
        </w:rPr>
      </w:pPr>
    </w:p>
    <w:p w14:paraId="1103A971" w14:textId="3999B846" w:rsidR="0076577B" w:rsidRPr="0066338B" w:rsidRDefault="0066338B" w:rsidP="0066338B">
      <w:pPr>
        <w:spacing w:line="360" w:lineRule="auto"/>
        <w:jc w:val="center"/>
        <w:rPr>
          <w:szCs w:val="24"/>
        </w:rPr>
      </w:pPr>
      <w:r w:rsidRPr="0066338B">
        <w:rPr>
          <w:noProof/>
          <w:szCs w:val="24"/>
        </w:rPr>
        <w:drawing>
          <wp:inline distT="0" distB="0" distL="0" distR="0" wp14:anchorId="593F1A70" wp14:editId="6A6ABBE4">
            <wp:extent cx="5943600" cy="3343275"/>
            <wp:effectExtent l="0" t="0" r="0" b="0"/>
            <wp:docPr id="1864031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31024" name=""/>
                    <pic:cNvPicPr/>
                  </pic:nvPicPr>
                  <pic:blipFill>
                    <a:blip r:embed="rId7"/>
                    <a:stretch>
                      <a:fillRect/>
                    </a:stretch>
                  </pic:blipFill>
                  <pic:spPr>
                    <a:xfrm>
                      <a:off x="0" y="0"/>
                      <a:ext cx="5943600" cy="3343275"/>
                    </a:xfrm>
                    <a:prstGeom prst="rect">
                      <a:avLst/>
                    </a:prstGeom>
                  </pic:spPr>
                </pic:pic>
              </a:graphicData>
            </a:graphic>
          </wp:inline>
        </w:drawing>
      </w:r>
    </w:p>
    <w:p w14:paraId="722016E9" w14:textId="77777777" w:rsidR="0076577B" w:rsidRPr="0066338B" w:rsidRDefault="0076577B" w:rsidP="0066338B">
      <w:pPr>
        <w:spacing w:line="360" w:lineRule="auto"/>
        <w:jc w:val="center"/>
        <w:rPr>
          <w:szCs w:val="24"/>
        </w:rPr>
      </w:pPr>
    </w:p>
    <w:p w14:paraId="0C45FADC"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Silicon Valley is regarded as the main centre of technological innovation across the globe. The primary aim of the conference is to draw attention regarding the responsibility of technology leaders as well as innovators to create innovative solutions or products which can accommodate individuals with technology related disabilities. It is important to ensure equal opportunities for all individuals to manage innovative solutions in both personal and professional sectors (McNicholl </w:t>
      </w:r>
      <w:r w:rsidRPr="0066338B">
        <w:rPr>
          <w:rFonts w:eastAsia="Times New Roman" w:cs="Times New Roman"/>
          <w:i/>
          <w:iCs/>
          <w:kern w:val="24"/>
          <w:szCs w:val="24"/>
        </w:rPr>
        <w:t xml:space="preserve">et al. </w:t>
      </w:r>
      <w:r w:rsidRPr="0066338B">
        <w:rPr>
          <w:rFonts w:eastAsia="Times New Roman" w:cs="Times New Roman"/>
          <w:kern w:val="24"/>
          <w:szCs w:val="24"/>
        </w:rPr>
        <w:t>2021). The proposed event is highly aligned with the requirements of accessibility in the innovation sector. The proposed event will be an educational event, and it is highly inspired by the continuous requirements of promoting collaboration as well as awareness within the stakeholders involved in hospitality and technology sectors</w:t>
      </w:r>
    </w:p>
    <w:p w14:paraId="73B5900D"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4A794457" w14:textId="77777777" w:rsidR="0076577B" w:rsidRPr="0066338B" w:rsidRDefault="0076577B" w:rsidP="0066338B">
      <w:pPr>
        <w:spacing w:line="360" w:lineRule="auto"/>
        <w:rPr>
          <w:szCs w:val="24"/>
        </w:rPr>
      </w:pPr>
    </w:p>
    <w:p w14:paraId="7C7F4ECE" w14:textId="3AFF40F4" w:rsidR="0076577B" w:rsidRPr="0066338B" w:rsidRDefault="0076577B" w:rsidP="0066338B">
      <w:pPr>
        <w:spacing w:line="360" w:lineRule="auto"/>
        <w:rPr>
          <w:szCs w:val="24"/>
        </w:rPr>
      </w:pPr>
      <w:r w:rsidRPr="0066338B">
        <w:rPr>
          <w:szCs w:val="24"/>
        </w:rPr>
        <w:br w:type="page"/>
      </w:r>
    </w:p>
    <w:p w14:paraId="6D6B9DE4" w14:textId="54951815" w:rsidR="0076577B" w:rsidRPr="0066338B" w:rsidRDefault="0076577B" w:rsidP="0066338B">
      <w:pPr>
        <w:spacing w:line="360" w:lineRule="auto"/>
        <w:rPr>
          <w:szCs w:val="24"/>
        </w:rPr>
      </w:pPr>
      <w:r w:rsidRPr="0066338B">
        <w:rPr>
          <w:szCs w:val="24"/>
        </w:rPr>
        <w:lastRenderedPageBreak/>
        <w:t>Slide 4</w:t>
      </w:r>
    </w:p>
    <w:p w14:paraId="33C9C5AE" w14:textId="77777777" w:rsidR="0076577B" w:rsidRPr="0066338B" w:rsidRDefault="0076577B" w:rsidP="0066338B">
      <w:pPr>
        <w:spacing w:line="360" w:lineRule="auto"/>
        <w:rPr>
          <w:szCs w:val="24"/>
        </w:rPr>
      </w:pPr>
    </w:p>
    <w:p w14:paraId="595794BD" w14:textId="62B6270D" w:rsidR="0076577B" w:rsidRPr="0066338B" w:rsidRDefault="0066338B" w:rsidP="0066338B">
      <w:pPr>
        <w:spacing w:line="360" w:lineRule="auto"/>
        <w:jc w:val="center"/>
        <w:rPr>
          <w:szCs w:val="24"/>
        </w:rPr>
      </w:pPr>
      <w:r w:rsidRPr="0066338B">
        <w:rPr>
          <w:noProof/>
          <w:szCs w:val="24"/>
        </w:rPr>
        <w:drawing>
          <wp:inline distT="0" distB="0" distL="0" distR="0" wp14:anchorId="01050FD8" wp14:editId="5224DC46">
            <wp:extent cx="5943600" cy="3343275"/>
            <wp:effectExtent l="0" t="0" r="0" b="0"/>
            <wp:docPr id="1668317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17973" name=""/>
                    <pic:cNvPicPr/>
                  </pic:nvPicPr>
                  <pic:blipFill>
                    <a:blip r:embed="rId8"/>
                    <a:stretch>
                      <a:fillRect/>
                    </a:stretch>
                  </pic:blipFill>
                  <pic:spPr>
                    <a:xfrm>
                      <a:off x="0" y="0"/>
                      <a:ext cx="5943600" cy="3343275"/>
                    </a:xfrm>
                    <a:prstGeom prst="rect">
                      <a:avLst/>
                    </a:prstGeom>
                  </pic:spPr>
                </pic:pic>
              </a:graphicData>
            </a:graphic>
          </wp:inline>
        </w:drawing>
      </w:r>
    </w:p>
    <w:p w14:paraId="5D66FC9A" w14:textId="77777777" w:rsidR="0076577B" w:rsidRPr="0066338B" w:rsidRDefault="0076577B" w:rsidP="0066338B">
      <w:pPr>
        <w:spacing w:line="360" w:lineRule="auto"/>
        <w:jc w:val="center"/>
        <w:rPr>
          <w:szCs w:val="24"/>
        </w:rPr>
      </w:pPr>
    </w:p>
    <w:p w14:paraId="5A9ED265"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Understanding the limited accessibility in the context of mainstream technology related products which can be a main reason of exclusion in the context of digital advancements (Meredith, 2022). Highlighting the main requirements in the hospitality industry for adopting inclusive practices in the context of event delivery and designing process. Event management organisations are accountable for developing the most appropriate and strategic outline to ensure proper accessibility of all individuals to manage innovative products. Ensuring awareness within the stakeholders can be effective to gain the most desired outcomes. </w:t>
      </w:r>
    </w:p>
    <w:p w14:paraId="19FA5418"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2EE07F19" w14:textId="77777777" w:rsidR="0076577B" w:rsidRPr="0066338B" w:rsidRDefault="0076577B" w:rsidP="0066338B">
      <w:pPr>
        <w:spacing w:line="360" w:lineRule="auto"/>
        <w:rPr>
          <w:szCs w:val="24"/>
        </w:rPr>
      </w:pPr>
    </w:p>
    <w:p w14:paraId="40A933DE" w14:textId="363790F5" w:rsidR="0076577B" w:rsidRPr="0066338B" w:rsidRDefault="0076577B" w:rsidP="0066338B">
      <w:pPr>
        <w:spacing w:line="360" w:lineRule="auto"/>
        <w:rPr>
          <w:szCs w:val="24"/>
        </w:rPr>
      </w:pPr>
      <w:r w:rsidRPr="0066338B">
        <w:rPr>
          <w:szCs w:val="24"/>
        </w:rPr>
        <w:br w:type="page"/>
      </w:r>
    </w:p>
    <w:p w14:paraId="0CC0E185" w14:textId="5E986EFA" w:rsidR="0076577B" w:rsidRPr="0066338B" w:rsidRDefault="0076577B" w:rsidP="0066338B">
      <w:pPr>
        <w:spacing w:line="360" w:lineRule="auto"/>
        <w:rPr>
          <w:szCs w:val="24"/>
        </w:rPr>
      </w:pPr>
      <w:r w:rsidRPr="0066338B">
        <w:rPr>
          <w:szCs w:val="24"/>
        </w:rPr>
        <w:lastRenderedPageBreak/>
        <w:t>Slide 5</w:t>
      </w:r>
    </w:p>
    <w:p w14:paraId="555131A5" w14:textId="77777777" w:rsidR="0076577B" w:rsidRPr="0066338B" w:rsidRDefault="0076577B" w:rsidP="0066338B">
      <w:pPr>
        <w:spacing w:line="360" w:lineRule="auto"/>
        <w:rPr>
          <w:szCs w:val="24"/>
        </w:rPr>
      </w:pPr>
    </w:p>
    <w:p w14:paraId="07731723" w14:textId="796361EF" w:rsidR="0076577B" w:rsidRPr="0066338B" w:rsidRDefault="0066338B" w:rsidP="0066338B">
      <w:pPr>
        <w:spacing w:line="360" w:lineRule="auto"/>
        <w:jc w:val="center"/>
        <w:rPr>
          <w:szCs w:val="24"/>
        </w:rPr>
      </w:pPr>
      <w:r w:rsidRPr="0066338B">
        <w:rPr>
          <w:noProof/>
          <w:szCs w:val="24"/>
        </w:rPr>
        <w:drawing>
          <wp:inline distT="0" distB="0" distL="0" distR="0" wp14:anchorId="74B104CF" wp14:editId="757F4031">
            <wp:extent cx="5943600" cy="3343275"/>
            <wp:effectExtent l="0" t="0" r="0" b="0"/>
            <wp:docPr id="592236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36034" name=""/>
                    <pic:cNvPicPr/>
                  </pic:nvPicPr>
                  <pic:blipFill>
                    <a:blip r:embed="rId9"/>
                    <a:stretch>
                      <a:fillRect/>
                    </a:stretch>
                  </pic:blipFill>
                  <pic:spPr>
                    <a:xfrm>
                      <a:off x="0" y="0"/>
                      <a:ext cx="5943600" cy="3343275"/>
                    </a:xfrm>
                    <a:prstGeom prst="rect">
                      <a:avLst/>
                    </a:prstGeom>
                  </pic:spPr>
                </pic:pic>
              </a:graphicData>
            </a:graphic>
          </wp:inline>
        </w:drawing>
      </w:r>
    </w:p>
    <w:p w14:paraId="087403B3" w14:textId="77777777" w:rsidR="0076577B" w:rsidRPr="0066338B" w:rsidRDefault="0076577B" w:rsidP="0066338B">
      <w:pPr>
        <w:spacing w:line="360" w:lineRule="auto"/>
        <w:jc w:val="center"/>
        <w:rPr>
          <w:szCs w:val="24"/>
        </w:rPr>
      </w:pPr>
    </w:p>
    <w:p w14:paraId="6755C85D"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The panels will address the opportunities as well as challenges to hire as well as retain talent with disabilities in the context of the technology industry (Rogers and Wynn-Moylan, 2022). It will also feature highly attractive innovations in the context of assistive technologies. </w:t>
      </w:r>
    </w:p>
    <w:p w14:paraId="60F47F8F"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5EE655ED" w14:textId="77777777" w:rsidR="0076577B" w:rsidRPr="0066338B" w:rsidRDefault="0076577B" w:rsidP="0066338B">
      <w:pPr>
        <w:spacing w:line="360" w:lineRule="auto"/>
        <w:rPr>
          <w:szCs w:val="24"/>
        </w:rPr>
      </w:pPr>
    </w:p>
    <w:p w14:paraId="732DD329" w14:textId="400AB971" w:rsidR="0076577B" w:rsidRPr="0066338B" w:rsidRDefault="0076577B" w:rsidP="0066338B">
      <w:pPr>
        <w:spacing w:line="360" w:lineRule="auto"/>
        <w:rPr>
          <w:szCs w:val="24"/>
        </w:rPr>
      </w:pPr>
      <w:r w:rsidRPr="0066338B">
        <w:rPr>
          <w:szCs w:val="24"/>
        </w:rPr>
        <w:br w:type="page"/>
      </w:r>
    </w:p>
    <w:p w14:paraId="7678ED1A" w14:textId="182D0279" w:rsidR="0076577B" w:rsidRPr="0066338B" w:rsidRDefault="0076577B" w:rsidP="0066338B">
      <w:pPr>
        <w:spacing w:line="360" w:lineRule="auto"/>
        <w:rPr>
          <w:szCs w:val="24"/>
        </w:rPr>
      </w:pPr>
      <w:r w:rsidRPr="0066338B">
        <w:rPr>
          <w:szCs w:val="24"/>
        </w:rPr>
        <w:lastRenderedPageBreak/>
        <w:t>Slide 6</w:t>
      </w:r>
    </w:p>
    <w:p w14:paraId="3D0FE360" w14:textId="77777777" w:rsidR="0076577B" w:rsidRPr="0066338B" w:rsidRDefault="0076577B" w:rsidP="0066338B">
      <w:pPr>
        <w:spacing w:line="360" w:lineRule="auto"/>
        <w:rPr>
          <w:szCs w:val="24"/>
        </w:rPr>
      </w:pPr>
    </w:p>
    <w:p w14:paraId="07E88673" w14:textId="536BF1C5" w:rsidR="0076577B" w:rsidRPr="0066338B" w:rsidRDefault="0066338B" w:rsidP="0066338B">
      <w:pPr>
        <w:spacing w:line="360" w:lineRule="auto"/>
        <w:jc w:val="center"/>
        <w:rPr>
          <w:szCs w:val="24"/>
        </w:rPr>
      </w:pPr>
      <w:r w:rsidRPr="0066338B">
        <w:rPr>
          <w:noProof/>
          <w:szCs w:val="24"/>
        </w:rPr>
        <w:drawing>
          <wp:inline distT="0" distB="0" distL="0" distR="0" wp14:anchorId="6F26EEE0" wp14:editId="492C2167">
            <wp:extent cx="5943600" cy="3343275"/>
            <wp:effectExtent l="0" t="0" r="0" b="0"/>
            <wp:docPr id="36066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62079" name=""/>
                    <pic:cNvPicPr/>
                  </pic:nvPicPr>
                  <pic:blipFill>
                    <a:blip r:embed="rId10"/>
                    <a:stretch>
                      <a:fillRect/>
                    </a:stretch>
                  </pic:blipFill>
                  <pic:spPr>
                    <a:xfrm>
                      <a:off x="0" y="0"/>
                      <a:ext cx="5943600" cy="3343275"/>
                    </a:xfrm>
                    <a:prstGeom prst="rect">
                      <a:avLst/>
                    </a:prstGeom>
                  </pic:spPr>
                </pic:pic>
              </a:graphicData>
            </a:graphic>
          </wp:inline>
        </w:drawing>
      </w:r>
    </w:p>
    <w:p w14:paraId="5D3DC506" w14:textId="77777777" w:rsidR="0076577B" w:rsidRPr="0066338B" w:rsidRDefault="0076577B" w:rsidP="0066338B">
      <w:pPr>
        <w:spacing w:line="360" w:lineRule="auto"/>
        <w:jc w:val="center"/>
        <w:rPr>
          <w:szCs w:val="24"/>
        </w:rPr>
      </w:pPr>
    </w:p>
    <w:p w14:paraId="7F86B32B"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The overall popularity of virtual platforms is increasing day by day and it is important to meet the changing requirements of the modern atmosphere. The virtual platforms are increasing the overall requirements of ensuring accessibility within the digital environment. </w:t>
      </w:r>
    </w:p>
    <w:p w14:paraId="6D947680"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45CD4F5B" w14:textId="77777777" w:rsidR="0076577B" w:rsidRPr="0066338B" w:rsidRDefault="0076577B" w:rsidP="0066338B">
      <w:pPr>
        <w:spacing w:line="360" w:lineRule="auto"/>
        <w:rPr>
          <w:szCs w:val="24"/>
        </w:rPr>
      </w:pPr>
    </w:p>
    <w:p w14:paraId="66815F01" w14:textId="0C269962" w:rsidR="0076577B" w:rsidRPr="0066338B" w:rsidRDefault="0076577B" w:rsidP="0066338B">
      <w:pPr>
        <w:spacing w:line="360" w:lineRule="auto"/>
        <w:rPr>
          <w:szCs w:val="24"/>
        </w:rPr>
      </w:pPr>
      <w:r w:rsidRPr="0066338B">
        <w:rPr>
          <w:szCs w:val="24"/>
        </w:rPr>
        <w:br w:type="page"/>
      </w:r>
    </w:p>
    <w:p w14:paraId="3FD70D48" w14:textId="38256457" w:rsidR="0076577B" w:rsidRPr="0066338B" w:rsidRDefault="0076577B" w:rsidP="0066338B">
      <w:pPr>
        <w:spacing w:line="360" w:lineRule="auto"/>
        <w:rPr>
          <w:szCs w:val="24"/>
        </w:rPr>
      </w:pPr>
      <w:r w:rsidRPr="0066338B">
        <w:rPr>
          <w:szCs w:val="24"/>
        </w:rPr>
        <w:lastRenderedPageBreak/>
        <w:t>Slide 7</w:t>
      </w:r>
    </w:p>
    <w:p w14:paraId="15085D60" w14:textId="77777777" w:rsidR="0076577B" w:rsidRPr="0066338B" w:rsidRDefault="0076577B" w:rsidP="0066338B">
      <w:pPr>
        <w:spacing w:line="360" w:lineRule="auto"/>
        <w:rPr>
          <w:szCs w:val="24"/>
        </w:rPr>
      </w:pPr>
    </w:p>
    <w:p w14:paraId="1032460C" w14:textId="686C0E90" w:rsidR="0076577B" w:rsidRPr="0066338B" w:rsidRDefault="0066338B" w:rsidP="0066338B">
      <w:pPr>
        <w:spacing w:line="360" w:lineRule="auto"/>
        <w:jc w:val="center"/>
        <w:rPr>
          <w:szCs w:val="24"/>
        </w:rPr>
      </w:pPr>
      <w:r w:rsidRPr="0066338B">
        <w:rPr>
          <w:noProof/>
          <w:szCs w:val="24"/>
        </w:rPr>
        <w:drawing>
          <wp:inline distT="0" distB="0" distL="0" distR="0" wp14:anchorId="14779264" wp14:editId="0A759956">
            <wp:extent cx="5943600" cy="3343275"/>
            <wp:effectExtent l="0" t="0" r="0" b="0"/>
            <wp:docPr id="5550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1458" name=""/>
                    <pic:cNvPicPr/>
                  </pic:nvPicPr>
                  <pic:blipFill>
                    <a:blip r:embed="rId11"/>
                    <a:stretch>
                      <a:fillRect/>
                    </a:stretch>
                  </pic:blipFill>
                  <pic:spPr>
                    <a:xfrm>
                      <a:off x="0" y="0"/>
                      <a:ext cx="5943600" cy="3343275"/>
                    </a:xfrm>
                    <a:prstGeom prst="rect">
                      <a:avLst/>
                    </a:prstGeom>
                  </pic:spPr>
                </pic:pic>
              </a:graphicData>
            </a:graphic>
          </wp:inline>
        </w:drawing>
      </w:r>
    </w:p>
    <w:p w14:paraId="54CF8B3D" w14:textId="77777777" w:rsidR="0076577B" w:rsidRPr="0066338B" w:rsidRDefault="0076577B" w:rsidP="0066338B">
      <w:pPr>
        <w:spacing w:line="360" w:lineRule="auto"/>
        <w:jc w:val="center"/>
        <w:rPr>
          <w:szCs w:val="24"/>
        </w:rPr>
      </w:pPr>
    </w:p>
    <w:p w14:paraId="527AB11E"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Online events can also be recognised as a major competitor of this event as small groups are continuously organising online events to ensure continuous innovation in the accessibility sector. Digital marketing is the most important and prominent aspect in the </w:t>
      </w:r>
      <w:proofErr w:type="gramStart"/>
      <w:r w:rsidRPr="0066338B">
        <w:rPr>
          <w:rFonts w:eastAsia="Times New Roman" w:cs="Times New Roman"/>
          <w:kern w:val="24"/>
          <w:szCs w:val="24"/>
        </w:rPr>
        <w:t>modern day</w:t>
      </w:r>
      <w:proofErr w:type="gramEnd"/>
      <w:r w:rsidRPr="0066338B">
        <w:rPr>
          <w:rFonts w:eastAsia="Times New Roman" w:cs="Times New Roman"/>
          <w:kern w:val="24"/>
          <w:szCs w:val="24"/>
        </w:rPr>
        <w:t xml:space="preserve"> scenario. The event will use digital platforms to engage with the target audience. M-Enabling Summit and CSUN Assistive Technology Conference are focused on innovation as well as accessibility and this conference can attract similar audience base (Visionservealliance.org, 2025). Technology innovation events such as TechCrunch Disrupt or CES are also focused on sponsorships in the context of technology companies. It will also use influencer marketing strategies to generate attraction within the target audience. The event management team will use email campaigns to send detailed invitations to the government agencies, technology leaders and disability advocate groups. </w:t>
      </w:r>
    </w:p>
    <w:p w14:paraId="47E9BE64"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5D254D4C" w14:textId="158C09B3" w:rsidR="0076577B" w:rsidRPr="0066338B" w:rsidRDefault="0076577B" w:rsidP="0066338B">
      <w:pPr>
        <w:spacing w:line="360" w:lineRule="auto"/>
        <w:rPr>
          <w:szCs w:val="24"/>
        </w:rPr>
      </w:pPr>
    </w:p>
    <w:p w14:paraId="2A9E3124" w14:textId="11D00121" w:rsidR="0076577B" w:rsidRPr="0066338B" w:rsidRDefault="0076577B" w:rsidP="0066338B">
      <w:pPr>
        <w:spacing w:line="360" w:lineRule="auto"/>
        <w:rPr>
          <w:szCs w:val="24"/>
        </w:rPr>
      </w:pPr>
      <w:r w:rsidRPr="0066338B">
        <w:rPr>
          <w:szCs w:val="24"/>
        </w:rPr>
        <w:lastRenderedPageBreak/>
        <w:t>Slide 8</w:t>
      </w:r>
    </w:p>
    <w:p w14:paraId="5EB3D721" w14:textId="77777777" w:rsidR="0076577B" w:rsidRPr="0066338B" w:rsidRDefault="0076577B" w:rsidP="0066338B">
      <w:pPr>
        <w:spacing w:line="360" w:lineRule="auto"/>
        <w:rPr>
          <w:szCs w:val="24"/>
        </w:rPr>
      </w:pPr>
    </w:p>
    <w:p w14:paraId="2063514A" w14:textId="12B87049" w:rsidR="0076577B" w:rsidRPr="0066338B" w:rsidRDefault="0066338B" w:rsidP="0066338B">
      <w:pPr>
        <w:spacing w:line="360" w:lineRule="auto"/>
        <w:jc w:val="center"/>
        <w:rPr>
          <w:szCs w:val="24"/>
        </w:rPr>
      </w:pPr>
      <w:r w:rsidRPr="0066338B">
        <w:rPr>
          <w:noProof/>
          <w:szCs w:val="24"/>
        </w:rPr>
        <w:drawing>
          <wp:inline distT="0" distB="0" distL="0" distR="0" wp14:anchorId="48B86AD9" wp14:editId="25D8B28C">
            <wp:extent cx="5943600" cy="3343275"/>
            <wp:effectExtent l="0" t="0" r="0" b="0"/>
            <wp:docPr id="214234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48674" name=""/>
                    <pic:cNvPicPr/>
                  </pic:nvPicPr>
                  <pic:blipFill>
                    <a:blip r:embed="rId12"/>
                    <a:stretch>
                      <a:fillRect/>
                    </a:stretch>
                  </pic:blipFill>
                  <pic:spPr>
                    <a:xfrm>
                      <a:off x="0" y="0"/>
                      <a:ext cx="5943600" cy="3343275"/>
                    </a:xfrm>
                    <a:prstGeom prst="rect">
                      <a:avLst/>
                    </a:prstGeom>
                  </pic:spPr>
                </pic:pic>
              </a:graphicData>
            </a:graphic>
          </wp:inline>
        </w:drawing>
      </w:r>
    </w:p>
    <w:p w14:paraId="079D6AD0" w14:textId="77777777" w:rsidR="0076577B" w:rsidRPr="0066338B" w:rsidRDefault="0076577B" w:rsidP="0066338B">
      <w:pPr>
        <w:spacing w:line="360" w:lineRule="auto"/>
        <w:jc w:val="center"/>
        <w:rPr>
          <w:szCs w:val="24"/>
        </w:rPr>
      </w:pPr>
    </w:p>
    <w:p w14:paraId="0E8819AB"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IN"/>
        </w:rPr>
      </w:pPr>
      <w:r w:rsidRPr="0066338B">
        <w:rPr>
          <w:rFonts w:eastAsia="Times New Roman" w:cs="Times New Roman"/>
          <w:kern w:val="24"/>
          <w:szCs w:val="24"/>
        </w:rPr>
        <w:t xml:space="preserve">Emergency services will be included in the overall event management process. It is highly important to understand that the lighting set up is regarded as one of the most important aspects to enhance the overall attractiveness of an event (Allen </w:t>
      </w:r>
      <w:r w:rsidRPr="0066338B">
        <w:rPr>
          <w:rFonts w:eastAsia="Times New Roman" w:cs="Times New Roman"/>
          <w:i/>
          <w:iCs/>
          <w:kern w:val="24"/>
          <w:szCs w:val="24"/>
        </w:rPr>
        <w:t xml:space="preserve">et al. </w:t>
      </w:r>
      <w:r w:rsidRPr="0066338B">
        <w:rPr>
          <w:rFonts w:eastAsia="Times New Roman" w:cs="Times New Roman"/>
          <w:kern w:val="24"/>
          <w:szCs w:val="24"/>
        </w:rPr>
        <w:t xml:space="preserve">2022). In this event high contrast lighting will be used to ensure equality for visually impaired audiences. Live captioning strategy will be utilised to ensure transparency within the presentations and discussions. It is important to recognise the overall characteristics of the venue. The venue should have blood capacity for accommodating multiple activities which are included in this event. The event space should have technology-oriented facilities as well as infrastructure to handle the changing characteristics of the overall event. The hired event management team will include individuals with proper skills and capabilities to handle the diverse requirements of the specific event. </w:t>
      </w:r>
    </w:p>
    <w:p w14:paraId="164D7869" w14:textId="77777777" w:rsidR="0076577B" w:rsidRPr="0066338B" w:rsidRDefault="0076577B" w:rsidP="0066338B">
      <w:pPr>
        <w:autoSpaceDE w:val="0"/>
        <w:autoSpaceDN w:val="0"/>
        <w:adjustRightInd w:val="0"/>
        <w:spacing w:after="0" w:line="360" w:lineRule="auto"/>
        <w:jc w:val="both"/>
        <w:rPr>
          <w:rFonts w:ascii="Aptos" w:hAnsi="Aptos" w:cs="Aptos"/>
          <w:kern w:val="24"/>
          <w:szCs w:val="24"/>
          <w:lang w:val="en-US"/>
        </w:rPr>
      </w:pPr>
    </w:p>
    <w:p w14:paraId="35110BF8"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5968E95F" w14:textId="385CD672" w:rsidR="0076577B" w:rsidRPr="0066338B" w:rsidRDefault="0076577B" w:rsidP="0066338B">
      <w:pPr>
        <w:spacing w:line="360" w:lineRule="auto"/>
        <w:rPr>
          <w:szCs w:val="24"/>
        </w:rPr>
      </w:pPr>
    </w:p>
    <w:p w14:paraId="791D4BE8" w14:textId="73F5EFC6" w:rsidR="0076577B" w:rsidRPr="0066338B" w:rsidRDefault="0076577B" w:rsidP="0066338B">
      <w:pPr>
        <w:spacing w:line="360" w:lineRule="auto"/>
        <w:rPr>
          <w:szCs w:val="24"/>
        </w:rPr>
      </w:pPr>
      <w:r w:rsidRPr="0066338B">
        <w:rPr>
          <w:szCs w:val="24"/>
        </w:rPr>
        <w:lastRenderedPageBreak/>
        <w:t>Slide 9</w:t>
      </w:r>
    </w:p>
    <w:p w14:paraId="3DBD0C10" w14:textId="77777777" w:rsidR="0076577B" w:rsidRPr="0066338B" w:rsidRDefault="0076577B" w:rsidP="0066338B">
      <w:pPr>
        <w:spacing w:line="360" w:lineRule="auto"/>
        <w:rPr>
          <w:szCs w:val="24"/>
        </w:rPr>
      </w:pPr>
    </w:p>
    <w:p w14:paraId="341D32C7" w14:textId="26443D3D" w:rsidR="0076577B" w:rsidRPr="0066338B" w:rsidRDefault="0066338B" w:rsidP="0066338B">
      <w:pPr>
        <w:spacing w:line="360" w:lineRule="auto"/>
        <w:jc w:val="center"/>
        <w:rPr>
          <w:szCs w:val="24"/>
        </w:rPr>
      </w:pPr>
      <w:r w:rsidRPr="0066338B">
        <w:rPr>
          <w:noProof/>
          <w:szCs w:val="24"/>
        </w:rPr>
        <w:drawing>
          <wp:inline distT="0" distB="0" distL="0" distR="0" wp14:anchorId="22EE0A74" wp14:editId="5A487CA6">
            <wp:extent cx="5943600" cy="3343275"/>
            <wp:effectExtent l="0" t="0" r="0" b="0"/>
            <wp:docPr id="179413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30344" name=""/>
                    <pic:cNvPicPr/>
                  </pic:nvPicPr>
                  <pic:blipFill>
                    <a:blip r:embed="rId13"/>
                    <a:stretch>
                      <a:fillRect/>
                    </a:stretch>
                  </pic:blipFill>
                  <pic:spPr>
                    <a:xfrm>
                      <a:off x="0" y="0"/>
                      <a:ext cx="5943600" cy="3343275"/>
                    </a:xfrm>
                    <a:prstGeom prst="rect">
                      <a:avLst/>
                    </a:prstGeom>
                  </pic:spPr>
                </pic:pic>
              </a:graphicData>
            </a:graphic>
          </wp:inline>
        </w:drawing>
      </w:r>
    </w:p>
    <w:p w14:paraId="2FB9E998" w14:textId="77777777" w:rsidR="0076577B" w:rsidRPr="0066338B" w:rsidRDefault="0076577B" w:rsidP="0066338B">
      <w:pPr>
        <w:spacing w:line="360" w:lineRule="auto"/>
        <w:jc w:val="center"/>
        <w:rPr>
          <w:szCs w:val="24"/>
        </w:rPr>
      </w:pPr>
    </w:p>
    <w:p w14:paraId="3CD341F9" w14:textId="77777777" w:rsidR="0076577B" w:rsidRPr="0066338B" w:rsidRDefault="0076577B" w:rsidP="0066338B">
      <w:pPr>
        <w:autoSpaceDE w:val="0"/>
        <w:autoSpaceDN w:val="0"/>
        <w:adjustRightInd w:val="0"/>
        <w:spacing w:after="0" w:line="360" w:lineRule="auto"/>
        <w:jc w:val="both"/>
        <w:rPr>
          <w:rFonts w:ascii="Arial" w:eastAsia="Times New Roman" w:cs="Arial"/>
          <w:kern w:val="24"/>
          <w:szCs w:val="24"/>
          <w:lang w:val="en-US"/>
        </w:rPr>
      </w:pPr>
      <w:r w:rsidRPr="0066338B">
        <w:rPr>
          <w:rFonts w:eastAsia="Times New Roman" w:cs="Times New Roman"/>
          <w:kern w:val="24"/>
          <w:szCs w:val="24"/>
        </w:rPr>
        <w:t xml:space="preserve">Financial characteristics are regarded as one of the most important aspects to ensure the overall profitability of an event (Bladen </w:t>
      </w:r>
      <w:r w:rsidRPr="0066338B">
        <w:rPr>
          <w:rFonts w:eastAsia="Times New Roman" w:cs="Times New Roman"/>
          <w:i/>
          <w:iCs/>
          <w:kern w:val="24"/>
          <w:szCs w:val="24"/>
        </w:rPr>
        <w:t xml:space="preserve">et al. </w:t>
      </w:r>
      <w:r w:rsidRPr="0066338B">
        <w:rPr>
          <w:rFonts w:eastAsia="Times New Roman" w:cs="Times New Roman"/>
          <w:kern w:val="24"/>
          <w:szCs w:val="24"/>
        </w:rPr>
        <w:t xml:space="preserve">2022). Managing a large-scale event is regarded as a complicated task and it is incredibly important to recognise the potential revenue streams in a strategic manner. In this event there are four different funding sources. Marketing team will handle the major responsibilities to collect corporate sponsorship for this event. Based on the view of </w:t>
      </w:r>
      <w:proofErr w:type="spellStart"/>
      <w:r w:rsidRPr="0066338B">
        <w:rPr>
          <w:rFonts w:eastAsia="Times New Roman" w:cs="Times New Roman"/>
          <w:kern w:val="24"/>
          <w:szCs w:val="24"/>
        </w:rPr>
        <w:t>Zavhorodnya</w:t>
      </w:r>
      <w:proofErr w:type="spellEnd"/>
      <w:r w:rsidRPr="0066338B">
        <w:rPr>
          <w:rFonts w:eastAsia="Times New Roman" w:cs="Times New Roman"/>
          <w:kern w:val="24"/>
          <w:szCs w:val="24"/>
        </w:rPr>
        <w:t xml:space="preserve"> and </w:t>
      </w:r>
      <w:proofErr w:type="spellStart"/>
      <w:r w:rsidRPr="0066338B">
        <w:rPr>
          <w:rFonts w:eastAsia="Times New Roman" w:cs="Times New Roman"/>
          <w:kern w:val="24"/>
          <w:szCs w:val="24"/>
        </w:rPr>
        <w:t>Biloshkurska</w:t>
      </w:r>
      <w:proofErr w:type="spellEnd"/>
      <w:r w:rsidRPr="0066338B">
        <w:rPr>
          <w:rFonts w:eastAsia="Times New Roman" w:cs="Times New Roman"/>
          <w:kern w:val="24"/>
          <w:szCs w:val="24"/>
        </w:rPr>
        <w:t xml:space="preserve"> (2024), making partnerships with corporate organisations can be effective to collect valuable sponsorship. This event will make strategic partnerships with assistive technology providers and technology companies. Sponsorship packages will include multiple elements such as exhibition spaces, branding opportunities as well as speaking slots. Providing proper authority as well as opportunities to the corporate sponsors to describe their internal attractiveness can be helpful to generate sufficient investment for organising an event (Dixit </w:t>
      </w:r>
      <w:r w:rsidRPr="0066338B">
        <w:rPr>
          <w:rFonts w:eastAsia="Times New Roman" w:cs="Times New Roman"/>
          <w:i/>
          <w:iCs/>
          <w:kern w:val="24"/>
          <w:szCs w:val="24"/>
        </w:rPr>
        <w:t xml:space="preserve">et al. </w:t>
      </w:r>
      <w:r w:rsidRPr="0066338B">
        <w:rPr>
          <w:rFonts w:eastAsia="Times New Roman" w:cs="Times New Roman"/>
          <w:kern w:val="24"/>
          <w:szCs w:val="24"/>
        </w:rPr>
        <w:t xml:space="preserve">2022). The primary objective of this event is to ensure the concept of inclusivity as well as equality. This event will provide equal opportunity to students and nonprofit organisations to be a part of the valuable outcomes of this event. The entry fees of students and non-profit organisations will </w:t>
      </w:r>
      <w:r w:rsidRPr="0066338B">
        <w:rPr>
          <w:rFonts w:eastAsia="Times New Roman" w:cs="Times New Roman"/>
          <w:kern w:val="24"/>
          <w:szCs w:val="24"/>
        </w:rPr>
        <w:lastRenderedPageBreak/>
        <w:t xml:space="preserve">be lower compared to general tickets. The overall calculation highlights that the projected income of this event will be £65000. </w:t>
      </w:r>
    </w:p>
    <w:p w14:paraId="0F96D011"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4E236A51" w14:textId="77777777" w:rsidR="0076577B" w:rsidRPr="0066338B" w:rsidRDefault="0076577B" w:rsidP="0066338B">
      <w:pPr>
        <w:spacing w:line="360" w:lineRule="auto"/>
        <w:rPr>
          <w:szCs w:val="24"/>
        </w:rPr>
      </w:pPr>
    </w:p>
    <w:p w14:paraId="783C88C0" w14:textId="455727CF" w:rsidR="0076577B" w:rsidRPr="0066338B" w:rsidRDefault="0076577B" w:rsidP="0066338B">
      <w:pPr>
        <w:spacing w:line="360" w:lineRule="auto"/>
        <w:rPr>
          <w:szCs w:val="24"/>
        </w:rPr>
      </w:pPr>
      <w:r w:rsidRPr="0066338B">
        <w:rPr>
          <w:szCs w:val="24"/>
        </w:rPr>
        <w:br w:type="page"/>
      </w:r>
    </w:p>
    <w:p w14:paraId="3B9F05FE" w14:textId="5EB5BA49" w:rsidR="0076577B" w:rsidRPr="0066338B" w:rsidRDefault="0076577B" w:rsidP="0066338B">
      <w:pPr>
        <w:spacing w:line="360" w:lineRule="auto"/>
        <w:rPr>
          <w:szCs w:val="24"/>
        </w:rPr>
      </w:pPr>
      <w:r w:rsidRPr="0066338B">
        <w:rPr>
          <w:szCs w:val="24"/>
        </w:rPr>
        <w:lastRenderedPageBreak/>
        <w:t>Slide 10</w:t>
      </w:r>
    </w:p>
    <w:p w14:paraId="4C4552D8" w14:textId="77777777" w:rsidR="0076577B" w:rsidRPr="0066338B" w:rsidRDefault="0076577B" w:rsidP="0066338B">
      <w:pPr>
        <w:spacing w:line="360" w:lineRule="auto"/>
        <w:rPr>
          <w:szCs w:val="24"/>
        </w:rPr>
      </w:pPr>
    </w:p>
    <w:p w14:paraId="72373B0E" w14:textId="72C01BAA" w:rsidR="0076577B" w:rsidRPr="0066338B" w:rsidRDefault="0066338B" w:rsidP="0066338B">
      <w:pPr>
        <w:spacing w:line="360" w:lineRule="auto"/>
        <w:jc w:val="center"/>
        <w:rPr>
          <w:szCs w:val="24"/>
        </w:rPr>
      </w:pPr>
      <w:r w:rsidRPr="0066338B">
        <w:rPr>
          <w:noProof/>
          <w:szCs w:val="24"/>
        </w:rPr>
        <w:drawing>
          <wp:inline distT="0" distB="0" distL="0" distR="0" wp14:anchorId="4EF24883" wp14:editId="42AD6EAD">
            <wp:extent cx="5943600" cy="3343275"/>
            <wp:effectExtent l="0" t="0" r="0" b="0"/>
            <wp:docPr id="2012806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06210" name=""/>
                    <pic:cNvPicPr/>
                  </pic:nvPicPr>
                  <pic:blipFill>
                    <a:blip r:embed="rId14"/>
                    <a:stretch>
                      <a:fillRect/>
                    </a:stretch>
                  </pic:blipFill>
                  <pic:spPr>
                    <a:xfrm>
                      <a:off x="0" y="0"/>
                      <a:ext cx="5943600" cy="3343275"/>
                    </a:xfrm>
                    <a:prstGeom prst="rect">
                      <a:avLst/>
                    </a:prstGeom>
                  </pic:spPr>
                </pic:pic>
              </a:graphicData>
            </a:graphic>
          </wp:inline>
        </w:drawing>
      </w:r>
    </w:p>
    <w:p w14:paraId="5633B560" w14:textId="77777777" w:rsidR="0076577B" w:rsidRPr="0066338B" w:rsidRDefault="0076577B" w:rsidP="0066338B">
      <w:pPr>
        <w:spacing w:line="360" w:lineRule="auto"/>
        <w:jc w:val="center"/>
        <w:rPr>
          <w:szCs w:val="24"/>
        </w:rPr>
      </w:pPr>
    </w:p>
    <w:p w14:paraId="379B0FF7" w14:textId="77777777" w:rsidR="0076577B" w:rsidRPr="0066338B" w:rsidRDefault="0076577B" w:rsidP="0066338B">
      <w:pPr>
        <w:autoSpaceDE w:val="0"/>
        <w:autoSpaceDN w:val="0"/>
        <w:adjustRightInd w:val="0"/>
        <w:spacing w:after="0" w:line="360" w:lineRule="auto"/>
        <w:jc w:val="both"/>
        <w:rPr>
          <w:rFonts w:ascii="Aptos" w:hAnsi="Aptos" w:cs="Aptos"/>
          <w:kern w:val="24"/>
          <w:szCs w:val="24"/>
          <w:lang w:val="en-US"/>
        </w:rPr>
      </w:pPr>
      <w:r w:rsidRPr="0066338B">
        <w:rPr>
          <w:rFonts w:eastAsia="Times New Roman" w:cs="Times New Roman"/>
          <w:kern w:val="24"/>
          <w:szCs w:val="24"/>
        </w:rPr>
        <w:t xml:space="preserve">From the presentation, it can be concluded that, appropriate marketing strategies are required to generate attraction within the target audience, and it will help to make the event profitable. In addition, this presentation has also demonstrated that providing proper focus on recognising the systematic issues within technology design a special inclusivity as well as accessibility related characteristics is the primary motive of this event. </w:t>
      </w:r>
    </w:p>
    <w:p w14:paraId="52C0501E" w14:textId="77777777" w:rsidR="0076577B" w:rsidRPr="0066338B" w:rsidRDefault="0076577B" w:rsidP="0066338B">
      <w:pPr>
        <w:autoSpaceDE w:val="0"/>
        <w:autoSpaceDN w:val="0"/>
        <w:adjustRightInd w:val="0"/>
        <w:spacing w:after="0" w:line="360" w:lineRule="auto"/>
        <w:rPr>
          <w:rFonts w:ascii="Arial" w:hAnsi="Arial" w:cs="Arial"/>
          <w:kern w:val="0"/>
          <w:szCs w:val="24"/>
          <w:lang w:val="en-US"/>
        </w:rPr>
      </w:pPr>
    </w:p>
    <w:p w14:paraId="6454B0FB" w14:textId="77777777" w:rsidR="0076577B" w:rsidRPr="0066338B" w:rsidRDefault="0076577B" w:rsidP="0066338B">
      <w:pPr>
        <w:spacing w:line="360" w:lineRule="auto"/>
        <w:rPr>
          <w:szCs w:val="24"/>
        </w:rPr>
      </w:pPr>
    </w:p>
    <w:p w14:paraId="2B971E2A" w14:textId="5F6CFD3C" w:rsidR="0076577B" w:rsidRPr="0066338B" w:rsidRDefault="0076577B" w:rsidP="0066338B">
      <w:pPr>
        <w:spacing w:line="360" w:lineRule="auto"/>
        <w:rPr>
          <w:szCs w:val="24"/>
        </w:rPr>
      </w:pPr>
      <w:r w:rsidRPr="0066338B">
        <w:rPr>
          <w:szCs w:val="24"/>
        </w:rPr>
        <w:br w:type="page"/>
      </w:r>
    </w:p>
    <w:p w14:paraId="733BC7AD" w14:textId="576832BB" w:rsidR="0076577B" w:rsidRPr="0066338B" w:rsidRDefault="0076577B" w:rsidP="0066338B">
      <w:pPr>
        <w:spacing w:line="360" w:lineRule="auto"/>
        <w:rPr>
          <w:szCs w:val="24"/>
        </w:rPr>
      </w:pPr>
      <w:r w:rsidRPr="0066338B">
        <w:rPr>
          <w:szCs w:val="24"/>
        </w:rPr>
        <w:lastRenderedPageBreak/>
        <w:t>Slide 11</w:t>
      </w:r>
    </w:p>
    <w:p w14:paraId="6535C9D8" w14:textId="77777777" w:rsidR="0076577B" w:rsidRPr="0066338B" w:rsidRDefault="0076577B" w:rsidP="0066338B">
      <w:pPr>
        <w:spacing w:line="360" w:lineRule="auto"/>
        <w:rPr>
          <w:szCs w:val="24"/>
        </w:rPr>
      </w:pPr>
    </w:p>
    <w:p w14:paraId="547B911D" w14:textId="66A4F82D" w:rsidR="0076577B" w:rsidRPr="0066338B" w:rsidRDefault="0066338B" w:rsidP="0066338B">
      <w:pPr>
        <w:spacing w:line="360" w:lineRule="auto"/>
        <w:jc w:val="center"/>
        <w:rPr>
          <w:szCs w:val="24"/>
        </w:rPr>
      </w:pPr>
      <w:r w:rsidRPr="0066338B">
        <w:rPr>
          <w:noProof/>
          <w:szCs w:val="24"/>
        </w:rPr>
        <w:drawing>
          <wp:inline distT="0" distB="0" distL="0" distR="0" wp14:anchorId="61D1D653" wp14:editId="4DD258D2">
            <wp:extent cx="5943600" cy="3343275"/>
            <wp:effectExtent l="0" t="0" r="0" b="0"/>
            <wp:docPr id="89450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03333" name=""/>
                    <pic:cNvPicPr/>
                  </pic:nvPicPr>
                  <pic:blipFill>
                    <a:blip r:embed="rId15"/>
                    <a:stretch>
                      <a:fillRect/>
                    </a:stretch>
                  </pic:blipFill>
                  <pic:spPr>
                    <a:xfrm>
                      <a:off x="0" y="0"/>
                      <a:ext cx="5943600" cy="3343275"/>
                    </a:xfrm>
                    <a:prstGeom prst="rect">
                      <a:avLst/>
                    </a:prstGeom>
                  </pic:spPr>
                </pic:pic>
              </a:graphicData>
            </a:graphic>
          </wp:inline>
        </w:drawing>
      </w:r>
    </w:p>
    <w:p w14:paraId="4951A71E" w14:textId="77777777" w:rsidR="0066338B" w:rsidRPr="0066338B" w:rsidRDefault="0066338B" w:rsidP="0066338B">
      <w:pPr>
        <w:spacing w:line="360" w:lineRule="auto"/>
        <w:rPr>
          <w:szCs w:val="24"/>
        </w:rPr>
      </w:pPr>
      <w:r w:rsidRPr="0066338B">
        <w:rPr>
          <w:szCs w:val="24"/>
        </w:rPr>
        <w:t xml:space="preserve">Access-board.gov, (2025). </w:t>
      </w:r>
      <w:r w:rsidRPr="0066338B">
        <w:rPr>
          <w:i/>
          <w:iCs/>
          <w:szCs w:val="24"/>
        </w:rPr>
        <w:t>About the ADA Accessibility Standards</w:t>
      </w:r>
      <w:r w:rsidRPr="0066338B">
        <w:rPr>
          <w:szCs w:val="24"/>
        </w:rPr>
        <w:t>. Available at: https://www.access-board.gov/ada/#:~:text=Accessibility%20standards%20issued%20under%20the,set%20by%20the%20Access%20Board. [Accessed on 28.01.2025]</w:t>
      </w:r>
    </w:p>
    <w:p w14:paraId="5C84F773" w14:textId="77777777" w:rsidR="0066338B" w:rsidRPr="0066338B" w:rsidRDefault="0066338B" w:rsidP="0066338B">
      <w:pPr>
        <w:spacing w:line="360" w:lineRule="auto"/>
        <w:rPr>
          <w:szCs w:val="24"/>
        </w:rPr>
      </w:pPr>
      <w:r w:rsidRPr="0066338B">
        <w:rPr>
          <w:szCs w:val="24"/>
        </w:rPr>
        <w:t xml:space="preserve">Ada.gov, (2025). </w:t>
      </w:r>
      <w:r w:rsidRPr="0066338B">
        <w:rPr>
          <w:i/>
          <w:iCs/>
          <w:szCs w:val="24"/>
        </w:rPr>
        <w:t>Guidance on Web Accessibility and the ADA</w:t>
      </w:r>
      <w:r w:rsidRPr="0066338B">
        <w:rPr>
          <w:szCs w:val="24"/>
        </w:rPr>
        <w:t>. Available at: https://www.ada.gov/resources/web-guidance/ [Accessed on 28.01.2025]</w:t>
      </w:r>
    </w:p>
    <w:p w14:paraId="7415D08A" w14:textId="77777777" w:rsidR="0066338B" w:rsidRPr="0066338B" w:rsidRDefault="0066338B" w:rsidP="0066338B">
      <w:pPr>
        <w:spacing w:line="360" w:lineRule="auto"/>
        <w:rPr>
          <w:szCs w:val="24"/>
        </w:rPr>
      </w:pPr>
      <w:r w:rsidRPr="0066338B">
        <w:rPr>
          <w:szCs w:val="24"/>
        </w:rPr>
        <w:t>Akel, G., (2021). Management and marketing events in a digital era: Opportunities and challenges. Impact of ICTs on event management and marketing, pp.105-122.</w:t>
      </w:r>
    </w:p>
    <w:p w14:paraId="03EE2F34" w14:textId="77777777" w:rsidR="0066338B" w:rsidRPr="0066338B" w:rsidRDefault="0066338B" w:rsidP="0066338B">
      <w:pPr>
        <w:spacing w:line="360" w:lineRule="auto"/>
        <w:rPr>
          <w:szCs w:val="24"/>
        </w:rPr>
      </w:pPr>
      <w:r w:rsidRPr="0066338B">
        <w:rPr>
          <w:szCs w:val="24"/>
        </w:rPr>
        <w:t>Allen, J., Harris, R. and Jago, L., (2022). Festival &amp; special event management. John Wiley &amp; Sons.</w:t>
      </w:r>
    </w:p>
    <w:p w14:paraId="6395951C" w14:textId="77777777" w:rsidR="0066338B" w:rsidRPr="0066338B" w:rsidRDefault="0066338B" w:rsidP="0066338B">
      <w:pPr>
        <w:spacing w:line="360" w:lineRule="auto"/>
        <w:rPr>
          <w:szCs w:val="24"/>
        </w:rPr>
      </w:pPr>
      <w:r w:rsidRPr="0066338B">
        <w:rPr>
          <w:szCs w:val="24"/>
        </w:rPr>
        <w:t>Bladen, C., Kennell, J., Abson, E. and Wilde, N., (2022). Events management: An introduction. Routledge.</w:t>
      </w:r>
    </w:p>
    <w:p w14:paraId="7C864E5A" w14:textId="77777777" w:rsidR="0066338B" w:rsidRPr="0066338B" w:rsidRDefault="0066338B" w:rsidP="0066338B">
      <w:pPr>
        <w:spacing w:line="360" w:lineRule="auto"/>
        <w:rPr>
          <w:szCs w:val="24"/>
        </w:rPr>
      </w:pPr>
      <w:r w:rsidRPr="0066338B">
        <w:rPr>
          <w:szCs w:val="24"/>
        </w:rPr>
        <w:lastRenderedPageBreak/>
        <w:t>Dixit, S.K., Chaudhury, R.R. and Abraham, A., (2022). Social media marketing for business events. In The Routledge Handbook of Business Events (pp. 248-259). Routledge.</w:t>
      </w:r>
    </w:p>
    <w:p w14:paraId="4778C436" w14:textId="77777777" w:rsidR="0066338B" w:rsidRPr="0066338B" w:rsidRDefault="0066338B" w:rsidP="0066338B">
      <w:pPr>
        <w:spacing w:line="360" w:lineRule="auto"/>
        <w:rPr>
          <w:szCs w:val="24"/>
        </w:rPr>
      </w:pPr>
      <w:r w:rsidRPr="0066338B">
        <w:rPr>
          <w:szCs w:val="24"/>
        </w:rPr>
        <w:t>Fox, D. et al. (2014) Doing events research: from theory to practice. Routledge: Oxford</w:t>
      </w:r>
    </w:p>
    <w:p w14:paraId="7F0C2CA5" w14:textId="77777777" w:rsidR="0066338B" w:rsidRPr="0066338B" w:rsidRDefault="0066338B" w:rsidP="0066338B">
      <w:pPr>
        <w:spacing w:line="360" w:lineRule="auto"/>
        <w:rPr>
          <w:szCs w:val="24"/>
        </w:rPr>
      </w:pPr>
      <w:r w:rsidRPr="0066338B">
        <w:rPr>
          <w:szCs w:val="24"/>
        </w:rPr>
        <w:t>Getz, D. and Page, S. (2019) Event studies: theory, research, and policy for planned events. 3</w:t>
      </w:r>
      <w:r w:rsidRPr="0066338B">
        <w:rPr>
          <w:szCs w:val="24"/>
          <w:vertAlign w:val="superscript"/>
        </w:rPr>
        <w:t>rd</w:t>
      </w:r>
      <w:r w:rsidRPr="0066338B">
        <w:rPr>
          <w:szCs w:val="24"/>
        </w:rPr>
        <w:t xml:space="preserve"> Edition. Routledge: Oxford</w:t>
      </w:r>
    </w:p>
    <w:p w14:paraId="1119BEC3" w14:textId="77777777" w:rsidR="0066338B" w:rsidRPr="0066338B" w:rsidRDefault="0066338B" w:rsidP="0066338B">
      <w:pPr>
        <w:spacing w:line="360" w:lineRule="auto"/>
        <w:rPr>
          <w:szCs w:val="24"/>
        </w:rPr>
      </w:pPr>
      <w:r w:rsidRPr="0066338B">
        <w:rPr>
          <w:szCs w:val="24"/>
        </w:rPr>
        <w:t>Hoffmann, A.L., (2021). Terms of inclusion: Data, discourse, violence. </w:t>
      </w:r>
      <w:r w:rsidRPr="0066338B">
        <w:rPr>
          <w:i/>
          <w:iCs/>
          <w:szCs w:val="24"/>
        </w:rPr>
        <w:t>New Media &amp; Society</w:t>
      </w:r>
      <w:r w:rsidRPr="0066338B">
        <w:rPr>
          <w:szCs w:val="24"/>
        </w:rPr>
        <w:t>, </w:t>
      </w:r>
      <w:r w:rsidRPr="0066338B">
        <w:rPr>
          <w:i/>
          <w:iCs/>
          <w:szCs w:val="24"/>
        </w:rPr>
        <w:t>23</w:t>
      </w:r>
      <w:r w:rsidRPr="0066338B">
        <w:rPr>
          <w:szCs w:val="24"/>
        </w:rPr>
        <w:t>(12), pp.3539-3556.</w:t>
      </w:r>
    </w:p>
    <w:p w14:paraId="23B80C3E" w14:textId="77777777" w:rsidR="0066338B" w:rsidRPr="0066338B" w:rsidRDefault="0066338B" w:rsidP="0066338B">
      <w:pPr>
        <w:spacing w:line="360" w:lineRule="auto"/>
        <w:rPr>
          <w:szCs w:val="24"/>
        </w:rPr>
      </w:pPr>
      <w:proofErr w:type="spellStart"/>
      <w:r w:rsidRPr="0066338B">
        <w:rPr>
          <w:szCs w:val="24"/>
        </w:rPr>
        <w:t>Khoshmanesh</w:t>
      </w:r>
      <w:proofErr w:type="spellEnd"/>
      <w:r w:rsidRPr="0066338B">
        <w:rPr>
          <w:szCs w:val="24"/>
        </w:rPr>
        <w:t xml:space="preserve">, F., Thurgood, P., </w:t>
      </w:r>
      <w:proofErr w:type="spellStart"/>
      <w:r w:rsidRPr="0066338B">
        <w:rPr>
          <w:szCs w:val="24"/>
        </w:rPr>
        <w:t>Pirogova</w:t>
      </w:r>
      <w:proofErr w:type="spellEnd"/>
      <w:r w:rsidRPr="0066338B">
        <w:rPr>
          <w:szCs w:val="24"/>
        </w:rPr>
        <w:t xml:space="preserve">, E., </w:t>
      </w:r>
      <w:proofErr w:type="spellStart"/>
      <w:r w:rsidRPr="0066338B">
        <w:rPr>
          <w:szCs w:val="24"/>
        </w:rPr>
        <w:t>Nahavandi</w:t>
      </w:r>
      <w:proofErr w:type="spellEnd"/>
      <w:r w:rsidRPr="0066338B">
        <w:rPr>
          <w:szCs w:val="24"/>
        </w:rPr>
        <w:t xml:space="preserve">, S. and </w:t>
      </w:r>
      <w:proofErr w:type="spellStart"/>
      <w:r w:rsidRPr="0066338B">
        <w:rPr>
          <w:szCs w:val="24"/>
        </w:rPr>
        <w:t>Baratchi</w:t>
      </w:r>
      <w:proofErr w:type="spellEnd"/>
      <w:r w:rsidRPr="0066338B">
        <w:rPr>
          <w:szCs w:val="24"/>
        </w:rPr>
        <w:t>, S., (2021). Wearable sensors: At the frontier of personalised health monitoring, smart prosthetics, and assistive technologies. </w:t>
      </w:r>
      <w:r w:rsidRPr="0066338B">
        <w:rPr>
          <w:i/>
          <w:iCs/>
          <w:szCs w:val="24"/>
        </w:rPr>
        <w:t>Biosensors and Bioelectronics</w:t>
      </w:r>
      <w:r w:rsidRPr="0066338B">
        <w:rPr>
          <w:szCs w:val="24"/>
        </w:rPr>
        <w:t>, </w:t>
      </w:r>
      <w:r w:rsidRPr="0066338B">
        <w:rPr>
          <w:i/>
          <w:iCs/>
          <w:szCs w:val="24"/>
        </w:rPr>
        <w:t>176</w:t>
      </w:r>
      <w:r w:rsidRPr="0066338B">
        <w:rPr>
          <w:szCs w:val="24"/>
        </w:rPr>
        <w:t>, p.112946.</w:t>
      </w:r>
    </w:p>
    <w:p w14:paraId="66BA7259" w14:textId="77777777" w:rsidR="0066338B" w:rsidRPr="0066338B" w:rsidRDefault="0066338B" w:rsidP="0066338B">
      <w:pPr>
        <w:spacing w:line="360" w:lineRule="auto"/>
        <w:rPr>
          <w:szCs w:val="24"/>
        </w:rPr>
      </w:pPr>
      <w:r w:rsidRPr="0066338B">
        <w:rPr>
          <w:szCs w:val="24"/>
        </w:rPr>
        <w:t>McNicholl, A., Casey, H., Desmond, D. and Gallagher, P., (2021). The impact of assistive technology use for students with disabilities in higher education: a systematic review. </w:t>
      </w:r>
      <w:r w:rsidRPr="0066338B">
        <w:rPr>
          <w:i/>
          <w:iCs/>
          <w:szCs w:val="24"/>
        </w:rPr>
        <w:t>Disability and rehabilitation: assistive Technology</w:t>
      </w:r>
      <w:r w:rsidRPr="0066338B">
        <w:rPr>
          <w:szCs w:val="24"/>
        </w:rPr>
        <w:t>, </w:t>
      </w:r>
      <w:r w:rsidRPr="0066338B">
        <w:rPr>
          <w:i/>
          <w:iCs/>
          <w:szCs w:val="24"/>
        </w:rPr>
        <w:t>16</w:t>
      </w:r>
      <w:r w:rsidRPr="0066338B">
        <w:rPr>
          <w:szCs w:val="24"/>
        </w:rPr>
        <w:t>(2), pp.130-143.</w:t>
      </w:r>
    </w:p>
    <w:p w14:paraId="19C1B9A5" w14:textId="77777777" w:rsidR="0066338B" w:rsidRPr="0066338B" w:rsidRDefault="0066338B" w:rsidP="0066338B">
      <w:pPr>
        <w:spacing w:line="360" w:lineRule="auto"/>
        <w:rPr>
          <w:szCs w:val="24"/>
        </w:rPr>
      </w:pPr>
      <w:r w:rsidRPr="0066338B">
        <w:rPr>
          <w:szCs w:val="24"/>
        </w:rPr>
        <w:t>Meredith, J. (2022). Project management: a managerial approach</w:t>
      </w:r>
    </w:p>
    <w:p w14:paraId="37FBA557" w14:textId="77777777" w:rsidR="0066338B" w:rsidRPr="0066338B" w:rsidRDefault="0066338B" w:rsidP="0066338B">
      <w:pPr>
        <w:spacing w:line="360" w:lineRule="auto"/>
        <w:rPr>
          <w:szCs w:val="24"/>
        </w:rPr>
      </w:pPr>
      <w:r w:rsidRPr="0066338B">
        <w:rPr>
          <w:szCs w:val="24"/>
        </w:rPr>
        <w:t>Rogers, T. Wynn-Moylan, P (2022) Conferences and conventions: a global industry. 4th Edition. Routledge: Oxford</w:t>
      </w:r>
    </w:p>
    <w:p w14:paraId="4C02CF80" w14:textId="77777777" w:rsidR="0066338B" w:rsidRPr="0066338B" w:rsidRDefault="0066338B" w:rsidP="0066338B">
      <w:pPr>
        <w:spacing w:line="360" w:lineRule="auto"/>
        <w:rPr>
          <w:szCs w:val="24"/>
        </w:rPr>
      </w:pPr>
      <w:r w:rsidRPr="0066338B">
        <w:rPr>
          <w:szCs w:val="24"/>
        </w:rPr>
        <w:t xml:space="preserve">Sanjose.org, (2025). </w:t>
      </w:r>
      <w:r w:rsidRPr="0066338B">
        <w:rPr>
          <w:i/>
          <w:iCs/>
          <w:szCs w:val="24"/>
        </w:rPr>
        <w:t>Silicon Valley Tech Tours</w:t>
      </w:r>
      <w:r w:rsidRPr="0066338B">
        <w:rPr>
          <w:szCs w:val="24"/>
        </w:rPr>
        <w:t>. Available at: https://www.sanjose.org/attraction/silicon-valley-tech-tours#:~:text=San%20Jose%2C%20the%20Capital%20of,%2C%20Intel%2C%20and%20many%20others. [Accessed on 28.01.2025]</w:t>
      </w:r>
    </w:p>
    <w:p w14:paraId="22DF33A0" w14:textId="77777777" w:rsidR="0066338B" w:rsidRPr="0066338B" w:rsidRDefault="0066338B" w:rsidP="0066338B">
      <w:pPr>
        <w:spacing w:line="360" w:lineRule="auto"/>
        <w:rPr>
          <w:szCs w:val="24"/>
        </w:rPr>
      </w:pPr>
      <w:proofErr w:type="spellStart"/>
      <w:r w:rsidRPr="0066338B">
        <w:rPr>
          <w:szCs w:val="24"/>
        </w:rPr>
        <w:t>Siliconvalley.center</w:t>
      </w:r>
      <w:proofErr w:type="spellEnd"/>
      <w:r w:rsidRPr="0066338B">
        <w:rPr>
          <w:szCs w:val="24"/>
        </w:rPr>
        <w:t xml:space="preserve">, (2025). </w:t>
      </w:r>
      <w:r w:rsidRPr="0066338B">
        <w:rPr>
          <w:i/>
          <w:iCs/>
          <w:szCs w:val="24"/>
        </w:rPr>
        <w:t>HOST YOUR SILICON VALLEY EXECUTIVE LEADERSHIP SUMMIT</w:t>
      </w:r>
      <w:r w:rsidRPr="0066338B">
        <w:rPr>
          <w:szCs w:val="24"/>
        </w:rPr>
        <w:t>. Available at: https://siliconvalley.center/corporate-training/conference-design-and-organization [Accessed on 28.01.2025]</w:t>
      </w:r>
    </w:p>
    <w:p w14:paraId="67CC3799" w14:textId="77777777" w:rsidR="0066338B" w:rsidRPr="0066338B" w:rsidRDefault="0066338B" w:rsidP="0066338B">
      <w:pPr>
        <w:spacing w:line="360" w:lineRule="auto"/>
        <w:rPr>
          <w:szCs w:val="24"/>
        </w:rPr>
      </w:pPr>
      <w:r w:rsidRPr="0066338B">
        <w:rPr>
          <w:szCs w:val="24"/>
        </w:rPr>
        <w:t>Smith, A. (2012) Events and urban regeneration: the strategic use of events to revitalise cities. Routledge: Oxford</w:t>
      </w:r>
    </w:p>
    <w:p w14:paraId="207DC472" w14:textId="77777777" w:rsidR="0066338B" w:rsidRPr="0066338B" w:rsidRDefault="0066338B" w:rsidP="0066338B">
      <w:pPr>
        <w:spacing w:line="360" w:lineRule="auto"/>
        <w:rPr>
          <w:szCs w:val="24"/>
        </w:rPr>
      </w:pPr>
      <w:r w:rsidRPr="0066338B">
        <w:rPr>
          <w:szCs w:val="24"/>
        </w:rPr>
        <w:lastRenderedPageBreak/>
        <w:t>Svensson, I., Nordström, T., Lindeblad, E., Gustafson, S., Björn, M., Sand, C., Almgren/Bäck, G. and Nilsson, S., (2021). Effects of assistive technology for students with reading and writing disabilities. Disability and Rehabilitation: Assistive Technology, 16(2), pp.196-208.</w:t>
      </w:r>
    </w:p>
    <w:p w14:paraId="13E6176B" w14:textId="77777777" w:rsidR="0066338B" w:rsidRPr="0066338B" w:rsidRDefault="0066338B" w:rsidP="0066338B">
      <w:pPr>
        <w:spacing w:line="360" w:lineRule="auto"/>
        <w:rPr>
          <w:szCs w:val="24"/>
        </w:rPr>
      </w:pPr>
      <w:r w:rsidRPr="0066338B">
        <w:rPr>
          <w:szCs w:val="24"/>
        </w:rPr>
        <w:t xml:space="preserve">Visionservealliance.org, (2025). </w:t>
      </w:r>
      <w:r w:rsidRPr="0066338B">
        <w:rPr>
          <w:i/>
          <w:iCs/>
          <w:szCs w:val="24"/>
        </w:rPr>
        <w:t>About Us</w:t>
      </w:r>
      <w:r w:rsidRPr="0066338B">
        <w:rPr>
          <w:szCs w:val="24"/>
        </w:rPr>
        <w:t>. Available at: https://visionservealliance.org/mc-events/40th-annual-csun-assistive-technology-conference/?mc_id=577&amp;gad_source=1&amp;gclid=CjwKCAiAneK8BhAVEiwAoy2HYT4JDLyL_iviVBEyyayzqvKmWCQUY6qcpiLBZMRD1oWGRaaSnd9TOBoCw04QAvD_BwE [Accessed on 28.01.2025]</w:t>
      </w:r>
    </w:p>
    <w:p w14:paraId="7D1D1AB7" w14:textId="77777777" w:rsidR="0066338B" w:rsidRPr="0066338B" w:rsidRDefault="0066338B" w:rsidP="0066338B">
      <w:pPr>
        <w:spacing w:line="360" w:lineRule="auto"/>
        <w:rPr>
          <w:szCs w:val="24"/>
        </w:rPr>
      </w:pPr>
      <w:r w:rsidRPr="0066338B">
        <w:rPr>
          <w:szCs w:val="24"/>
        </w:rPr>
        <w:t xml:space="preserve">Who.int, (2025). </w:t>
      </w:r>
      <w:r w:rsidRPr="0066338B">
        <w:rPr>
          <w:i/>
          <w:iCs/>
          <w:szCs w:val="24"/>
        </w:rPr>
        <w:t>Assistive technology</w:t>
      </w:r>
      <w:r w:rsidRPr="0066338B">
        <w:rPr>
          <w:szCs w:val="24"/>
        </w:rPr>
        <w:t>. Available at: https://www.who.int/news-room/fact-sheets/detail/assistive-technology#:~:text=Globally%2C%20more%20than%202.5%20billion,not%20have%20access%20to%20it. [Accessed on 28.01.2025]</w:t>
      </w:r>
    </w:p>
    <w:p w14:paraId="6096DD2F" w14:textId="77777777" w:rsidR="0066338B" w:rsidRPr="0066338B" w:rsidRDefault="0066338B" w:rsidP="0066338B">
      <w:pPr>
        <w:spacing w:line="360" w:lineRule="auto"/>
        <w:rPr>
          <w:szCs w:val="24"/>
        </w:rPr>
      </w:pPr>
      <w:proofErr w:type="spellStart"/>
      <w:r w:rsidRPr="0066338B">
        <w:rPr>
          <w:szCs w:val="24"/>
        </w:rPr>
        <w:t>Zavhorodnya</w:t>
      </w:r>
      <w:proofErr w:type="spellEnd"/>
      <w:r w:rsidRPr="0066338B">
        <w:rPr>
          <w:szCs w:val="24"/>
        </w:rPr>
        <w:t xml:space="preserve">, L. and </w:t>
      </w:r>
      <w:proofErr w:type="spellStart"/>
      <w:r w:rsidRPr="0066338B">
        <w:rPr>
          <w:szCs w:val="24"/>
        </w:rPr>
        <w:t>Biloshkurska</w:t>
      </w:r>
      <w:proofErr w:type="spellEnd"/>
      <w:r w:rsidRPr="0066338B">
        <w:rPr>
          <w:szCs w:val="24"/>
        </w:rPr>
        <w:t>, N., (2024). Event marketing as an innovative sales tool.</w:t>
      </w:r>
    </w:p>
    <w:p w14:paraId="5DC3C8C7" w14:textId="77777777" w:rsidR="0066338B" w:rsidRPr="0066338B" w:rsidRDefault="0066338B" w:rsidP="0066338B">
      <w:pPr>
        <w:spacing w:line="360" w:lineRule="auto"/>
        <w:jc w:val="center"/>
        <w:rPr>
          <w:szCs w:val="24"/>
        </w:rPr>
      </w:pPr>
    </w:p>
    <w:p w14:paraId="2C18092C" w14:textId="77777777" w:rsidR="0076577B" w:rsidRPr="0066338B" w:rsidRDefault="0076577B" w:rsidP="0066338B">
      <w:pPr>
        <w:spacing w:line="360" w:lineRule="auto"/>
        <w:jc w:val="center"/>
        <w:rPr>
          <w:szCs w:val="24"/>
        </w:rPr>
      </w:pPr>
    </w:p>
    <w:p w14:paraId="65FCEB8D" w14:textId="77777777" w:rsidR="0076577B" w:rsidRPr="0066338B" w:rsidRDefault="0076577B" w:rsidP="0066338B">
      <w:pPr>
        <w:spacing w:line="360" w:lineRule="auto"/>
        <w:rPr>
          <w:szCs w:val="24"/>
        </w:rPr>
      </w:pPr>
    </w:p>
    <w:p w14:paraId="2543D7E6" w14:textId="77777777" w:rsidR="0076577B" w:rsidRPr="0066338B" w:rsidRDefault="0076577B" w:rsidP="0066338B">
      <w:pPr>
        <w:spacing w:line="360" w:lineRule="auto"/>
        <w:rPr>
          <w:szCs w:val="24"/>
        </w:rPr>
      </w:pPr>
    </w:p>
    <w:sectPr w:rsidR="0076577B" w:rsidRPr="006633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5C8F78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11.25pt;height:11.25pt;visibility:visible;mso-wrap-style:square">
            <v:imagedata r:id="rId1" o:title="msoFA97"/>
          </v:shape>
        </w:pict>
      </mc:Choice>
      <mc:Fallback>
        <w:drawing>
          <wp:inline distT="0" distB="0" distL="0" distR="0" wp14:anchorId="505349EE" wp14:editId="264807F4">
            <wp:extent cx="142875" cy="142875"/>
            <wp:effectExtent l="0" t="0" r="9525" b="9525"/>
            <wp:docPr id="1532189487" name="Picture 2" descr="C:\Users\malia\AppData\Local\Temp\msoFA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86313" name="Picture 1924886313" descr="C:\Users\malia\AppData\Local\Temp\msoFA97.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299A22DF"/>
    <w:multiLevelType w:val="hybridMultilevel"/>
    <w:tmpl w:val="F15AAC5E"/>
    <w:lvl w:ilvl="0" w:tplc="058C1B12">
      <w:start w:val="1"/>
      <w:numFmt w:val="bullet"/>
      <w:lvlText w:val="•"/>
      <w:lvlJc w:val="left"/>
      <w:pPr>
        <w:tabs>
          <w:tab w:val="num" w:pos="720"/>
        </w:tabs>
        <w:ind w:left="720" w:hanging="360"/>
      </w:pPr>
      <w:rPr>
        <w:rFonts w:ascii="Arial" w:hAnsi="Arial" w:hint="default"/>
      </w:rPr>
    </w:lvl>
    <w:lvl w:ilvl="1" w:tplc="E8A23AD8" w:tentative="1">
      <w:start w:val="1"/>
      <w:numFmt w:val="bullet"/>
      <w:lvlText w:val="•"/>
      <w:lvlJc w:val="left"/>
      <w:pPr>
        <w:tabs>
          <w:tab w:val="num" w:pos="1440"/>
        </w:tabs>
        <w:ind w:left="1440" w:hanging="360"/>
      </w:pPr>
      <w:rPr>
        <w:rFonts w:ascii="Arial" w:hAnsi="Arial" w:hint="default"/>
      </w:rPr>
    </w:lvl>
    <w:lvl w:ilvl="2" w:tplc="E68C3DE4" w:tentative="1">
      <w:start w:val="1"/>
      <w:numFmt w:val="bullet"/>
      <w:lvlText w:val="•"/>
      <w:lvlJc w:val="left"/>
      <w:pPr>
        <w:tabs>
          <w:tab w:val="num" w:pos="2160"/>
        </w:tabs>
        <w:ind w:left="2160" w:hanging="360"/>
      </w:pPr>
      <w:rPr>
        <w:rFonts w:ascii="Arial" w:hAnsi="Arial" w:hint="default"/>
      </w:rPr>
    </w:lvl>
    <w:lvl w:ilvl="3" w:tplc="C9BEF1FC" w:tentative="1">
      <w:start w:val="1"/>
      <w:numFmt w:val="bullet"/>
      <w:lvlText w:val="•"/>
      <w:lvlJc w:val="left"/>
      <w:pPr>
        <w:tabs>
          <w:tab w:val="num" w:pos="2880"/>
        </w:tabs>
        <w:ind w:left="2880" w:hanging="360"/>
      </w:pPr>
      <w:rPr>
        <w:rFonts w:ascii="Arial" w:hAnsi="Arial" w:hint="default"/>
      </w:rPr>
    </w:lvl>
    <w:lvl w:ilvl="4" w:tplc="E9B8E704" w:tentative="1">
      <w:start w:val="1"/>
      <w:numFmt w:val="bullet"/>
      <w:lvlText w:val="•"/>
      <w:lvlJc w:val="left"/>
      <w:pPr>
        <w:tabs>
          <w:tab w:val="num" w:pos="3600"/>
        </w:tabs>
        <w:ind w:left="3600" w:hanging="360"/>
      </w:pPr>
      <w:rPr>
        <w:rFonts w:ascii="Arial" w:hAnsi="Arial" w:hint="default"/>
      </w:rPr>
    </w:lvl>
    <w:lvl w:ilvl="5" w:tplc="1DBE7BD2" w:tentative="1">
      <w:start w:val="1"/>
      <w:numFmt w:val="bullet"/>
      <w:lvlText w:val="•"/>
      <w:lvlJc w:val="left"/>
      <w:pPr>
        <w:tabs>
          <w:tab w:val="num" w:pos="4320"/>
        </w:tabs>
        <w:ind w:left="4320" w:hanging="360"/>
      </w:pPr>
      <w:rPr>
        <w:rFonts w:ascii="Arial" w:hAnsi="Arial" w:hint="default"/>
      </w:rPr>
    </w:lvl>
    <w:lvl w:ilvl="6" w:tplc="8BB400B2" w:tentative="1">
      <w:start w:val="1"/>
      <w:numFmt w:val="bullet"/>
      <w:lvlText w:val="•"/>
      <w:lvlJc w:val="left"/>
      <w:pPr>
        <w:tabs>
          <w:tab w:val="num" w:pos="5040"/>
        </w:tabs>
        <w:ind w:left="5040" w:hanging="360"/>
      </w:pPr>
      <w:rPr>
        <w:rFonts w:ascii="Arial" w:hAnsi="Arial" w:hint="default"/>
      </w:rPr>
    </w:lvl>
    <w:lvl w:ilvl="7" w:tplc="2AC08FFE" w:tentative="1">
      <w:start w:val="1"/>
      <w:numFmt w:val="bullet"/>
      <w:lvlText w:val="•"/>
      <w:lvlJc w:val="left"/>
      <w:pPr>
        <w:tabs>
          <w:tab w:val="num" w:pos="5760"/>
        </w:tabs>
        <w:ind w:left="5760" w:hanging="360"/>
      </w:pPr>
      <w:rPr>
        <w:rFonts w:ascii="Arial" w:hAnsi="Arial" w:hint="default"/>
      </w:rPr>
    </w:lvl>
    <w:lvl w:ilvl="8" w:tplc="8B642160" w:tentative="1">
      <w:start w:val="1"/>
      <w:numFmt w:val="bullet"/>
      <w:lvlText w:val="•"/>
      <w:lvlJc w:val="left"/>
      <w:pPr>
        <w:tabs>
          <w:tab w:val="num" w:pos="6480"/>
        </w:tabs>
        <w:ind w:left="6480" w:hanging="360"/>
      </w:pPr>
      <w:rPr>
        <w:rFonts w:ascii="Arial" w:hAnsi="Arial" w:hint="default"/>
      </w:rPr>
    </w:lvl>
  </w:abstractNum>
  <w:num w:numId="1" w16cid:durableId="1420323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7B"/>
    <w:rsid w:val="000358E5"/>
    <w:rsid w:val="001C1A34"/>
    <w:rsid w:val="001C78CC"/>
    <w:rsid w:val="00207DB8"/>
    <w:rsid w:val="00237F5E"/>
    <w:rsid w:val="003521FD"/>
    <w:rsid w:val="0066338B"/>
    <w:rsid w:val="006709A5"/>
    <w:rsid w:val="0073482E"/>
    <w:rsid w:val="0076577B"/>
    <w:rsid w:val="008C5215"/>
    <w:rsid w:val="009011A0"/>
    <w:rsid w:val="00A54AA2"/>
    <w:rsid w:val="00AA3459"/>
    <w:rsid w:val="00B07C9B"/>
    <w:rsid w:val="00C12B4A"/>
    <w:rsid w:val="00C50926"/>
    <w:rsid w:val="00FF2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FC9C6"/>
  <w15:chartTrackingRefBased/>
  <w15:docId w15:val="{6652173F-0B8B-4E47-8972-0E45F9B5F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657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57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57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7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57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57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57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57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57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77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6577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6577B"/>
    <w:rPr>
      <w:rFonts w:asciiTheme="minorHAnsi" w:eastAsiaTheme="majorEastAsia" w:hAnsiTheme="minorHAnsi"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6577B"/>
    <w:rPr>
      <w:rFonts w:asciiTheme="minorHAnsi" w:eastAsiaTheme="majorEastAsia" w:hAnsiTheme="minorHAnsi"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6577B"/>
    <w:rPr>
      <w:rFonts w:asciiTheme="minorHAnsi" w:eastAsiaTheme="majorEastAsia" w:hAnsiTheme="minorHAnsi" w:cstheme="majorBidi"/>
      <w:color w:val="0F4761" w:themeColor="accent1" w:themeShade="BF"/>
      <w:lang w:val="en-GB"/>
    </w:rPr>
  </w:style>
  <w:style w:type="character" w:customStyle="1" w:styleId="Heading6Char">
    <w:name w:val="Heading 6 Char"/>
    <w:basedOn w:val="DefaultParagraphFont"/>
    <w:link w:val="Heading6"/>
    <w:uiPriority w:val="9"/>
    <w:semiHidden/>
    <w:rsid w:val="0076577B"/>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6577B"/>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76577B"/>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6577B"/>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765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77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657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77B"/>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6577B"/>
    <w:pPr>
      <w:spacing w:before="160"/>
      <w:jc w:val="center"/>
    </w:pPr>
    <w:rPr>
      <w:i/>
      <w:iCs/>
      <w:color w:val="404040" w:themeColor="text1" w:themeTint="BF"/>
    </w:rPr>
  </w:style>
  <w:style w:type="character" w:customStyle="1" w:styleId="QuoteChar">
    <w:name w:val="Quote Char"/>
    <w:basedOn w:val="DefaultParagraphFont"/>
    <w:link w:val="Quote"/>
    <w:uiPriority w:val="29"/>
    <w:rsid w:val="0076577B"/>
    <w:rPr>
      <w:i/>
      <w:iCs/>
      <w:color w:val="404040" w:themeColor="text1" w:themeTint="BF"/>
      <w:lang w:val="en-GB"/>
    </w:rPr>
  </w:style>
  <w:style w:type="paragraph" w:styleId="ListParagraph">
    <w:name w:val="List Paragraph"/>
    <w:basedOn w:val="Normal"/>
    <w:uiPriority w:val="34"/>
    <w:qFormat/>
    <w:rsid w:val="0076577B"/>
    <w:pPr>
      <w:ind w:left="720"/>
      <w:contextualSpacing/>
    </w:pPr>
  </w:style>
  <w:style w:type="character" w:styleId="IntenseEmphasis">
    <w:name w:val="Intense Emphasis"/>
    <w:basedOn w:val="DefaultParagraphFont"/>
    <w:uiPriority w:val="21"/>
    <w:qFormat/>
    <w:rsid w:val="0076577B"/>
    <w:rPr>
      <w:i/>
      <w:iCs/>
      <w:color w:val="0F4761" w:themeColor="accent1" w:themeShade="BF"/>
    </w:rPr>
  </w:style>
  <w:style w:type="paragraph" w:styleId="IntenseQuote">
    <w:name w:val="Intense Quote"/>
    <w:basedOn w:val="Normal"/>
    <w:next w:val="Normal"/>
    <w:link w:val="IntenseQuoteChar"/>
    <w:uiPriority w:val="30"/>
    <w:qFormat/>
    <w:rsid w:val="00765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77B"/>
    <w:rPr>
      <w:i/>
      <w:iCs/>
      <w:color w:val="0F4761" w:themeColor="accent1" w:themeShade="BF"/>
      <w:lang w:val="en-GB"/>
    </w:rPr>
  </w:style>
  <w:style w:type="character" w:styleId="IntenseReference">
    <w:name w:val="Intense Reference"/>
    <w:basedOn w:val="DefaultParagraphFont"/>
    <w:uiPriority w:val="32"/>
    <w:qFormat/>
    <w:rsid w:val="0076577B"/>
    <w:rPr>
      <w:b/>
      <w:bCs/>
      <w:smallCaps/>
      <w:color w:val="0F4761" w:themeColor="accent1" w:themeShade="BF"/>
      <w:spacing w:val="5"/>
    </w:rPr>
  </w:style>
  <w:style w:type="paragraph" w:styleId="NoSpacing">
    <w:name w:val="No Spacing"/>
    <w:uiPriority w:val="1"/>
    <w:qFormat/>
    <w:rsid w:val="00B07C9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12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6.emf"/><Relationship Id="rId13" Type="http://schemas.openxmlformats.org/officeDocument/2006/relationships/image" Target="media/image11.emf"/><Relationship Id="rId3" Type="http://schemas.openxmlformats.org/officeDocument/2006/relationships/settings" Target="settings.xml"/><Relationship Id="rId7" Type="http://schemas.openxmlformats.org/officeDocument/2006/relationships/image" Target="media/image5.emf"/><Relationship Id="rId12" Type="http://schemas.openxmlformats.org/officeDocument/2006/relationships/image" Target="media/image10.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4.emf"/><Relationship Id="rId11" Type="http://schemas.openxmlformats.org/officeDocument/2006/relationships/image" Target="media/image9.emf"/><Relationship Id="rId5" Type="http://schemas.openxmlformats.org/officeDocument/2006/relationships/image" Target="media/image3.emf"/><Relationship Id="rId15" Type="http://schemas.openxmlformats.org/officeDocument/2006/relationships/image" Target="media/image13.emf"/><Relationship Id="rId10"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7.emf"/><Relationship Id="rId14" Type="http://schemas.openxmlformats.org/officeDocument/2006/relationships/image" Target="media/image12.emf"/></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1515</Words>
  <Characters>8637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_user_ _user_</dc:creator>
  <cp:keywords/>
  <dc:description/>
  <cp:lastModifiedBy>Diana Valerica Paul (2221008)</cp:lastModifiedBy>
  <cp:revision>2</cp:revision>
  <dcterms:created xsi:type="dcterms:W3CDTF">2025-02-04T21:16:00Z</dcterms:created>
  <dcterms:modified xsi:type="dcterms:W3CDTF">2025-02-04T21:16:00Z</dcterms:modified>
</cp:coreProperties>
</file>