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36EF" w:rsidRDefault="00D10A24">
      <w:pPr>
        <w:rPr>
          <w:sz w:val="24"/>
          <w:u w:val="single"/>
        </w:rPr>
      </w:pPr>
      <w:r w:rsidRPr="00D10A24">
        <w:rPr>
          <w:sz w:val="24"/>
          <w:u w:val="single"/>
        </w:rPr>
        <w:t>Journal Article Analysis (2000 words)</w:t>
      </w:r>
    </w:p>
    <w:p w:rsidR="007335EF" w:rsidRDefault="006A5981">
      <w:r>
        <w:t xml:space="preserve">Dewey’s article titled “Military Recruiting and the British Labour </w:t>
      </w:r>
      <w:r w:rsidR="0070538A">
        <w:t>Force During the First World War</w:t>
      </w:r>
      <w:r>
        <w:t>”</w:t>
      </w:r>
      <w:r w:rsidR="0070538A">
        <w:rPr>
          <w:rStyle w:val="FootnoteReference"/>
        </w:rPr>
        <w:footnoteReference w:id="1"/>
      </w:r>
      <w:r w:rsidR="0070538A">
        <w:t xml:space="preserve"> was published in 1984 as part of ‘The Historical Journal’ edited</w:t>
      </w:r>
      <w:r w:rsidR="00B317CD">
        <w:t xml:space="preserve"> by the History Faculty at the U</w:t>
      </w:r>
      <w:r w:rsidR="0070538A">
        <w:t>niversity of Cambridge.</w:t>
      </w:r>
      <w:r w:rsidR="00B317CD">
        <w:t xml:space="preserve"> </w:t>
      </w:r>
      <w:r w:rsidR="00333D23">
        <w:t>Dewey himself, of the Royal Holloway College, University of London</w:t>
      </w:r>
      <w:r w:rsidR="005626EC">
        <w:t xml:space="preserve">, </w:t>
      </w:r>
      <w:r w:rsidR="005626EC" w:rsidRPr="0056203D">
        <w:t>published multiple articles focusing on both British industry as well as governmental policy during the First World War</w:t>
      </w:r>
      <w:r w:rsidR="009D38F0" w:rsidRPr="0056203D">
        <w:rPr>
          <w:rStyle w:val="FootnoteReference"/>
        </w:rPr>
        <w:footnoteReference w:id="2"/>
      </w:r>
      <w:r w:rsidR="009D38F0" w:rsidRPr="0056203D">
        <w:rPr>
          <w:rStyle w:val="FootnoteReference"/>
        </w:rPr>
        <w:footnoteReference w:id="3"/>
      </w:r>
      <w:r w:rsidR="005626EC" w:rsidRPr="0056203D">
        <w:t>. Of these works, the agricultura</w:t>
      </w:r>
      <w:r w:rsidR="009D38F0" w:rsidRPr="0056203D">
        <w:t xml:space="preserve">l sector often holds prominence, all of which tying into the article </w:t>
      </w:r>
      <w:r w:rsidR="000F06E8" w:rsidRPr="0056203D">
        <w:t>that</w:t>
      </w:r>
      <w:r w:rsidR="009D38F0" w:rsidRPr="0056203D">
        <w:t xml:space="preserve"> is the focus of this analysis.</w:t>
      </w:r>
      <w:r w:rsidR="00CF025B" w:rsidRPr="0056203D">
        <w:t xml:space="preserve"> In such an article Dewey proposes two theses, the first of which being that “recruiting, both before and after the introduction of conscription, differed widely in its impact upon different </w:t>
      </w:r>
      <w:r w:rsidR="000F06E8" w:rsidRPr="0056203D">
        <w:t>industries</w:t>
      </w:r>
      <w:r w:rsidR="00CF025B" w:rsidRPr="0056203D">
        <w:t>”</w:t>
      </w:r>
      <w:r w:rsidR="00D70A2C" w:rsidRPr="0056203D">
        <w:rPr>
          <w:rStyle w:val="FootnoteReference"/>
        </w:rPr>
        <w:footnoteReference w:id="4"/>
      </w:r>
      <w:r w:rsidR="00CF025B" w:rsidRPr="0056203D">
        <w:t>. Secondly, that “the most important factors effecting recruitment were not only generalised ones such as patriotism, but also more specific ones – economic, demographic, medical and institutional”</w:t>
      </w:r>
      <w:r w:rsidR="00F62F2F" w:rsidRPr="0056203D">
        <w:rPr>
          <w:rStyle w:val="FootnoteReference"/>
        </w:rPr>
        <w:footnoteReference w:id="5"/>
      </w:r>
      <w:r w:rsidR="00CF025B" w:rsidRPr="0056203D">
        <w:t>.</w:t>
      </w:r>
      <w:r w:rsidR="000F06E8" w:rsidRPr="0056203D">
        <w:t xml:space="preserve"> Each thesis seeks to disprove established understanding of the first world war’s effect on British industry. </w:t>
      </w:r>
      <w:r w:rsidR="00FD6B04" w:rsidRPr="0056203D">
        <w:t>Throughout the article Dewey utilises keen analysis of statistical data in support of his arguments</w:t>
      </w:r>
      <w:r w:rsidR="00FD6B04">
        <w:t xml:space="preserve">, providing effective substantiation for his alternate point of view. </w:t>
      </w:r>
      <w:r w:rsidR="008B5D3E">
        <w:t xml:space="preserve">Dewey’s article will be investigated focusing on key factors such as its provenance, subject matter, content and finally its value as an academic aid. Whilst doing so the work of other subject matter experts will be drawn upon. </w:t>
      </w:r>
      <w:r w:rsidR="00FD6B04">
        <w:t xml:space="preserve"> </w:t>
      </w:r>
      <w:r w:rsidR="000F06E8">
        <w:t xml:space="preserve"> </w:t>
      </w:r>
      <w:r w:rsidR="00CF025B">
        <w:t xml:space="preserve"> </w:t>
      </w:r>
      <w:r w:rsidR="00B066C2">
        <w:t xml:space="preserve"> </w:t>
      </w:r>
      <w:r w:rsidR="009D38F0">
        <w:t xml:space="preserve"> </w:t>
      </w:r>
    </w:p>
    <w:p w:rsidR="00E04FEF" w:rsidRPr="0056203D" w:rsidRDefault="00FE4098">
      <w:r>
        <w:t xml:space="preserve">Initial investigation of Dewey’s article will commence with identifying his intent behind the subject matter. Having already considered the theses which he has outlined, identifying his intent will allow for the </w:t>
      </w:r>
      <w:r w:rsidR="00C35611">
        <w:t>accepted</w:t>
      </w:r>
      <w:r>
        <w:t xml:space="preserve"> </w:t>
      </w:r>
      <w:r w:rsidRPr="0056203D">
        <w:t>understanding of the subject matter to be analysed. Following Dewey’s explanation of the historiography</w:t>
      </w:r>
      <w:r w:rsidR="007D1863" w:rsidRPr="0056203D">
        <w:t xml:space="preserve"> surrounding the subject matter;</w:t>
      </w:r>
      <w:r w:rsidRPr="0056203D">
        <w:t xml:space="preserve"> placing significance on how recruitment during WW1 influenced the British</w:t>
      </w:r>
      <w:r w:rsidR="00C90945" w:rsidRPr="0056203D">
        <w:t xml:space="preserve"> labour force, as well as the subsequent attention of historians being drawn “naturally to the problems of labour supply in wartime industry”</w:t>
      </w:r>
      <w:r w:rsidR="007E505F" w:rsidRPr="0056203D">
        <w:t>, Dewey presents two fundamental questions which he suggests “have not been posed so far”</w:t>
      </w:r>
      <w:r w:rsidR="007E505F" w:rsidRPr="0056203D">
        <w:rPr>
          <w:rStyle w:val="FootnoteReference"/>
        </w:rPr>
        <w:footnoteReference w:id="6"/>
      </w:r>
      <w:r w:rsidR="007E505F" w:rsidRPr="0056203D">
        <w:t>.</w:t>
      </w:r>
      <w:r w:rsidR="00CC7459" w:rsidRPr="0056203D">
        <w:t xml:space="preserve"> The intent of Dewey’s article is to firstly, identify “from what sections of the economy were these men drawn” as well as secondly, interpret “what were the main factors influencing the process of recruitment?”</w:t>
      </w:r>
      <w:r w:rsidR="00C50416" w:rsidRPr="0056203D">
        <w:rPr>
          <w:rStyle w:val="FootnoteReference"/>
        </w:rPr>
        <w:footnoteReference w:id="7"/>
      </w:r>
      <w:r w:rsidR="00CC7459" w:rsidRPr="0056203D">
        <w:t>.</w:t>
      </w:r>
      <w:r w:rsidR="007E60A9" w:rsidRPr="0056203D">
        <w:t xml:space="preserve"> </w:t>
      </w:r>
      <w:r w:rsidR="000F767B" w:rsidRPr="0056203D">
        <w:t xml:space="preserve">Having outlined his aims Dewey is quick to investigate the current understanding of the subject matter, citing </w:t>
      </w:r>
      <w:proofErr w:type="spellStart"/>
      <w:r w:rsidR="000F767B" w:rsidRPr="0056203D">
        <w:t>Correlli</w:t>
      </w:r>
      <w:proofErr w:type="spellEnd"/>
      <w:r w:rsidR="000F767B" w:rsidRPr="0056203D">
        <w:t xml:space="preserve"> Barnett’s book, published in 1970 titled “Britain and Her Army, 1509-1970: A</w:t>
      </w:r>
      <w:r w:rsidR="000F767B">
        <w:t xml:space="preserve"> Military, Political and Social Survey”</w:t>
      </w:r>
      <w:r w:rsidR="000F767B">
        <w:rPr>
          <w:rStyle w:val="FootnoteReference"/>
        </w:rPr>
        <w:footnoteReference w:id="8"/>
      </w:r>
      <w:r w:rsidR="00167457">
        <w:t xml:space="preserve">. Here Barnett had already addressed each of what are now Dewey’s aims, reflecting the current stance of scholarship, of which Dewey will go on to challenge. Dewey’s inclusion of Barnett’s work here is extremely useful as it allows for the audience to comprehend the </w:t>
      </w:r>
      <w:r w:rsidR="00167457">
        <w:lastRenderedPageBreak/>
        <w:t xml:space="preserve">state </w:t>
      </w:r>
      <w:r w:rsidR="00167457" w:rsidRPr="0056203D">
        <w:t>of understanding of which Dewey will be contesting.</w:t>
      </w:r>
      <w:r w:rsidR="002522A1" w:rsidRPr="0056203D">
        <w:t xml:space="preserve"> </w:t>
      </w:r>
      <w:r w:rsidR="00FD169D" w:rsidRPr="0056203D">
        <w:t>In line with Dewey’s first aim of identifying from what sections of the economy men were predominantly recruited Barnett assess that the Army of 1915 was a “cross-section of the nation”</w:t>
      </w:r>
      <w:r w:rsidR="00FD169D" w:rsidRPr="0056203D">
        <w:rPr>
          <w:rStyle w:val="FootnoteReference"/>
        </w:rPr>
        <w:footnoteReference w:id="9"/>
      </w:r>
      <w:r w:rsidR="00FD169D" w:rsidRPr="0056203D">
        <w:t xml:space="preserve">, suggesting that wartime recruitment drew equally from all aspects of society. Secondly, Dewey’s aim of interpreting the main factors influencing the process of recruitment is also answered by Barnett. </w:t>
      </w:r>
      <w:r w:rsidR="00E04FEF" w:rsidRPr="0056203D">
        <w:t xml:space="preserve">He states: </w:t>
      </w:r>
    </w:p>
    <w:p w:rsidR="006C51BB" w:rsidRPr="0056203D" w:rsidRDefault="00FD169D" w:rsidP="00E04FEF">
      <w:pPr>
        <w:ind w:left="720"/>
      </w:pPr>
      <w:r w:rsidRPr="0056203D">
        <w:t>“</w:t>
      </w:r>
      <w:r w:rsidR="00E04FEF" w:rsidRPr="0056203D">
        <w:t>M</w:t>
      </w:r>
      <w:r w:rsidRPr="0056203D">
        <w:t>oved by patriotism, by desire for a bit of adventure</w:t>
      </w:r>
      <w:r w:rsidR="00E04FEF" w:rsidRPr="0056203D">
        <w:t>, by a desire to escape from poverty and unemployment, the crowds queued outside the recruiting offices.</w:t>
      </w:r>
      <w:r w:rsidRPr="0056203D">
        <w:t>”</w:t>
      </w:r>
      <w:r w:rsidR="00E04FEF" w:rsidRPr="0056203D">
        <w:rPr>
          <w:rStyle w:val="FootnoteReference"/>
        </w:rPr>
        <w:footnoteReference w:id="10"/>
      </w:r>
      <w:r w:rsidRPr="0056203D">
        <w:t xml:space="preserve"> </w:t>
      </w:r>
    </w:p>
    <w:p w:rsidR="00E31CF9" w:rsidRPr="0056203D" w:rsidRDefault="00E31CF9" w:rsidP="00E31CF9">
      <w:r w:rsidRPr="0056203D">
        <w:t>Dewey goes on to argue convincingly against the physiological factors such as patriotism outlined here, labelling the explanation as “unsatisfactory”</w:t>
      </w:r>
      <w:r w:rsidRPr="0056203D">
        <w:rPr>
          <w:rStyle w:val="FootnoteReference"/>
        </w:rPr>
        <w:footnoteReference w:id="11"/>
      </w:r>
      <w:r w:rsidRPr="0056203D">
        <w:t xml:space="preserve">, whilst suggesting another statistically supported alternative.   </w:t>
      </w:r>
    </w:p>
    <w:p w:rsidR="00272350" w:rsidRDefault="008B7D65" w:rsidP="00E31CF9">
      <w:r w:rsidRPr="0056203D">
        <w:t>Prior to his analysis of the factors motivating recruitment itself, Dewey tackles the issue of identifying from which areas of the British labour force the greatest manp</w:t>
      </w:r>
      <w:r w:rsidR="00D36FBB" w:rsidRPr="0056203D">
        <w:t>ower was drawn. In opposition to</w:t>
      </w:r>
      <w:r w:rsidRPr="0056203D">
        <w:t xml:space="preserve"> the generally accepted notion of Barnett, being that manpower was drawn equally from all sectors of the labour force, the first of Dewey’s theses are implemented. As such, Dewey argues that manpower was drawn disproportionately from </w:t>
      </w:r>
      <w:r w:rsidR="001A5764" w:rsidRPr="0056203D">
        <w:t>area</w:t>
      </w:r>
      <w:r w:rsidR="00D36FBB" w:rsidRPr="0056203D">
        <w:t xml:space="preserve">s of the labour force </w:t>
      </w:r>
      <w:proofErr w:type="gramStart"/>
      <w:r w:rsidR="00D36FBB" w:rsidRPr="0056203D">
        <w:t>as a result of</w:t>
      </w:r>
      <w:proofErr w:type="gramEnd"/>
      <w:r w:rsidR="00D36FBB" w:rsidRPr="0056203D">
        <w:t xml:space="preserve"> multiple influencing factors. </w:t>
      </w:r>
      <w:r w:rsidR="001A5764" w:rsidRPr="0056203D">
        <w:t>He initially suggests two factors which would result in this</w:t>
      </w:r>
      <w:r w:rsidR="001A5764">
        <w:t xml:space="preserve"> disproportional manpower effect. The first of which being rather self-explanatory in relation to differing occupations generally attracting different age groups, this would naturally influence whether an occupations male component would be within military fighting age and therefore drawn upon.</w:t>
      </w:r>
      <w:r w:rsidR="001A5764">
        <w:rPr>
          <w:rStyle w:val="FootnoteReference"/>
        </w:rPr>
        <w:footnoteReference w:id="12"/>
      </w:r>
      <w:r w:rsidR="001A5764">
        <w:t xml:space="preserve"> </w:t>
      </w:r>
      <w:r w:rsidR="00C04563">
        <w:t xml:space="preserve">Secondly, Dewey raises the argument that during the ‘Total War’ economy </w:t>
      </w:r>
      <w:r w:rsidR="006B508E">
        <w:t>of 1914-1918 “certain industries had a low level of activity”</w:t>
      </w:r>
      <w:r w:rsidR="006B508E">
        <w:rPr>
          <w:rStyle w:val="FootnoteReference"/>
        </w:rPr>
        <w:footnoteReference w:id="13"/>
      </w:r>
      <w:r w:rsidR="00CE622E">
        <w:t xml:space="preserve">. Here an understanding of the concept of total war is crucial. From 1914-1918 the highest priority for the United Kingdom was fuelling the war effort against the German Empire, subsequently all aspects of the British labour force were dedicated to producing materials vital for this endeavour. </w:t>
      </w:r>
      <w:proofErr w:type="gramStart"/>
      <w:r w:rsidR="00CE622E">
        <w:t>As a result of</w:t>
      </w:r>
      <w:proofErr w:type="gramEnd"/>
      <w:r w:rsidR="00CE622E">
        <w:t xml:space="preserve"> this</w:t>
      </w:r>
      <w:r w:rsidR="00EA45DD">
        <w:t>,</w:t>
      </w:r>
      <w:r w:rsidR="00CE622E">
        <w:t xml:space="preserve"> areas of British industry which may have seen high activity levels prior to 1914</w:t>
      </w:r>
      <w:r w:rsidR="00EA45DD">
        <w:t>,</w:t>
      </w:r>
      <w:r w:rsidR="00CE622E">
        <w:t xml:space="preserve"> </w:t>
      </w:r>
      <w:r w:rsidR="00EA45DD">
        <w:t>but</w:t>
      </w:r>
      <w:r w:rsidR="00094115">
        <w:t xml:space="preserve"> were no longer vital for the war effort</w:t>
      </w:r>
      <w:r w:rsidR="00EA45DD">
        <w:t>,</w:t>
      </w:r>
      <w:r w:rsidR="00094115">
        <w:t xml:space="preserve"> experienced extremely low activity up until</w:t>
      </w:r>
      <w:r w:rsidR="00EA45DD">
        <w:t xml:space="preserve"> the wars conclusion in</w:t>
      </w:r>
      <w:r w:rsidR="00094115">
        <w:t xml:space="preserve"> 1918.</w:t>
      </w:r>
      <w:r w:rsidR="00EA45DD">
        <w:t xml:space="preserve"> Sectors which particularly experienced this effect were that of commerce and construction</w:t>
      </w:r>
      <w:r w:rsidR="00DC04E5">
        <w:rPr>
          <w:rStyle w:val="FootnoteReference"/>
        </w:rPr>
        <w:footnoteReference w:id="14"/>
      </w:r>
      <w:r w:rsidR="00DC04E5">
        <w:rPr>
          <w:rStyle w:val="FootnoteReference"/>
        </w:rPr>
        <w:footnoteReference w:id="15"/>
      </w:r>
      <w:r w:rsidR="00DC04E5">
        <w:t>. Understandably, there was neither a high demand for material possessions or new homes during the war,</w:t>
      </w:r>
      <w:r w:rsidR="00600A6C">
        <w:t xml:space="preserve"> resulting in these sectors having a low activity. </w:t>
      </w:r>
      <w:r w:rsidR="00D11043">
        <w:t>Consequently,</w:t>
      </w:r>
      <w:r w:rsidR="00600A6C">
        <w:t xml:space="preserve"> it is recorded that these sectors provided a disproportionately high manpower contribution</w:t>
      </w:r>
      <w:r w:rsidR="00600A6C">
        <w:rPr>
          <w:rStyle w:val="FootnoteReference"/>
        </w:rPr>
        <w:footnoteReference w:id="16"/>
      </w:r>
      <w:r w:rsidR="00600A6C">
        <w:t>.</w:t>
      </w:r>
      <w:r w:rsidR="001E7894">
        <w:t xml:space="preserve"> </w:t>
      </w:r>
    </w:p>
    <w:p w:rsidR="00A90964" w:rsidRDefault="002C3E62" w:rsidP="00E31CF9">
      <w:r>
        <w:t xml:space="preserve">As previously stated, Dewey’s arguments are largely based upon statistical data forming the bedrock of his argument. In the case of differing manpower contributions between industries, it is of evident </w:t>
      </w:r>
      <w:r>
        <w:lastRenderedPageBreak/>
        <w:t>importance. Primarily, this statistical data is drawn from a sample survey conducted quarterly by the ‘Board of Trade’ from October 1914 to after the end of the conflict</w:t>
      </w:r>
      <w:r>
        <w:rPr>
          <w:rStyle w:val="FootnoteReference"/>
        </w:rPr>
        <w:footnoteReference w:id="17"/>
      </w:r>
      <w:r>
        <w:t>.</w:t>
      </w:r>
      <w:r w:rsidR="003345FB">
        <w:t xml:space="preserve"> Outlined in appendix 1, the survey provides crucial data on enlistment from all aspects of the British labour force providing an undeniable basis in support of Dewey thesis of disproportional manpower contribution</w:t>
      </w:r>
      <w:r w:rsidR="003345FB">
        <w:rPr>
          <w:rStyle w:val="FootnoteReference"/>
        </w:rPr>
        <w:footnoteReference w:id="18"/>
      </w:r>
      <w:r w:rsidR="003345FB">
        <w:t>.</w:t>
      </w:r>
      <w:r w:rsidR="00B55D31">
        <w:t xml:space="preserve"> This would not be the only occasion where Dewey </w:t>
      </w:r>
      <w:r w:rsidR="00E933F4">
        <w:t xml:space="preserve">used statistical data in support of his arguments. Data such as that presented here from the Board of Trade was also crucial in </w:t>
      </w:r>
      <w:r w:rsidR="00AB0012">
        <w:t>a book</w:t>
      </w:r>
      <w:r w:rsidR="00E933F4">
        <w:t xml:space="preserve"> of Dewey’s titled “British Agriculture in the First World War”</w:t>
      </w:r>
      <w:r w:rsidR="00E933F4">
        <w:rPr>
          <w:rStyle w:val="FootnoteReference"/>
        </w:rPr>
        <w:footnoteReference w:id="19"/>
      </w:r>
      <w:r w:rsidR="00E933F4">
        <w:t>.</w:t>
      </w:r>
      <w:r w:rsidR="00AB0012">
        <w:t xml:space="preserve"> </w:t>
      </w:r>
      <w:r w:rsidR="00D16F01">
        <w:t>A review of this work in the ‘Technology and Culture’ journal written by Norman Pollock confirms that a similar methodology used by Dewey in the work highlighted here has been replicated</w:t>
      </w:r>
      <w:r w:rsidR="00D16F01">
        <w:rPr>
          <w:rStyle w:val="FootnoteReference"/>
        </w:rPr>
        <w:footnoteReference w:id="20"/>
      </w:r>
      <w:r w:rsidR="00D16F01">
        <w:t>. Pollock describes Dewey as having implemented a “revisionist narrative” supported by “brilliant statistical tables”</w:t>
      </w:r>
      <w:r w:rsidR="00D16F01">
        <w:rPr>
          <w:rStyle w:val="FootnoteReference"/>
        </w:rPr>
        <w:footnoteReference w:id="21"/>
      </w:r>
      <w:r w:rsidR="00D16F01">
        <w:t>. Such a description outline</w:t>
      </w:r>
      <w:r w:rsidR="00C630C0">
        <w:t>s</w:t>
      </w:r>
      <w:r w:rsidR="00D16F01">
        <w:t xml:space="preserve"> undeniable parallels </w:t>
      </w:r>
      <w:r w:rsidR="00C630C0">
        <w:t xml:space="preserve">found here in Dewey’s work on military recruitment. </w:t>
      </w:r>
    </w:p>
    <w:p w:rsidR="005257AD" w:rsidRDefault="00A90964">
      <w:r>
        <w:t>Transitioning to the argument surrounding the motivations behind enlistment and Dewey’s second thesis,</w:t>
      </w:r>
      <w:r w:rsidR="0006438E">
        <w:t xml:space="preserve"> he again argues against Barnett’s proposition</w:t>
      </w:r>
      <w:r w:rsidR="000F0DEE">
        <w:t xml:space="preserve"> -</w:t>
      </w:r>
      <w:r w:rsidR="0006438E">
        <w:t xml:space="preserve"> that physiological factors such as patriotism played </w:t>
      </w:r>
      <w:r w:rsidR="000F0DEE">
        <w:t>a primary role in recruitment</w:t>
      </w:r>
      <w:r w:rsidR="002D74C6">
        <w:rPr>
          <w:rStyle w:val="FootnoteReference"/>
        </w:rPr>
        <w:footnoteReference w:id="22"/>
      </w:r>
      <w:r w:rsidR="000F0DEE">
        <w:t xml:space="preserve">. </w:t>
      </w:r>
      <w:r w:rsidR="00B01CD2">
        <w:t>Instead, Dewey suggests that economic, demographic, medical and institutional considerations are present. As expected, suggestions of these areas influence are again support</w:t>
      </w:r>
      <w:r w:rsidR="00343201">
        <w:t>ed</w:t>
      </w:r>
      <w:r w:rsidR="00B01CD2">
        <w:t xml:space="preserve"> by statistical data provided by the Board of Trade.</w:t>
      </w:r>
      <w:r w:rsidR="000562C7">
        <w:t xml:space="preserve"> Firstly, economic considerations relate to both salaries and subsequently that of industrial activity levels. </w:t>
      </w:r>
      <w:r w:rsidR="0063534F">
        <w:t xml:space="preserve">Dewey </w:t>
      </w:r>
      <w:r w:rsidR="004F47C2">
        <w:t>argues that due to the mediocre wage given to soldiers only those of the lowest social standing would see a financial benefit from enlistment, all others would have to suffer a financial sacrifice</w:t>
      </w:r>
      <w:r w:rsidR="004F47C2">
        <w:rPr>
          <w:rStyle w:val="FootnoteReference"/>
        </w:rPr>
        <w:footnoteReference w:id="23"/>
      </w:r>
      <w:r w:rsidR="004F47C2">
        <w:t>.</w:t>
      </w:r>
      <w:r w:rsidR="00B01CD2">
        <w:t xml:space="preserve"> </w:t>
      </w:r>
      <w:r w:rsidR="00AC3163">
        <w:t>Additionally, he addresses the connection between individual’s salaries and industrial activity levels (due to the total war economy) already discussed. Sectors which he describes as “high wage-rise industries” due to increasing levels of wartime activity would understandably have lower levels of recruitment</w:t>
      </w:r>
      <w:r w:rsidR="005F203F">
        <w:rPr>
          <w:rStyle w:val="FootnoteReference"/>
        </w:rPr>
        <w:footnoteReference w:id="24"/>
      </w:r>
      <w:r w:rsidR="00AC3163">
        <w:t xml:space="preserve">. Dewey argues that individuals experiencing wage increases in their civilian employment would be far less likely to volunteer </w:t>
      </w:r>
      <w:r w:rsidR="00A95902">
        <w:t>for enlistment.</w:t>
      </w:r>
    </w:p>
    <w:p w:rsidR="00B709D2" w:rsidRDefault="005257AD">
      <w:r>
        <w:t xml:space="preserve">The argument presented in response to the demographic consideration is very </w:t>
      </w:r>
      <w:proofErr w:type="gramStart"/>
      <w:r>
        <w:t>similar to</w:t>
      </w:r>
      <w:proofErr w:type="gramEnd"/>
      <w:r>
        <w:t xml:space="preserve"> that of Dewey’s explanation of disproportional enlistment. Simply, the younger generation are far more likely to volunteer for </w:t>
      </w:r>
      <w:r w:rsidR="005668DF">
        <w:t>military service</w:t>
      </w:r>
      <w:r>
        <w:t xml:space="preserve">. Throughout his article Dewey is keen to highlight this point, something which he believes </w:t>
      </w:r>
      <w:r w:rsidR="001B1B91">
        <w:t>has “been neglected so far”</w:t>
      </w:r>
      <w:r w:rsidR="001B1B91">
        <w:rPr>
          <w:rStyle w:val="FootnoteReference"/>
        </w:rPr>
        <w:footnoteReference w:id="25"/>
      </w:r>
      <w:r w:rsidR="001B1B91">
        <w:t>.</w:t>
      </w:r>
      <w:r w:rsidR="005668DF">
        <w:t xml:space="preserve"> In relation to the medical consideration, Dewey refers to the “standard of health and physical fitness” of an individual, specifically whether </w:t>
      </w:r>
      <w:r w:rsidR="005668DF">
        <w:lastRenderedPageBreak/>
        <w:t>they are suited to the harsh physiological demands placed upon a soldier</w:t>
      </w:r>
      <w:r w:rsidR="005668DF">
        <w:rPr>
          <w:rStyle w:val="FootnoteReference"/>
        </w:rPr>
        <w:footnoteReference w:id="26"/>
      </w:r>
      <w:r w:rsidR="005668DF">
        <w:t>.</w:t>
      </w:r>
      <w:r w:rsidR="00972251">
        <w:t xml:space="preserve"> </w:t>
      </w:r>
      <w:r w:rsidR="00B709D2">
        <w:t xml:space="preserve">Through analysis of </w:t>
      </w:r>
      <w:r w:rsidR="00B709D2" w:rsidRPr="00B709D2">
        <w:t>contemporary</w:t>
      </w:r>
      <w:r w:rsidR="00B709D2">
        <w:t xml:space="preserve"> newspaper reports, Dewey presents interesting finding such as the surprisingly poor quality of recruits from the agricultural sector. A damning report states:</w:t>
      </w:r>
    </w:p>
    <w:p w:rsidR="00CF025B" w:rsidRDefault="00B709D2" w:rsidP="00B709D2">
      <w:pPr>
        <w:ind w:left="720"/>
      </w:pPr>
      <w:r>
        <w:t>“</w:t>
      </w:r>
      <w:r w:rsidRPr="00B709D2">
        <w:t>The younger agriculturalists are of good physique, but they fall off rapidly after 35. Varicose veins and distorted toes are common... A large percentage have cardiac murmurs.</w:t>
      </w:r>
      <w:r>
        <w:t>”</w:t>
      </w:r>
      <w:r>
        <w:rPr>
          <w:rStyle w:val="FootnoteReference"/>
        </w:rPr>
        <w:footnoteReference w:id="27"/>
      </w:r>
      <w:r>
        <w:t xml:space="preserve"> </w:t>
      </w:r>
    </w:p>
    <w:p w:rsidR="005216B8" w:rsidRDefault="00774478" w:rsidP="005216B8">
      <w:r>
        <w:t xml:space="preserve">This statement is of </w:t>
      </w:r>
      <w:proofErr w:type="gramStart"/>
      <w:r>
        <w:t>particular interest</w:t>
      </w:r>
      <w:proofErr w:type="gramEnd"/>
      <w:r>
        <w:t xml:space="preserve"> as it refers specifically to the younger agriculturalist, subsequently combining both demographic and medical considerations. Clearly, despite the younger generation being more likely to volunteer for enlistment, if they do not forthfill the requirements of the medical consideration they would never see service. Finally, the institutional requirement refers to protected or badged professions. </w:t>
      </w:r>
      <w:r w:rsidR="007F0CCF">
        <w:t>For the total war economy to maintain its productivity those individuals of unique skills were exempt from enlistment. Through Dewey’s analysis of statistics provided by the Board of Trade’s sample survey it’s evident that this consideration effected recruitment primarily from the railways</w:t>
      </w:r>
      <w:r w:rsidR="007F0CCF">
        <w:rPr>
          <w:rStyle w:val="FootnoteReference"/>
        </w:rPr>
        <w:footnoteReference w:id="28"/>
      </w:r>
      <w:r w:rsidR="007F0CCF">
        <w:t>.</w:t>
      </w:r>
      <w:r>
        <w:t xml:space="preserve"> </w:t>
      </w:r>
    </w:p>
    <w:p w:rsidR="00595CFA" w:rsidRDefault="001035FD" w:rsidP="005216B8">
      <w:r>
        <w:t xml:space="preserve">Through the application of both theses, Dewey has successfully been able to present a compelling argument against the accepted understanding of recruitment during the years of 1914-1918. </w:t>
      </w:r>
      <w:r w:rsidR="00C015E0">
        <w:t>Whilst considering the works and ideas presented by Barnett, of which reflected the accepted academic understanding, Dewey utilised a methodology supported by Pollock to provide undeniable substantiation for his claims. When considering the place of Dewey’s article in scholarship and therefore it’s quality as an academic aid great prominence can be placed on its findings. Due to the methodology utilised, placing significance on sound contemporary evidence, endorsed by Pollock as well as by Savage in each of their reviews of Dewey’s other works</w:t>
      </w:r>
      <w:r w:rsidR="00A1087B">
        <w:rPr>
          <w:rStyle w:val="FootnoteReference"/>
        </w:rPr>
        <w:footnoteReference w:id="29"/>
      </w:r>
      <w:r w:rsidR="00A1087B">
        <w:rPr>
          <w:rStyle w:val="FootnoteReference"/>
        </w:rPr>
        <w:footnoteReference w:id="30"/>
      </w:r>
      <w:r w:rsidR="00C015E0">
        <w:t xml:space="preserve">, </w:t>
      </w:r>
      <w:r w:rsidR="00A1087B">
        <w:t xml:space="preserve">it has successfully redefined understanding of recruitment from the British labour force during the Great War.  </w:t>
      </w:r>
    </w:p>
    <w:p w:rsidR="007E26A6" w:rsidRDefault="000A2912" w:rsidP="005216B8">
      <w:r>
        <w:t>Fundamentally, prior to Dewey’s work accepted understanding of the subject matter appears to have been an over simplification of circumstances. The rudimentary approach, based largely upon physiological presumptions has clearly been disproven with</w:t>
      </w:r>
      <w:r w:rsidR="0022469F">
        <w:t xml:space="preserve"> an</w:t>
      </w:r>
      <w:r>
        <w:t xml:space="preserve"> undeniable correlation between Dewey’s theses and statistical data. The article itself follows a coherent progression, Dewey’s suggestions are implemented and then supported through statistical analysis whilst drawing sensible conclusions, far more compelling than that of </w:t>
      </w:r>
      <w:r w:rsidR="00E26EAC">
        <w:t xml:space="preserve">patriotic </w:t>
      </w:r>
      <w:r w:rsidR="00AC5E8D">
        <w:t>ideology</w:t>
      </w:r>
      <w:r w:rsidR="00E26EAC">
        <w:t>.</w:t>
      </w:r>
      <w:r w:rsidR="00AF0E8F">
        <w:t xml:space="preserve"> </w:t>
      </w:r>
      <w:r w:rsidR="00B24CA2">
        <w:t xml:space="preserve">The article was written for a clear purpose, and the aims already outlined have been fulfilled. Additionally, academically the work is of great use for any investigating the sustainment of the British war effort from 1914-1918. The article makes a great contribution to academic understanding of the period.  </w:t>
      </w:r>
      <w:r w:rsidR="00E26EAC">
        <w:t xml:space="preserve"> </w:t>
      </w:r>
    </w:p>
    <w:p w:rsidR="00A1087B" w:rsidRDefault="00A1087B">
      <w:pPr>
        <w:rPr>
          <w:sz w:val="24"/>
          <w:u w:val="single"/>
        </w:rPr>
      </w:pPr>
    </w:p>
    <w:p w:rsidR="00A1087B" w:rsidRDefault="00A1087B">
      <w:pPr>
        <w:rPr>
          <w:sz w:val="24"/>
          <w:u w:val="single"/>
        </w:rPr>
      </w:pPr>
    </w:p>
    <w:p w:rsidR="00A1087B" w:rsidRDefault="00A1087B">
      <w:pPr>
        <w:rPr>
          <w:sz w:val="24"/>
          <w:u w:val="single"/>
        </w:rPr>
      </w:pPr>
    </w:p>
    <w:p w:rsidR="000814CF" w:rsidRDefault="000814CF">
      <w:pPr>
        <w:rPr>
          <w:sz w:val="24"/>
          <w:u w:val="single"/>
        </w:rPr>
      </w:pPr>
    </w:p>
    <w:p w:rsidR="00D10A24" w:rsidRDefault="00D10A24">
      <w:pPr>
        <w:rPr>
          <w:sz w:val="24"/>
          <w:u w:val="single"/>
        </w:rPr>
      </w:pPr>
      <w:r>
        <w:rPr>
          <w:sz w:val="24"/>
          <w:u w:val="single"/>
        </w:rPr>
        <w:t>Bibliography</w:t>
      </w:r>
    </w:p>
    <w:p w:rsidR="00A90964" w:rsidRDefault="00A90964">
      <w:pPr>
        <w:rPr>
          <w:sz w:val="24"/>
          <w:u w:val="single"/>
        </w:rPr>
      </w:pPr>
      <w:r>
        <w:rPr>
          <w:sz w:val="24"/>
          <w:u w:val="single"/>
        </w:rPr>
        <w:t>Books</w:t>
      </w:r>
    </w:p>
    <w:p w:rsidR="00F833DB" w:rsidRPr="00F833DB" w:rsidRDefault="00F833DB" w:rsidP="00F833DB">
      <w:pPr>
        <w:pStyle w:val="ListParagraph"/>
        <w:numPr>
          <w:ilvl w:val="0"/>
          <w:numId w:val="1"/>
        </w:numPr>
      </w:pPr>
      <w:r>
        <w:t xml:space="preserve">C. Barnett, </w:t>
      </w:r>
      <w:r>
        <w:rPr>
          <w:i/>
        </w:rPr>
        <w:t>Britain and Her Army, 1509-1970: A Military, Political and Social Survey</w:t>
      </w:r>
      <w:r>
        <w:t xml:space="preserve"> (London: Penguin Books, 1970).</w:t>
      </w:r>
    </w:p>
    <w:p w:rsidR="00E933F4" w:rsidRDefault="00E933F4" w:rsidP="00E933F4">
      <w:pPr>
        <w:pStyle w:val="ListParagraph"/>
        <w:numPr>
          <w:ilvl w:val="0"/>
          <w:numId w:val="1"/>
        </w:numPr>
      </w:pPr>
      <w:r>
        <w:t xml:space="preserve">P. E. Dewey, </w:t>
      </w:r>
      <w:r w:rsidRPr="00E933F4">
        <w:rPr>
          <w:i/>
        </w:rPr>
        <w:t>British Agriculture in the First World War</w:t>
      </w:r>
      <w:r>
        <w:rPr>
          <w:i/>
        </w:rPr>
        <w:t xml:space="preserve"> </w:t>
      </w:r>
      <w:r>
        <w:t xml:space="preserve">(London: Routledge, 1989). </w:t>
      </w:r>
    </w:p>
    <w:p w:rsidR="00A90964" w:rsidRPr="00A90964" w:rsidRDefault="00A90964" w:rsidP="00A90964">
      <w:pPr>
        <w:rPr>
          <w:sz w:val="24"/>
          <w:u w:val="single"/>
        </w:rPr>
      </w:pPr>
      <w:r>
        <w:rPr>
          <w:sz w:val="24"/>
          <w:u w:val="single"/>
        </w:rPr>
        <w:t>Journal Articles</w:t>
      </w:r>
    </w:p>
    <w:p w:rsidR="00512830" w:rsidRDefault="00512830" w:rsidP="00512830">
      <w:pPr>
        <w:pStyle w:val="ListParagraph"/>
        <w:numPr>
          <w:ilvl w:val="0"/>
          <w:numId w:val="1"/>
        </w:numPr>
      </w:pPr>
      <w:r>
        <w:t xml:space="preserve">P. E. Dewey, ‘British Farming Profits and Government Policy during the First World War’. </w:t>
      </w:r>
      <w:r>
        <w:rPr>
          <w:i/>
        </w:rPr>
        <w:t xml:space="preserve">The Economic History Review, </w:t>
      </w:r>
      <w:r>
        <w:t xml:space="preserve">37, 3: (1984). pp. 373-390. </w:t>
      </w:r>
    </w:p>
    <w:p w:rsidR="00512830" w:rsidRDefault="00512830" w:rsidP="00512830">
      <w:pPr>
        <w:pStyle w:val="ListParagraph"/>
        <w:numPr>
          <w:ilvl w:val="0"/>
          <w:numId w:val="1"/>
        </w:numPr>
      </w:pPr>
      <w:r>
        <w:t xml:space="preserve">P. E. Dewey, ‘Food Production and Policy in the United Kingdom, 1914-1918’. </w:t>
      </w:r>
      <w:r>
        <w:rPr>
          <w:i/>
        </w:rPr>
        <w:t xml:space="preserve">Transactions of the Royal Historical Society, </w:t>
      </w:r>
      <w:r>
        <w:t xml:space="preserve">30: (1980). pp. 71-89. </w:t>
      </w:r>
    </w:p>
    <w:p w:rsidR="00D10A24" w:rsidRDefault="00D10A24" w:rsidP="00D10A24">
      <w:pPr>
        <w:pStyle w:val="ListParagraph"/>
        <w:numPr>
          <w:ilvl w:val="0"/>
          <w:numId w:val="1"/>
        </w:numPr>
      </w:pPr>
      <w:r>
        <w:t xml:space="preserve">P. E. Dewey, </w:t>
      </w:r>
      <w:r w:rsidR="00840F16">
        <w:t>‘</w:t>
      </w:r>
      <w:r>
        <w:t>Military Recruiting and the British Labour Force During the First World War</w:t>
      </w:r>
      <w:r w:rsidR="00840F16">
        <w:t>’</w:t>
      </w:r>
      <w:r>
        <w:t xml:space="preserve">. </w:t>
      </w:r>
      <w:r>
        <w:rPr>
          <w:i/>
        </w:rPr>
        <w:t>The Historical Journal</w:t>
      </w:r>
      <w:r>
        <w:t xml:space="preserve">, </w:t>
      </w:r>
      <w:r w:rsidR="00570547">
        <w:t xml:space="preserve">27, 1: (1984). pp. 199-223. </w:t>
      </w:r>
      <w:r>
        <w:t xml:space="preserve">  </w:t>
      </w:r>
    </w:p>
    <w:p w:rsidR="00A90964" w:rsidRPr="00A90964" w:rsidRDefault="00A90964" w:rsidP="00A90964">
      <w:pPr>
        <w:rPr>
          <w:sz w:val="24"/>
          <w:u w:val="single"/>
        </w:rPr>
      </w:pPr>
      <w:r>
        <w:rPr>
          <w:sz w:val="24"/>
          <w:u w:val="single"/>
        </w:rPr>
        <w:t>Journal Article Reviews</w:t>
      </w:r>
    </w:p>
    <w:p w:rsidR="00D80E1E" w:rsidRDefault="00D80E1E" w:rsidP="00D10A24">
      <w:pPr>
        <w:pStyle w:val="ListParagraph"/>
        <w:numPr>
          <w:ilvl w:val="0"/>
          <w:numId w:val="1"/>
        </w:numPr>
      </w:pPr>
      <w:r>
        <w:t>P. E. Dewey, ‘</w:t>
      </w:r>
      <w:r w:rsidR="00857BCC">
        <w:t xml:space="preserve">Review: The Transformation of Agriculture in the West by David Grigg’. </w:t>
      </w:r>
      <w:r w:rsidR="00857BCC">
        <w:rPr>
          <w:i/>
        </w:rPr>
        <w:t>The Economic History Review</w:t>
      </w:r>
      <w:r w:rsidR="00857BCC">
        <w:t xml:space="preserve">, 47, 3: (1994). pp. 636. </w:t>
      </w:r>
    </w:p>
    <w:p w:rsidR="00E63E39" w:rsidRDefault="00512830" w:rsidP="00E63E39">
      <w:pPr>
        <w:pStyle w:val="ListParagraph"/>
        <w:numPr>
          <w:ilvl w:val="0"/>
          <w:numId w:val="1"/>
        </w:numPr>
      </w:pPr>
      <w:r>
        <w:t xml:space="preserve">N. H. Pollock, ‘Review: British Agriculture in the First World War by P. E. Dewey’. </w:t>
      </w:r>
      <w:r>
        <w:rPr>
          <w:i/>
        </w:rPr>
        <w:t>Technology and Culture</w:t>
      </w:r>
      <w:r>
        <w:t>, 32, 1: (1991). pp. 162-163.</w:t>
      </w:r>
    </w:p>
    <w:p w:rsidR="000814CF" w:rsidRDefault="00512830" w:rsidP="00F833DB">
      <w:pPr>
        <w:pStyle w:val="ListParagraph"/>
        <w:numPr>
          <w:ilvl w:val="0"/>
          <w:numId w:val="1"/>
        </w:numPr>
      </w:pPr>
      <w:r>
        <w:t xml:space="preserve">G. L. Savage, ‘Review: British Agriculture in the First World War by P. E. Dewey’. </w:t>
      </w:r>
      <w:r>
        <w:rPr>
          <w:i/>
        </w:rPr>
        <w:t>Albion: A Quarterly Journal Concerned with British Studies</w:t>
      </w:r>
      <w:r>
        <w:t xml:space="preserve">, 22, 2: (1990). pp. 344-345. </w:t>
      </w:r>
    </w:p>
    <w:p w:rsidR="000814CF" w:rsidRPr="000814CF" w:rsidRDefault="000814CF" w:rsidP="000814CF"/>
    <w:p w:rsidR="000814CF" w:rsidRPr="000814CF" w:rsidRDefault="000814CF" w:rsidP="000814CF"/>
    <w:p w:rsidR="000814CF" w:rsidRPr="000814CF" w:rsidRDefault="000814CF" w:rsidP="000814CF"/>
    <w:p w:rsidR="000814CF" w:rsidRPr="000814CF" w:rsidRDefault="000814CF" w:rsidP="000814CF"/>
    <w:p w:rsidR="000814CF" w:rsidRPr="000814CF" w:rsidRDefault="000814CF" w:rsidP="000814CF"/>
    <w:p w:rsidR="000814CF" w:rsidRPr="000814CF" w:rsidRDefault="000814CF" w:rsidP="000814CF"/>
    <w:p w:rsidR="000814CF" w:rsidRPr="000814CF" w:rsidRDefault="000814CF" w:rsidP="000814CF"/>
    <w:p w:rsidR="000814CF" w:rsidRPr="000814CF" w:rsidRDefault="000814CF" w:rsidP="000814CF"/>
    <w:p w:rsidR="000814CF" w:rsidRPr="000814CF" w:rsidRDefault="000814CF" w:rsidP="000814CF"/>
    <w:p w:rsidR="000814CF" w:rsidRPr="000814CF" w:rsidRDefault="000814CF" w:rsidP="000814CF"/>
    <w:p w:rsidR="000814CF" w:rsidRDefault="000814CF" w:rsidP="000814CF"/>
    <w:p w:rsidR="00F833DB" w:rsidRDefault="00F833DB" w:rsidP="000814CF"/>
    <w:p w:rsidR="000814CF" w:rsidRDefault="000814CF" w:rsidP="000814CF"/>
    <w:p w:rsidR="000814CF" w:rsidRDefault="000814CF" w:rsidP="000814CF"/>
    <w:p w:rsidR="000814CF" w:rsidRDefault="000814CF" w:rsidP="000814CF">
      <w:pPr>
        <w:rPr>
          <w:sz w:val="24"/>
          <w:u w:val="single"/>
        </w:rPr>
      </w:pPr>
      <w:r>
        <w:rPr>
          <w:sz w:val="24"/>
          <w:u w:val="single"/>
        </w:rPr>
        <w:lastRenderedPageBreak/>
        <w:t>Document Report</w:t>
      </w:r>
      <w:r w:rsidR="0061589E">
        <w:rPr>
          <w:sz w:val="24"/>
          <w:u w:val="single"/>
        </w:rPr>
        <w:t xml:space="preserve"> (1000 words)</w:t>
      </w:r>
    </w:p>
    <w:p w:rsidR="00D1783B" w:rsidRDefault="00D23FF3" w:rsidP="000814CF">
      <w:r>
        <w:t>On the 1</w:t>
      </w:r>
      <w:r w:rsidRPr="00D23FF3">
        <w:rPr>
          <w:vertAlign w:val="superscript"/>
        </w:rPr>
        <w:t>st</w:t>
      </w:r>
      <w:r w:rsidR="00AD6DF3">
        <w:t xml:space="preserve"> August 1914 Norman Angell, an author and journalist, wrote a letter to ‘The Times’ newspaper</w:t>
      </w:r>
      <w:r w:rsidR="00C41C0A">
        <w:rPr>
          <w:rStyle w:val="FootnoteReference"/>
        </w:rPr>
        <w:footnoteReference w:id="31"/>
      </w:r>
      <w:r w:rsidR="00C41C0A">
        <w:t>. It outlined an argument</w:t>
      </w:r>
      <w:r w:rsidR="00AD6DF3">
        <w:t xml:space="preserve"> against the proposition of the United Kingdom being drawn into a conventional conflict developing in mainland Europe.</w:t>
      </w:r>
      <w:r w:rsidR="00C41C0A">
        <w:t xml:space="preserve"> Such a document will be the focus of this analysis and will be investigated alongside additional correspondence published in the same newspaper on the same date</w:t>
      </w:r>
      <w:r w:rsidR="00476C64">
        <w:t>,</w:t>
      </w:r>
      <w:r w:rsidR="00C41C0A">
        <w:t xml:space="preserve"> just days prior to the United Kingdom’s declaration of war</w:t>
      </w:r>
      <w:r w:rsidR="0003300C">
        <w:rPr>
          <w:rStyle w:val="FootnoteReference"/>
        </w:rPr>
        <w:footnoteReference w:id="32"/>
      </w:r>
      <w:r w:rsidR="00C41C0A">
        <w:t xml:space="preserve">. </w:t>
      </w:r>
      <w:r w:rsidR="00D51D80">
        <w:t>The context of the document will be examined focusing on Angell himself, and his motivations behind such correspondence. Additionally, the n</w:t>
      </w:r>
      <w:r w:rsidR="00476C64">
        <w:t>ewspaper,</w:t>
      </w:r>
      <w:r w:rsidR="00D51D80">
        <w:t xml:space="preserve"> </w:t>
      </w:r>
      <w:r w:rsidR="00F96B05">
        <w:t>historiography surrounding the date of inclusion and the content of the letter will be analysed.</w:t>
      </w:r>
      <w:r w:rsidR="00476C64">
        <w:t xml:space="preserve"> All of which seeks to form a coherent assessment allowing for greater understanding on the contemporary </w:t>
      </w:r>
      <w:r w:rsidR="00E46B43">
        <w:t>material</w:t>
      </w:r>
      <w:r w:rsidR="00476C64">
        <w:t>.</w:t>
      </w:r>
      <w:r w:rsidR="00F96B05">
        <w:t xml:space="preserve"> </w:t>
      </w:r>
      <w:r w:rsidR="00AD6DF3">
        <w:t xml:space="preserve"> </w:t>
      </w:r>
    </w:p>
    <w:p w:rsidR="00021B47" w:rsidRDefault="00866BCD" w:rsidP="000814CF">
      <w:r>
        <w:t>Angell himself was born on the 26</w:t>
      </w:r>
      <w:r w:rsidRPr="00866BCD">
        <w:rPr>
          <w:vertAlign w:val="superscript"/>
        </w:rPr>
        <w:t>th</w:t>
      </w:r>
      <w:r>
        <w:t xml:space="preserve"> December 1872, 41 years of age at the writing of the correspondence, in Lincolnshire</w:t>
      </w:r>
      <w:r w:rsidR="005668AA">
        <w:rPr>
          <w:rStyle w:val="FootnoteReference"/>
        </w:rPr>
        <w:footnoteReference w:id="33"/>
      </w:r>
      <w:r>
        <w:t>.</w:t>
      </w:r>
      <w:r w:rsidR="005668AA">
        <w:t xml:space="preserve"> Completing </w:t>
      </w:r>
      <w:proofErr w:type="gramStart"/>
      <w:r w:rsidR="005668AA">
        <w:t>the majority of</w:t>
      </w:r>
      <w:proofErr w:type="gramEnd"/>
      <w:r w:rsidR="005668AA">
        <w:t xml:space="preserve"> his education in the United Kingdom, Angell attended the University of Geneva for a year before emigrating to the United States, he would not return until 1898. Having gained experience as a reporte</w:t>
      </w:r>
      <w:r w:rsidR="00FD1198">
        <w:t>r during his time in California, he settled in Paris working for various newspapers</w:t>
      </w:r>
      <w:r w:rsidR="007804B4">
        <w:t>. I</w:t>
      </w:r>
      <w:r w:rsidR="001F5AC9">
        <w:t>n 1905 became the editor of the Paris edition of the ‘Daily Mail’</w:t>
      </w:r>
      <w:r w:rsidR="007804B4">
        <w:rPr>
          <w:rStyle w:val="FootnoteReference"/>
        </w:rPr>
        <w:footnoteReference w:id="34"/>
      </w:r>
      <w:r w:rsidR="001F5AC9">
        <w:t xml:space="preserve">. </w:t>
      </w:r>
      <w:r w:rsidR="00527735">
        <w:t>However, despite his exploits as a journalist, Angell was most widely known for his work as a writer. Specifically, his book titled ‘The Great Illusion’, theorising the futility of conquest in Europe, a work examined in great depth by Weinroth in his 1974 article</w:t>
      </w:r>
      <w:r w:rsidR="00527735">
        <w:rPr>
          <w:rStyle w:val="FootnoteReference"/>
        </w:rPr>
        <w:footnoteReference w:id="35"/>
      </w:r>
      <w:r w:rsidR="00527735">
        <w:t>.</w:t>
      </w:r>
      <w:r w:rsidR="00050248">
        <w:t xml:space="preserve"> Taking </w:t>
      </w:r>
      <w:proofErr w:type="gramStart"/>
      <w:r w:rsidR="00050248">
        <w:t>all of these</w:t>
      </w:r>
      <w:proofErr w:type="gramEnd"/>
      <w:r w:rsidR="00050248">
        <w:t xml:space="preserve"> factors into consideration Angell is clearly well placed to comment on the situation developing in 1914. </w:t>
      </w:r>
      <w:proofErr w:type="gramStart"/>
      <w:r w:rsidR="00050248">
        <w:t>As a result of</w:t>
      </w:r>
      <w:proofErr w:type="gramEnd"/>
      <w:r w:rsidR="00050248">
        <w:t xml:space="preserve"> his obvious specialty in European politics through his work </w:t>
      </w:r>
      <w:r w:rsidR="006363C9">
        <w:t>on</w:t>
      </w:r>
      <w:r w:rsidR="00050248">
        <w:t xml:space="preserve"> ‘The Great Illusion’</w:t>
      </w:r>
      <w:r w:rsidR="00F437C0">
        <w:t xml:space="preserve">, Angell </w:t>
      </w:r>
      <w:r w:rsidR="00E46B43">
        <w:t xml:space="preserve">may well have </w:t>
      </w:r>
      <w:r w:rsidR="00F437C0">
        <w:t xml:space="preserve">felt that those in power </w:t>
      </w:r>
      <w:r w:rsidR="00E46B43">
        <w:t>would</w:t>
      </w:r>
      <w:r w:rsidR="00F437C0">
        <w:t xml:space="preserve"> take his views into consideration.</w:t>
      </w:r>
      <w:r w:rsidR="00E46B43">
        <w:t xml:space="preserve"> </w:t>
      </w:r>
      <w:r w:rsidR="00F437C0">
        <w:t xml:space="preserve"> </w:t>
      </w:r>
      <w:r w:rsidR="00021B47">
        <w:t>In line with his other works, Angell could only see the United Kingdom’s involvement in a conventional conflict ending in disaster with very little being achieved.</w:t>
      </w:r>
    </w:p>
    <w:p w:rsidR="00DC724B" w:rsidRDefault="00021B47" w:rsidP="000814CF">
      <w:r>
        <w:t>Having formed an understanding of Angell’s motivations behind the correspondence</w:t>
      </w:r>
      <w:r w:rsidR="00C40B1B">
        <w:t>,</w:t>
      </w:r>
      <w:r>
        <w:t xml:space="preserve"> his endeavour to prevent the United Kingdom from being dragged into the </w:t>
      </w:r>
      <w:r w:rsidR="00C40B1B">
        <w:t>conflict, based on his established understanding of European politics, the method of which he conveyed his argument is also of importance. Unsurprisingly, he chose to write to ‘The Times’ newspaper</w:t>
      </w:r>
      <w:r w:rsidR="00C40B1B">
        <w:rPr>
          <w:rStyle w:val="FootnoteReference"/>
        </w:rPr>
        <w:footnoteReference w:id="36"/>
      </w:r>
      <w:r w:rsidR="00C40B1B">
        <w:t xml:space="preserve">. Such a choice, considering his position as the editor of the Paris edition, ensured that his views would be published. Additionally, </w:t>
      </w:r>
      <w:proofErr w:type="gramStart"/>
      <w:r w:rsidR="00C40B1B">
        <w:t>in order for</w:t>
      </w:r>
      <w:proofErr w:type="gramEnd"/>
      <w:r w:rsidR="00C40B1B">
        <w:t xml:space="preserve"> Angell to be successful in his intention of dissuading the British Government from becoming entangled in the conflict</w:t>
      </w:r>
      <w:r w:rsidR="000D35D7">
        <w:t>,</w:t>
      </w:r>
      <w:r w:rsidR="00C40B1B">
        <w:t xml:space="preserve"> he required far reaching support. </w:t>
      </w:r>
      <w:r w:rsidR="000D35D7">
        <w:t xml:space="preserve">The </w:t>
      </w:r>
      <w:r w:rsidR="00C40B1B">
        <w:t xml:space="preserve">newspaper, with its </w:t>
      </w:r>
      <w:r w:rsidR="000D35D7">
        <w:t>far-reaching</w:t>
      </w:r>
      <w:r w:rsidR="00C40B1B">
        <w:t xml:space="preserve"> audience, provided the ideal platform for his utilisation.</w:t>
      </w:r>
      <w:r w:rsidR="000D35D7">
        <w:t xml:space="preserve"> </w:t>
      </w:r>
    </w:p>
    <w:p w:rsidR="00A622E6" w:rsidRDefault="00DC724B" w:rsidP="000814CF">
      <w:r>
        <w:lastRenderedPageBreak/>
        <w:t xml:space="preserve">The timing of Angell’s correspondence is also of great significance. </w:t>
      </w:r>
      <w:r w:rsidR="009317A0">
        <w:t>The 1</w:t>
      </w:r>
      <w:r w:rsidR="009317A0" w:rsidRPr="009317A0">
        <w:rPr>
          <w:vertAlign w:val="superscript"/>
        </w:rPr>
        <w:t>st</w:t>
      </w:r>
      <w:r w:rsidR="009317A0">
        <w:t xml:space="preserve"> August 1914, described as a “juncture”</w:t>
      </w:r>
      <w:r w:rsidR="00C40B1B">
        <w:t xml:space="preserve"> </w:t>
      </w:r>
      <w:r w:rsidR="00343D0D">
        <w:t>in an article which appeared alongside that of Angell’s, featured a rapidly escalating situation</w:t>
      </w:r>
      <w:r w:rsidR="00343D0D">
        <w:rPr>
          <w:rStyle w:val="FootnoteReference"/>
        </w:rPr>
        <w:footnoteReference w:id="37"/>
      </w:r>
      <w:r w:rsidR="00343D0D">
        <w:t>. The heir to the Austro-Hungarian throne, Archduke Franz Ferdinand</w:t>
      </w:r>
      <w:r w:rsidR="00087477">
        <w:t>,</w:t>
      </w:r>
      <w:r w:rsidR="00343D0D">
        <w:t xml:space="preserve"> had been assassinated on 28</w:t>
      </w:r>
      <w:r w:rsidR="00343D0D" w:rsidRPr="00343D0D">
        <w:rPr>
          <w:vertAlign w:val="superscript"/>
        </w:rPr>
        <w:t>th</w:t>
      </w:r>
      <w:r w:rsidR="00343D0D">
        <w:t xml:space="preserve"> June followed by the declaration of war between Austria-Hungary and Serbia</w:t>
      </w:r>
      <w:r w:rsidR="00575720">
        <w:rPr>
          <w:rStyle w:val="FootnoteReference"/>
        </w:rPr>
        <w:footnoteReference w:id="38"/>
      </w:r>
      <w:r w:rsidR="00343D0D">
        <w:t>.</w:t>
      </w:r>
      <w:r w:rsidR="00087477">
        <w:t xml:space="preserve"> Additionally, on the same day of the correspondence </w:t>
      </w:r>
      <w:r w:rsidR="0074003D">
        <w:t>in question, Germany declared war on Russia. Angell attempted to seize what was the last opportunity to prevent the United Kingdom being dragged into the conflict.</w:t>
      </w:r>
      <w:r w:rsidR="00A622E6">
        <w:t xml:space="preserve"> </w:t>
      </w:r>
    </w:p>
    <w:p w:rsidR="00575720" w:rsidRDefault="00A622E6" w:rsidP="000814CF">
      <w:r>
        <w:t xml:space="preserve">Now that the motivation behind, and the context of the correspondence has been established, the message within can now be explored. Angell opens by promoting the benefits of </w:t>
      </w:r>
      <w:r w:rsidR="007C4EF0">
        <w:t>an isolationist foreign policy. It was his belief that abstention from the conflict would ultimately be of great benefit to the United Kingdom, whilst other European nations were weakened by the conflict there would be an opportunity to “for a long time be the strongest power in Europe”</w:t>
      </w:r>
      <w:r w:rsidR="007C4EF0">
        <w:rPr>
          <w:rStyle w:val="FootnoteReference"/>
        </w:rPr>
        <w:footnoteReference w:id="39"/>
      </w:r>
      <w:r w:rsidR="007C4EF0">
        <w:t>.</w:t>
      </w:r>
      <w:r w:rsidR="0032151B">
        <w:t xml:space="preserve"> This viewpoint is supported by bringing into question the capability of rapid German expansion, indicating previous German military failings in Africa</w:t>
      </w:r>
      <w:r w:rsidR="001E1D62">
        <w:t xml:space="preserve">, </w:t>
      </w:r>
      <w:r w:rsidR="00380666">
        <w:t>Angell believes that German conquest “would have created for herself embarrassments”</w:t>
      </w:r>
      <w:r w:rsidR="00380666">
        <w:rPr>
          <w:rStyle w:val="FootnoteReference"/>
        </w:rPr>
        <w:footnoteReference w:id="40"/>
      </w:r>
      <w:r w:rsidR="00380666">
        <w:t>.</w:t>
      </w:r>
      <w:r w:rsidR="001E1D62">
        <w:t xml:space="preserve"> </w:t>
      </w:r>
      <w:r w:rsidR="005A5340">
        <w:t>Two further arguments are presented in the correspondence. Firstly, an inherited aversion to “Russia and her Slavonic Allies”</w:t>
      </w:r>
      <w:r w:rsidR="005A5340">
        <w:rPr>
          <w:rStyle w:val="FootnoteReference"/>
        </w:rPr>
        <w:footnoteReference w:id="41"/>
      </w:r>
      <w:r w:rsidR="005A5340">
        <w:t>. Angell indicates that victory over the German Empire would only result in a resurgent East, one described as having a “very rudimentary civilisation”</w:t>
      </w:r>
      <w:r w:rsidR="005A5340">
        <w:rPr>
          <w:rStyle w:val="FootnoteReference"/>
        </w:rPr>
        <w:footnoteReference w:id="42"/>
      </w:r>
      <w:r w:rsidR="005A5340">
        <w:t>.</w:t>
      </w:r>
      <w:r w:rsidR="00DC2644">
        <w:t xml:space="preserve"> </w:t>
      </w:r>
      <w:r w:rsidR="000435C8">
        <w:t>It is not only Angell who presents these views, in other articles alongside his own any action in support of Russia or Serbia is condemned. An article titled “’Scholars’ protest against the war with Germany” states that in relation to Germany, “War upon her in the interest of Serbia and Russia will be a sin against Civilisation”</w:t>
      </w:r>
      <w:r w:rsidR="001041DE">
        <w:rPr>
          <w:rStyle w:val="FootnoteReference"/>
        </w:rPr>
        <w:footnoteReference w:id="43"/>
      </w:r>
      <w:r w:rsidR="000435C8">
        <w:t xml:space="preserve">. </w:t>
      </w:r>
      <w:r w:rsidR="001041DE">
        <w:t>Additionally, an article titled “A Socialist Demonstration” highlights “protest against any step being taken by the Government of this country to support Russia”</w:t>
      </w:r>
      <w:r w:rsidR="001041DE">
        <w:rPr>
          <w:rStyle w:val="FootnoteReference"/>
        </w:rPr>
        <w:footnoteReference w:id="44"/>
      </w:r>
      <w:r w:rsidR="001041DE">
        <w:t xml:space="preserve">. </w:t>
      </w:r>
      <w:r w:rsidR="000E72C9">
        <w:t xml:space="preserve">Angell’s argument is further consolidated when considering the distaste of Eastern Europe with the natural affinity indicated between that of the </w:t>
      </w:r>
      <w:r w:rsidR="00A35760">
        <w:t>United Kingdom</w:t>
      </w:r>
      <w:r w:rsidR="000E72C9">
        <w:t xml:space="preserve"> and Germany.</w:t>
      </w:r>
      <w:r w:rsidR="00A35760">
        <w:t xml:space="preserve"> </w:t>
      </w:r>
      <w:r w:rsidR="006A71FD">
        <w:t>This aff</w:t>
      </w:r>
      <w:r w:rsidR="000B4428">
        <w:t xml:space="preserve">inity forms his second argument, Germany </w:t>
      </w:r>
      <w:proofErr w:type="gramStart"/>
      <w:r w:rsidR="000B4428">
        <w:t>is described as being</w:t>
      </w:r>
      <w:proofErr w:type="gramEnd"/>
      <w:r w:rsidR="000B4428">
        <w:t xml:space="preserve"> “highly civilised and mainly given to the arts of trade and commerce”</w:t>
      </w:r>
      <w:r w:rsidR="000B4428">
        <w:rPr>
          <w:rStyle w:val="FootnoteReference"/>
        </w:rPr>
        <w:footnoteReference w:id="45"/>
      </w:r>
      <w:r w:rsidR="000B4428">
        <w:t>.</w:t>
      </w:r>
      <w:r w:rsidR="00FE0DAC">
        <w:t xml:space="preserve"> Again, this view is reflected in accompanying articles. In relation to German academics a “friendship and cooperation” is outlined</w:t>
      </w:r>
      <w:r w:rsidR="00FE0DAC">
        <w:rPr>
          <w:rStyle w:val="FootnoteReference"/>
        </w:rPr>
        <w:footnoteReference w:id="46"/>
      </w:r>
      <w:r w:rsidR="00FE0DAC">
        <w:t xml:space="preserve">. </w:t>
      </w:r>
      <w:r w:rsidR="001F7706">
        <w:t xml:space="preserve">Clearly, Russia is still viewed as the greatest threat to the United Kingdom. </w:t>
      </w:r>
      <w:r w:rsidR="000E72C9">
        <w:t xml:space="preserve"> </w:t>
      </w:r>
      <w:r w:rsidR="0074003D">
        <w:t xml:space="preserve"> </w:t>
      </w:r>
    </w:p>
    <w:p w:rsidR="001F7706" w:rsidRDefault="001F7706" w:rsidP="000814CF">
      <w:r>
        <w:t xml:space="preserve">Drawing on all analysis conducted into Angell’s correspondence, an assessment can now be made promoting greater understanding of the material. Clearly </w:t>
      </w:r>
      <w:proofErr w:type="gramStart"/>
      <w:r>
        <w:t>as a result of</w:t>
      </w:r>
      <w:proofErr w:type="gramEnd"/>
      <w:r>
        <w:t xml:space="preserve"> Angell’s previous work, </w:t>
      </w:r>
      <w:r>
        <w:lastRenderedPageBreak/>
        <w:t>specifically that of ‘The Great Illusion’</w:t>
      </w:r>
      <w:r w:rsidR="004E481D">
        <w:t>,</w:t>
      </w:r>
      <w:r>
        <w:t xml:space="preserve"> combined with the timing of the correspondence</w:t>
      </w:r>
      <w:r w:rsidR="005A24D8">
        <w:t>,</w:t>
      </w:r>
      <w:r>
        <w:t xml:space="preserve"> </w:t>
      </w:r>
      <w:r w:rsidR="004E481D">
        <w:t xml:space="preserve">it </w:t>
      </w:r>
      <w:r w:rsidR="005A24D8">
        <w:t xml:space="preserve">is </w:t>
      </w:r>
      <w:r w:rsidR="004E481D">
        <w:t>his intention to promote a policy of isolation</w:t>
      </w:r>
      <w:r w:rsidR="005A24D8">
        <w:t>. Subsequently,</w:t>
      </w:r>
      <w:r w:rsidR="004E481D">
        <w:t xml:space="preserve"> </w:t>
      </w:r>
      <w:r w:rsidR="005A24D8">
        <w:t>this would prevent</w:t>
      </w:r>
      <w:r w:rsidR="004E481D">
        <w:t xml:space="preserve"> the United Kingdom being dragged into a conventional war in Europe.</w:t>
      </w:r>
      <w:r w:rsidR="005A24D8">
        <w:t xml:space="preserve"> The utilisation of ‘The Times’ newspaper as a means of distributing his message, in combination with his focus on Anti-Slavic ideology whilst indicating the natural affinity with the German people, was a cunning attempt to gather support for his views. Of course, such an attempt to prevent conflict would be unsuccessful</w:t>
      </w:r>
      <w:r w:rsidR="0077523D">
        <w:t>,</w:t>
      </w:r>
      <w:r w:rsidR="005A24D8">
        <w:t xml:space="preserve"> the United Kingdom’s declaration of war on Germany </w:t>
      </w:r>
      <w:r w:rsidR="003B1216">
        <w:t>came</w:t>
      </w:r>
      <w:r w:rsidR="005A24D8">
        <w:t xml:space="preserve"> three days </w:t>
      </w:r>
      <w:proofErr w:type="gramStart"/>
      <w:r w:rsidR="005A24D8">
        <w:t>later on</w:t>
      </w:r>
      <w:proofErr w:type="gramEnd"/>
      <w:r w:rsidR="005A24D8">
        <w:t xml:space="preserve"> the 4</w:t>
      </w:r>
      <w:r w:rsidR="005A24D8" w:rsidRPr="005A24D8">
        <w:rPr>
          <w:vertAlign w:val="superscript"/>
        </w:rPr>
        <w:t>th</w:t>
      </w:r>
      <w:r w:rsidR="005A24D8">
        <w:t xml:space="preserve"> August 1914.    </w:t>
      </w:r>
      <w:r w:rsidR="004E481D">
        <w:t xml:space="preserve">  </w:t>
      </w:r>
      <w:r>
        <w:t xml:space="preserve">  </w:t>
      </w:r>
    </w:p>
    <w:p w:rsidR="008E0981" w:rsidRDefault="00343D0D" w:rsidP="000814CF">
      <w:r>
        <w:t xml:space="preserve"> </w:t>
      </w:r>
      <w:r w:rsidR="00C40B1B">
        <w:t xml:space="preserve"> </w:t>
      </w: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bookmarkStart w:id="0" w:name="_GoBack"/>
      <w:bookmarkEnd w:id="0"/>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3272E7" w:rsidRDefault="003272E7" w:rsidP="00D1783B">
      <w:pPr>
        <w:rPr>
          <w:sz w:val="24"/>
          <w:u w:val="single"/>
        </w:rPr>
      </w:pPr>
    </w:p>
    <w:p w:rsidR="000346EE" w:rsidRDefault="000346EE" w:rsidP="00D1783B">
      <w:pPr>
        <w:rPr>
          <w:sz w:val="24"/>
          <w:u w:val="single"/>
        </w:rPr>
      </w:pPr>
    </w:p>
    <w:p w:rsidR="000814CF" w:rsidRDefault="00D1783B" w:rsidP="00D1783B">
      <w:pPr>
        <w:rPr>
          <w:sz w:val="24"/>
          <w:u w:val="single"/>
        </w:rPr>
      </w:pPr>
      <w:r>
        <w:rPr>
          <w:sz w:val="24"/>
          <w:u w:val="single"/>
        </w:rPr>
        <w:t>Bibliography</w:t>
      </w:r>
    </w:p>
    <w:p w:rsidR="00527735" w:rsidRDefault="00527735" w:rsidP="00D1783B">
      <w:pPr>
        <w:rPr>
          <w:sz w:val="24"/>
          <w:u w:val="single"/>
        </w:rPr>
      </w:pPr>
      <w:r>
        <w:rPr>
          <w:sz w:val="24"/>
          <w:u w:val="single"/>
        </w:rPr>
        <w:t>Primary Material</w:t>
      </w:r>
    </w:p>
    <w:p w:rsidR="00527735" w:rsidRPr="00527735" w:rsidRDefault="00527735" w:rsidP="00D1783B">
      <w:pPr>
        <w:pStyle w:val="ListParagraph"/>
        <w:numPr>
          <w:ilvl w:val="0"/>
          <w:numId w:val="2"/>
        </w:numPr>
      </w:pPr>
      <w:r>
        <w:t xml:space="preserve">Marwick, Arthur, and Simpson, Wendy, (EDS) </w:t>
      </w:r>
      <w:r>
        <w:rPr>
          <w:i/>
        </w:rPr>
        <w:t xml:space="preserve">War, Peace and Social Change – Documents 1 1900-1929 </w:t>
      </w:r>
      <w:r>
        <w:t xml:space="preserve">(Open University Press, 1990), pp. 3-4. </w:t>
      </w:r>
    </w:p>
    <w:p w:rsidR="00527735" w:rsidRDefault="00527735" w:rsidP="00D1783B">
      <w:pPr>
        <w:rPr>
          <w:sz w:val="24"/>
          <w:u w:val="single"/>
        </w:rPr>
      </w:pPr>
      <w:r>
        <w:rPr>
          <w:sz w:val="24"/>
          <w:u w:val="single"/>
        </w:rPr>
        <w:t>Journal Articles</w:t>
      </w:r>
    </w:p>
    <w:p w:rsidR="00527735" w:rsidRPr="00527735" w:rsidRDefault="00527735" w:rsidP="00D1783B">
      <w:pPr>
        <w:pStyle w:val="ListParagraph"/>
        <w:numPr>
          <w:ilvl w:val="0"/>
          <w:numId w:val="2"/>
        </w:numPr>
      </w:pPr>
      <w:r>
        <w:t xml:space="preserve">Weinroth, Howard ‘Norman Angell and the Great Illusion: An Episode in Pre-War Pacifism’ </w:t>
      </w:r>
      <w:r>
        <w:rPr>
          <w:i/>
        </w:rPr>
        <w:t>The Historical Journal,</w:t>
      </w:r>
      <w:r>
        <w:t xml:space="preserve"> XVII, NO3 (1974), pp. 551-74. </w:t>
      </w:r>
    </w:p>
    <w:p w:rsidR="00527735" w:rsidRDefault="00527735" w:rsidP="00D1783B">
      <w:r>
        <w:rPr>
          <w:sz w:val="24"/>
          <w:u w:val="single"/>
        </w:rPr>
        <w:t>Websites</w:t>
      </w:r>
    </w:p>
    <w:p w:rsidR="00344FA0" w:rsidRDefault="00363E22" w:rsidP="00344FA0">
      <w:pPr>
        <w:pStyle w:val="ListParagraph"/>
        <w:numPr>
          <w:ilvl w:val="0"/>
          <w:numId w:val="2"/>
        </w:numPr>
      </w:pPr>
      <w:r>
        <w:t xml:space="preserve">The Nobel Foundation, ‘Sir Norman Angell – Biographical’, Nobel Prize, (2014), [online]. Available: </w:t>
      </w:r>
      <w:hyperlink r:id="rId8" w:history="1">
        <w:r w:rsidRPr="00674A14">
          <w:rPr>
            <w:rStyle w:val="Hyperlink"/>
          </w:rPr>
          <w:t>https://www.nobelprize.org/nobel_prizes/peace/laureates/1933/angell-bio.html</w:t>
        </w:r>
      </w:hyperlink>
      <w:r>
        <w:t xml:space="preserve">. (accessed: 01/12/17). </w:t>
      </w:r>
    </w:p>
    <w:p w:rsidR="00344FA0" w:rsidRDefault="00344FA0" w:rsidP="00344FA0"/>
    <w:p w:rsidR="00344FA0" w:rsidRDefault="00344FA0" w:rsidP="00344FA0"/>
    <w:p w:rsidR="00344FA0" w:rsidRPr="00D1783B" w:rsidRDefault="00344FA0" w:rsidP="00344FA0">
      <w:r>
        <w:t>Total Word Count: 3098</w:t>
      </w:r>
    </w:p>
    <w:sectPr w:rsidR="00344FA0" w:rsidRPr="00D1783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0236" w:rsidRDefault="00A00236" w:rsidP="005F68C9">
      <w:pPr>
        <w:spacing w:after="0" w:line="240" w:lineRule="auto"/>
      </w:pPr>
      <w:r>
        <w:separator/>
      </w:r>
    </w:p>
  </w:endnote>
  <w:endnote w:type="continuationSeparator" w:id="0">
    <w:p w:rsidR="00A00236" w:rsidRDefault="00A00236" w:rsidP="005F6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0236" w:rsidRDefault="00A00236" w:rsidP="005F68C9">
      <w:pPr>
        <w:spacing w:after="0" w:line="240" w:lineRule="auto"/>
      </w:pPr>
      <w:r>
        <w:separator/>
      </w:r>
    </w:p>
  </w:footnote>
  <w:footnote w:type="continuationSeparator" w:id="0">
    <w:p w:rsidR="00A00236" w:rsidRDefault="00A00236" w:rsidP="005F68C9">
      <w:pPr>
        <w:spacing w:after="0" w:line="240" w:lineRule="auto"/>
      </w:pPr>
      <w:r>
        <w:continuationSeparator/>
      </w:r>
    </w:p>
  </w:footnote>
  <w:footnote w:id="1">
    <w:p w:rsidR="009D38F0" w:rsidRPr="000F767B" w:rsidRDefault="0070538A" w:rsidP="009D38F0">
      <w:pPr>
        <w:rPr>
          <w:sz w:val="20"/>
          <w:szCs w:val="20"/>
        </w:rPr>
      </w:pPr>
      <w:r w:rsidRPr="000F767B">
        <w:rPr>
          <w:rStyle w:val="FootnoteReference"/>
          <w:sz w:val="20"/>
          <w:szCs w:val="20"/>
        </w:rPr>
        <w:footnoteRef/>
      </w:r>
      <w:r w:rsidRPr="000F767B">
        <w:rPr>
          <w:sz w:val="20"/>
          <w:szCs w:val="20"/>
        </w:rPr>
        <w:t xml:space="preserve"> P. E. Dewey, ‘Military Recruiting and the British Labour Force During the First World War’. </w:t>
      </w:r>
      <w:r w:rsidRPr="000F767B">
        <w:rPr>
          <w:i/>
          <w:sz w:val="20"/>
          <w:szCs w:val="20"/>
        </w:rPr>
        <w:t>The Historical Journal</w:t>
      </w:r>
      <w:r w:rsidRPr="000F767B">
        <w:rPr>
          <w:sz w:val="20"/>
          <w:szCs w:val="20"/>
        </w:rPr>
        <w:t>, 27, 1: (1984). pp. 199-223.</w:t>
      </w:r>
    </w:p>
  </w:footnote>
  <w:footnote w:id="2">
    <w:p w:rsidR="009D38F0" w:rsidRPr="000F767B" w:rsidRDefault="009D38F0" w:rsidP="009D38F0">
      <w:pPr>
        <w:rPr>
          <w:sz w:val="20"/>
          <w:szCs w:val="20"/>
        </w:rPr>
      </w:pPr>
      <w:r w:rsidRPr="000F767B">
        <w:rPr>
          <w:rStyle w:val="FootnoteReference"/>
          <w:sz w:val="20"/>
          <w:szCs w:val="20"/>
        </w:rPr>
        <w:footnoteRef/>
      </w:r>
      <w:r w:rsidRPr="000F767B">
        <w:rPr>
          <w:sz w:val="20"/>
          <w:szCs w:val="20"/>
        </w:rPr>
        <w:t xml:space="preserve"> P. E. Dewey, ‘British Farming Profits and Government Policy during the First World War’. </w:t>
      </w:r>
      <w:r w:rsidRPr="000F767B">
        <w:rPr>
          <w:i/>
          <w:sz w:val="20"/>
          <w:szCs w:val="20"/>
        </w:rPr>
        <w:t xml:space="preserve">The Economic History Review, </w:t>
      </w:r>
      <w:r w:rsidRPr="000F767B">
        <w:rPr>
          <w:sz w:val="20"/>
          <w:szCs w:val="20"/>
        </w:rPr>
        <w:t xml:space="preserve">37, 3: (1984). pp. 373-390. </w:t>
      </w:r>
    </w:p>
  </w:footnote>
  <w:footnote w:id="3">
    <w:p w:rsidR="009D38F0" w:rsidRPr="000F767B" w:rsidRDefault="009D38F0" w:rsidP="00F62F2F">
      <w:pPr>
        <w:rPr>
          <w:sz w:val="20"/>
          <w:szCs w:val="20"/>
        </w:rPr>
      </w:pPr>
      <w:r w:rsidRPr="000F767B">
        <w:rPr>
          <w:rStyle w:val="FootnoteReference"/>
          <w:sz w:val="20"/>
          <w:szCs w:val="20"/>
        </w:rPr>
        <w:footnoteRef/>
      </w:r>
      <w:r w:rsidRPr="000F767B">
        <w:rPr>
          <w:sz w:val="20"/>
          <w:szCs w:val="20"/>
        </w:rPr>
        <w:t xml:space="preserve"> P. E. Dewey, ‘Food Production and Policy in the United Kingdom, 1914-1918’. </w:t>
      </w:r>
      <w:r w:rsidRPr="000F767B">
        <w:rPr>
          <w:i/>
          <w:sz w:val="20"/>
          <w:szCs w:val="20"/>
        </w:rPr>
        <w:t xml:space="preserve">Transactions of the Royal Historical Society, </w:t>
      </w:r>
      <w:r w:rsidRPr="000F767B">
        <w:rPr>
          <w:sz w:val="20"/>
          <w:szCs w:val="20"/>
        </w:rPr>
        <w:t xml:space="preserve">30: (1980). pp. 71-89. </w:t>
      </w:r>
    </w:p>
  </w:footnote>
  <w:footnote w:id="4">
    <w:p w:rsidR="00F62F2F" w:rsidRPr="000F767B" w:rsidRDefault="00D70A2C">
      <w:pPr>
        <w:pStyle w:val="FootnoteText"/>
      </w:pPr>
      <w:r w:rsidRPr="000F767B">
        <w:rPr>
          <w:rStyle w:val="FootnoteReference"/>
        </w:rPr>
        <w:footnoteRef/>
      </w:r>
      <w:r w:rsidRPr="000F767B">
        <w:t xml:space="preserve"> ‘Military Recruiting’, p. </w:t>
      </w:r>
      <w:r w:rsidR="00F62F2F" w:rsidRPr="000F767B">
        <w:t>200.</w:t>
      </w:r>
    </w:p>
    <w:p w:rsidR="00F62F2F" w:rsidRPr="000F767B" w:rsidRDefault="00F62F2F">
      <w:pPr>
        <w:pStyle w:val="FootnoteText"/>
      </w:pPr>
    </w:p>
  </w:footnote>
  <w:footnote w:id="5">
    <w:p w:rsidR="00F62F2F" w:rsidRPr="000F767B" w:rsidRDefault="00F62F2F">
      <w:pPr>
        <w:pStyle w:val="FootnoteText"/>
      </w:pPr>
      <w:r w:rsidRPr="000F767B">
        <w:rPr>
          <w:rStyle w:val="FootnoteReference"/>
        </w:rPr>
        <w:footnoteRef/>
      </w:r>
      <w:r w:rsidRPr="000F767B">
        <w:t xml:space="preserve"> ‘Military Recruiting’, p. 200.</w:t>
      </w:r>
    </w:p>
    <w:p w:rsidR="00C90945" w:rsidRPr="000F767B" w:rsidRDefault="00C90945">
      <w:pPr>
        <w:pStyle w:val="FootnoteText"/>
      </w:pPr>
    </w:p>
  </w:footnote>
  <w:footnote w:id="6">
    <w:p w:rsidR="007E505F" w:rsidRPr="000F767B" w:rsidRDefault="007E505F" w:rsidP="007E505F">
      <w:pPr>
        <w:pStyle w:val="FootnoteText"/>
      </w:pPr>
      <w:r w:rsidRPr="000F767B">
        <w:rPr>
          <w:rStyle w:val="FootnoteReference"/>
        </w:rPr>
        <w:footnoteRef/>
      </w:r>
      <w:r w:rsidRPr="000F767B">
        <w:t xml:space="preserve"> ‘Military Recruiting’, p. 199.</w:t>
      </w:r>
    </w:p>
    <w:p w:rsidR="00C50416" w:rsidRPr="000F767B" w:rsidRDefault="00C50416" w:rsidP="007E505F">
      <w:pPr>
        <w:pStyle w:val="FootnoteText"/>
      </w:pPr>
    </w:p>
  </w:footnote>
  <w:footnote w:id="7">
    <w:p w:rsidR="00C50416" w:rsidRPr="000F767B" w:rsidRDefault="00C50416">
      <w:pPr>
        <w:pStyle w:val="FootnoteText"/>
      </w:pPr>
      <w:r w:rsidRPr="000F767B">
        <w:rPr>
          <w:rStyle w:val="FootnoteReference"/>
        </w:rPr>
        <w:footnoteRef/>
      </w:r>
      <w:r w:rsidRPr="000F767B">
        <w:t xml:space="preserve"> ‘Military Recruiting’, p. 199.</w:t>
      </w:r>
    </w:p>
    <w:p w:rsidR="000F767B" w:rsidRPr="000F767B" w:rsidRDefault="000F767B">
      <w:pPr>
        <w:pStyle w:val="FootnoteText"/>
      </w:pPr>
    </w:p>
  </w:footnote>
  <w:footnote w:id="8">
    <w:p w:rsidR="000F767B" w:rsidRDefault="000F767B">
      <w:pPr>
        <w:pStyle w:val="FootnoteText"/>
      </w:pPr>
      <w:r w:rsidRPr="000F767B">
        <w:rPr>
          <w:rStyle w:val="FootnoteReference"/>
        </w:rPr>
        <w:footnoteRef/>
      </w:r>
      <w:r w:rsidRPr="000F767B">
        <w:t xml:space="preserve"> C. Barnett, </w:t>
      </w:r>
      <w:r w:rsidRPr="000F767B">
        <w:rPr>
          <w:i/>
        </w:rPr>
        <w:t>Britain and Her Army, 1509-1970: A Military, Political and Social Survey</w:t>
      </w:r>
      <w:r w:rsidRPr="000F767B">
        <w:t xml:space="preserve"> (London: Penguin Books, 1970).</w:t>
      </w:r>
    </w:p>
  </w:footnote>
  <w:footnote w:id="9">
    <w:p w:rsidR="00FD169D" w:rsidRDefault="00FD169D">
      <w:pPr>
        <w:pStyle w:val="FootnoteText"/>
      </w:pPr>
      <w:r>
        <w:rPr>
          <w:rStyle w:val="FootnoteReference"/>
        </w:rPr>
        <w:footnoteRef/>
      </w:r>
      <w:r>
        <w:t xml:space="preserve"> ‘Britain and Her Army’, p. 379.</w:t>
      </w:r>
    </w:p>
    <w:p w:rsidR="00E31CF9" w:rsidRDefault="00E31CF9">
      <w:pPr>
        <w:pStyle w:val="FootnoteText"/>
      </w:pPr>
    </w:p>
  </w:footnote>
  <w:footnote w:id="10">
    <w:p w:rsidR="00E04FEF" w:rsidRDefault="00E04FEF">
      <w:pPr>
        <w:pStyle w:val="FootnoteText"/>
      </w:pPr>
      <w:r>
        <w:rPr>
          <w:rStyle w:val="FootnoteReference"/>
        </w:rPr>
        <w:footnoteRef/>
      </w:r>
      <w:r>
        <w:t xml:space="preserve"> ‘Britain and Her Army’, p. 377.</w:t>
      </w:r>
    </w:p>
    <w:p w:rsidR="00E31CF9" w:rsidRDefault="00E31CF9">
      <w:pPr>
        <w:pStyle w:val="FootnoteText"/>
      </w:pPr>
    </w:p>
  </w:footnote>
  <w:footnote w:id="11">
    <w:p w:rsidR="00E31CF9" w:rsidRDefault="00E31CF9">
      <w:pPr>
        <w:pStyle w:val="FootnoteText"/>
      </w:pPr>
      <w:r>
        <w:rPr>
          <w:rStyle w:val="FootnoteReference"/>
        </w:rPr>
        <w:footnoteRef/>
      </w:r>
      <w:r>
        <w:t xml:space="preserve"> ‘Military Recruiting’, p. 200.</w:t>
      </w:r>
    </w:p>
    <w:p w:rsidR="001A5764" w:rsidRDefault="001A5764">
      <w:pPr>
        <w:pStyle w:val="FootnoteText"/>
      </w:pPr>
    </w:p>
  </w:footnote>
  <w:footnote w:id="12">
    <w:p w:rsidR="001A5764" w:rsidRDefault="001A5764">
      <w:pPr>
        <w:pStyle w:val="FootnoteText"/>
      </w:pPr>
      <w:r>
        <w:rPr>
          <w:rStyle w:val="FootnoteReference"/>
        </w:rPr>
        <w:footnoteRef/>
      </w:r>
      <w:r>
        <w:t xml:space="preserve"> ‘Military Recruiting’, p. 200.</w:t>
      </w:r>
    </w:p>
    <w:p w:rsidR="006B508E" w:rsidRDefault="006B508E">
      <w:pPr>
        <w:pStyle w:val="FootnoteText"/>
      </w:pPr>
    </w:p>
  </w:footnote>
  <w:footnote w:id="13">
    <w:p w:rsidR="006B508E" w:rsidRDefault="006B508E">
      <w:pPr>
        <w:pStyle w:val="FootnoteText"/>
      </w:pPr>
      <w:r>
        <w:rPr>
          <w:rStyle w:val="FootnoteReference"/>
        </w:rPr>
        <w:footnoteRef/>
      </w:r>
      <w:r>
        <w:t xml:space="preserve"> ‘Military Recruiting’, p. 200.</w:t>
      </w:r>
    </w:p>
    <w:p w:rsidR="00DC04E5" w:rsidRDefault="00DC04E5">
      <w:pPr>
        <w:pStyle w:val="FootnoteText"/>
      </w:pPr>
    </w:p>
  </w:footnote>
  <w:footnote w:id="14">
    <w:p w:rsidR="00DC04E5" w:rsidRDefault="00DC04E5">
      <w:pPr>
        <w:pStyle w:val="FootnoteText"/>
      </w:pPr>
      <w:r>
        <w:rPr>
          <w:rStyle w:val="FootnoteReference"/>
        </w:rPr>
        <w:footnoteRef/>
      </w:r>
      <w:r>
        <w:t xml:space="preserve"> ‘Military Recruiting’, p. 218.</w:t>
      </w:r>
    </w:p>
    <w:p w:rsidR="00DC04E5" w:rsidRDefault="00DC04E5">
      <w:pPr>
        <w:pStyle w:val="FootnoteText"/>
      </w:pPr>
    </w:p>
  </w:footnote>
  <w:footnote w:id="15">
    <w:p w:rsidR="00DC04E5" w:rsidRDefault="00DC04E5">
      <w:pPr>
        <w:pStyle w:val="FootnoteText"/>
      </w:pPr>
      <w:r>
        <w:rPr>
          <w:rStyle w:val="FootnoteReference"/>
        </w:rPr>
        <w:footnoteRef/>
      </w:r>
      <w:r>
        <w:t xml:space="preserve"> ‘Military Recruiting’, p. 220.</w:t>
      </w:r>
    </w:p>
    <w:p w:rsidR="00600A6C" w:rsidRDefault="00600A6C">
      <w:pPr>
        <w:pStyle w:val="FootnoteText"/>
      </w:pPr>
    </w:p>
  </w:footnote>
  <w:footnote w:id="16">
    <w:p w:rsidR="00600A6C" w:rsidRDefault="00600A6C">
      <w:pPr>
        <w:pStyle w:val="FootnoteText"/>
      </w:pPr>
      <w:r>
        <w:rPr>
          <w:rStyle w:val="FootnoteReference"/>
        </w:rPr>
        <w:footnoteRef/>
      </w:r>
      <w:r>
        <w:t xml:space="preserve"> ‘Military Recruiting’, p. 219.</w:t>
      </w:r>
    </w:p>
  </w:footnote>
  <w:footnote w:id="17">
    <w:p w:rsidR="002C3E62" w:rsidRDefault="002C3E62">
      <w:pPr>
        <w:pStyle w:val="FootnoteText"/>
      </w:pPr>
      <w:r>
        <w:rPr>
          <w:rStyle w:val="FootnoteReference"/>
        </w:rPr>
        <w:footnoteRef/>
      </w:r>
      <w:r>
        <w:t xml:space="preserve"> ‘Military Recruiting’, p. 201.</w:t>
      </w:r>
    </w:p>
    <w:p w:rsidR="003345FB" w:rsidRDefault="003345FB">
      <w:pPr>
        <w:pStyle w:val="FootnoteText"/>
      </w:pPr>
    </w:p>
  </w:footnote>
  <w:footnote w:id="18">
    <w:p w:rsidR="003345FB" w:rsidRDefault="003345FB">
      <w:pPr>
        <w:pStyle w:val="FootnoteText"/>
      </w:pPr>
      <w:r>
        <w:rPr>
          <w:rStyle w:val="FootnoteReference"/>
        </w:rPr>
        <w:footnoteRef/>
      </w:r>
      <w:r>
        <w:t xml:space="preserve"> ‘Military Recruiting’, p. 221.</w:t>
      </w:r>
    </w:p>
    <w:p w:rsidR="00E933F4" w:rsidRDefault="00E933F4">
      <w:pPr>
        <w:pStyle w:val="FootnoteText"/>
      </w:pPr>
    </w:p>
  </w:footnote>
  <w:footnote w:id="19">
    <w:p w:rsidR="00E933F4" w:rsidRPr="00D3004F" w:rsidRDefault="00E933F4" w:rsidP="00D3004F">
      <w:pPr>
        <w:rPr>
          <w:sz w:val="20"/>
        </w:rPr>
      </w:pPr>
      <w:r>
        <w:rPr>
          <w:rStyle w:val="FootnoteReference"/>
        </w:rPr>
        <w:footnoteRef/>
      </w:r>
      <w:r>
        <w:t xml:space="preserve"> </w:t>
      </w:r>
      <w:r w:rsidRPr="00E933F4">
        <w:rPr>
          <w:sz w:val="20"/>
        </w:rPr>
        <w:t xml:space="preserve">P. E. Dewey, </w:t>
      </w:r>
      <w:r w:rsidRPr="00E933F4">
        <w:rPr>
          <w:i/>
          <w:sz w:val="20"/>
        </w:rPr>
        <w:t xml:space="preserve">British Agriculture in the First World War </w:t>
      </w:r>
      <w:r w:rsidRPr="00E933F4">
        <w:rPr>
          <w:sz w:val="20"/>
        </w:rPr>
        <w:t xml:space="preserve">(London: Routledge, 1989). </w:t>
      </w:r>
    </w:p>
  </w:footnote>
  <w:footnote w:id="20">
    <w:p w:rsidR="00D16F01" w:rsidRPr="00D16F01" w:rsidRDefault="00D16F01" w:rsidP="00D16F01">
      <w:pPr>
        <w:rPr>
          <w:sz w:val="20"/>
        </w:rPr>
      </w:pPr>
      <w:r>
        <w:rPr>
          <w:rStyle w:val="FootnoteReference"/>
        </w:rPr>
        <w:footnoteRef/>
      </w:r>
      <w:r>
        <w:t xml:space="preserve"> </w:t>
      </w:r>
      <w:r w:rsidRPr="00D16F01">
        <w:rPr>
          <w:sz w:val="20"/>
        </w:rPr>
        <w:t xml:space="preserve">N. H. Pollock, ‘Review: British Agriculture in the First World War by P. E. Dewey’. </w:t>
      </w:r>
      <w:r w:rsidRPr="00D16F01">
        <w:rPr>
          <w:i/>
          <w:sz w:val="20"/>
        </w:rPr>
        <w:t>Technology and Culture</w:t>
      </w:r>
      <w:r>
        <w:rPr>
          <w:sz w:val="20"/>
        </w:rPr>
        <w:t xml:space="preserve">, 32, </w:t>
      </w:r>
      <w:r w:rsidRPr="00D16F01">
        <w:rPr>
          <w:sz w:val="20"/>
        </w:rPr>
        <w:t>1: (1991). pp. 162-163.</w:t>
      </w:r>
    </w:p>
  </w:footnote>
  <w:footnote w:id="21">
    <w:p w:rsidR="00D16F01" w:rsidRDefault="00D16F01">
      <w:pPr>
        <w:pStyle w:val="FootnoteText"/>
      </w:pPr>
      <w:r>
        <w:rPr>
          <w:rStyle w:val="FootnoteReference"/>
        </w:rPr>
        <w:footnoteRef/>
      </w:r>
      <w:r>
        <w:t xml:space="preserve"> ‘Review: British Agriculture’, p. 162.</w:t>
      </w:r>
    </w:p>
    <w:p w:rsidR="002D74C6" w:rsidRDefault="002D74C6">
      <w:pPr>
        <w:pStyle w:val="FootnoteText"/>
      </w:pPr>
    </w:p>
  </w:footnote>
  <w:footnote w:id="22">
    <w:p w:rsidR="002D74C6" w:rsidRDefault="002D74C6">
      <w:pPr>
        <w:pStyle w:val="FootnoteText"/>
      </w:pPr>
      <w:r>
        <w:rPr>
          <w:rStyle w:val="FootnoteReference"/>
        </w:rPr>
        <w:footnoteRef/>
      </w:r>
      <w:r>
        <w:t xml:space="preserve"> </w:t>
      </w:r>
      <w:r w:rsidR="005F203F">
        <w:t>‘</w:t>
      </w:r>
      <w:r>
        <w:t>Britain and Her Army’, p. 377.</w:t>
      </w:r>
    </w:p>
    <w:p w:rsidR="004F47C2" w:rsidRDefault="004F47C2">
      <w:pPr>
        <w:pStyle w:val="FootnoteText"/>
      </w:pPr>
    </w:p>
  </w:footnote>
  <w:footnote w:id="23">
    <w:p w:rsidR="004F47C2" w:rsidRDefault="004F47C2">
      <w:pPr>
        <w:pStyle w:val="FootnoteText"/>
      </w:pPr>
      <w:r>
        <w:rPr>
          <w:rStyle w:val="FootnoteReference"/>
        </w:rPr>
        <w:footnoteRef/>
      </w:r>
      <w:r w:rsidR="005F203F">
        <w:t xml:space="preserve"> ‘</w:t>
      </w:r>
      <w:r>
        <w:t>Military Recruiting’, p. 206.</w:t>
      </w:r>
    </w:p>
    <w:p w:rsidR="005F203F" w:rsidRDefault="005F203F">
      <w:pPr>
        <w:pStyle w:val="FootnoteText"/>
      </w:pPr>
    </w:p>
  </w:footnote>
  <w:footnote w:id="24">
    <w:p w:rsidR="005F203F" w:rsidRDefault="005F203F">
      <w:pPr>
        <w:pStyle w:val="FootnoteText"/>
      </w:pPr>
      <w:r>
        <w:rPr>
          <w:rStyle w:val="FootnoteReference"/>
        </w:rPr>
        <w:footnoteRef/>
      </w:r>
      <w:r>
        <w:t xml:space="preserve"> ‘Military Recruiting’, p. 206.</w:t>
      </w:r>
    </w:p>
    <w:p w:rsidR="001B1B91" w:rsidRDefault="001B1B91">
      <w:pPr>
        <w:pStyle w:val="FootnoteText"/>
      </w:pPr>
    </w:p>
  </w:footnote>
  <w:footnote w:id="25">
    <w:p w:rsidR="001B1B91" w:rsidRDefault="001B1B91">
      <w:pPr>
        <w:pStyle w:val="FootnoteText"/>
      </w:pPr>
      <w:r>
        <w:rPr>
          <w:rStyle w:val="FootnoteReference"/>
        </w:rPr>
        <w:footnoteRef/>
      </w:r>
      <w:r>
        <w:t xml:space="preserve"> ‘Military Recruiting’, p. 206.</w:t>
      </w:r>
    </w:p>
    <w:p w:rsidR="00B709D2" w:rsidRDefault="00B709D2">
      <w:pPr>
        <w:pStyle w:val="FootnoteText"/>
      </w:pPr>
    </w:p>
  </w:footnote>
  <w:footnote w:id="26">
    <w:p w:rsidR="005668DF" w:rsidRDefault="005668DF">
      <w:pPr>
        <w:pStyle w:val="FootnoteText"/>
      </w:pPr>
      <w:r>
        <w:rPr>
          <w:rStyle w:val="FootnoteReference"/>
        </w:rPr>
        <w:footnoteRef/>
      </w:r>
      <w:r>
        <w:t xml:space="preserve"> ‘Military Recruiting’, p. 206.</w:t>
      </w:r>
    </w:p>
    <w:p w:rsidR="00B709D2" w:rsidRDefault="00B709D2">
      <w:pPr>
        <w:pStyle w:val="FootnoteText"/>
      </w:pPr>
    </w:p>
  </w:footnote>
  <w:footnote w:id="27">
    <w:p w:rsidR="00B709D2" w:rsidRDefault="00B709D2">
      <w:pPr>
        <w:pStyle w:val="FootnoteText"/>
      </w:pPr>
      <w:r>
        <w:rPr>
          <w:rStyle w:val="FootnoteReference"/>
        </w:rPr>
        <w:footnoteRef/>
      </w:r>
      <w:r>
        <w:t xml:space="preserve"> ‘Military Recruiting’, p. 213.</w:t>
      </w:r>
    </w:p>
    <w:p w:rsidR="007F0CCF" w:rsidRDefault="007F0CCF">
      <w:pPr>
        <w:pStyle w:val="FootnoteText"/>
      </w:pPr>
    </w:p>
  </w:footnote>
  <w:footnote w:id="28">
    <w:p w:rsidR="007F0CCF" w:rsidRDefault="007F0CCF">
      <w:pPr>
        <w:pStyle w:val="FootnoteText"/>
      </w:pPr>
      <w:r>
        <w:rPr>
          <w:rStyle w:val="FootnoteReference"/>
        </w:rPr>
        <w:footnoteRef/>
      </w:r>
      <w:r>
        <w:t xml:space="preserve"> ‘Military Recruiting’, p. 220.</w:t>
      </w:r>
    </w:p>
    <w:p w:rsidR="00A1087B" w:rsidRDefault="00A1087B">
      <w:pPr>
        <w:pStyle w:val="FootnoteText"/>
      </w:pPr>
    </w:p>
  </w:footnote>
  <w:footnote w:id="29">
    <w:p w:rsidR="00A1087B" w:rsidRDefault="00A1087B">
      <w:pPr>
        <w:pStyle w:val="FootnoteText"/>
      </w:pPr>
      <w:r>
        <w:rPr>
          <w:rStyle w:val="FootnoteReference"/>
        </w:rPr>
        <w:footnoteRef/>
      </w:r>
      <w:r>
        <w:t xml:space="preserve"> ‘Review: British Agriculture’, p. 162.</w:t>
      </w:r>
    </w:p>
    <w:p w:rsidR="00A1087B" w:rsidRDefault="00A1087B">
      <w:pPr>
        <w:pStyle w:val="FootnoteText"/>
      </w:pPr>
    </w:p>
  </w:footnote>
  <w:footnote w:id="30">
    <w:p w:rsidR="00A1087B" w:rsidRPr="00F833DB" w:rsidRDefault="00A1087B" w:rsidP="00A1087B">
      <w:r>
        <w:rPr>
          <w:rStyle w:val="FootnoteReference"/>
        </w:rPr>
        <w:footnoteRef/>
      </w:r>
      <w:r>
        <w:t xml:space="preserve"> </w:t>
      </w:r>
      <w:r w:rsidRPr="00A1087B">
        <w:rPr>
          <w:sz w:val="20"/>
        </w:rPr>
        <w:t xml:space="preserve">G. L. Savage, ‘Review: British Agriculture in the First World War by P. E. Dewey’. </w:t>
      </w:r>
      <w:r w:rsidRPr="00A1087B">
        <w:rPr>
          <w:i/>
          <w:sz w:val="20"/>
        </w:rPr>
        <w:t>Albion: A Quarterly Journal Concerned with British Studies</w:t>
      </w:r>
      <w:r w:rsidRPr="00A1087B">
        <w:rPr>
          <w:sz w:val="20"/>
        </w:rPr>
        <w:t xml:space="preserve">, 22, 2: (1990). pp. 344-345. </w:t>
      </w:r>
    </w:p>
    <w:p w:rsidR="00A1087B" w:rsidRDefault="00A1087B">
      <w:pPr>
        <w:pStyle w:val="FootnoteText"/>
      </w:pPr>
    </w:p>
  </w:footnote>
  <w:footnote w:id="31">
    <w:p w:rsidR="00C41C0A" w:rsidRDefault="00C41C0A" w:rsidP="00C41C0A">
      <w:r>
        <w:rPr>
          <w:rStyle w:val="FootnoteReference"/>
        </w:rPr>
        <w:footnoteRef/>
      </w:r>
      <w:r>
        <w:t xml:space="preserve"> </w:t>
      </w:r>
      <w:r w:rsidRPr="00C41C0A">
        <w:rPr>
          <w:sz w:val="20"/>
        </w:rPr>
        <w:t xml:space="preserve">Marwick, Arthur, and Simpson, Wendy, (EDS) </w:t>
      </w:r>
      <w:r w:rsidRPr="00C41C0A">
        <w:rPr>
          <w:i/>
          <w:sz w:val="20"/>
        </w:rPr>
        <w:t xml:space="preserve">War, Peace and Social Change – Documents 1 1900-1929 </w:t>
      </w:r>
      <w:r w:rsidRPr="00C41C0A">
        <w:rPr>
          <w:sz w:val="20"/>
        </w:rPr>
        <w:t xml:space="preserve">(Open University Press, 1990), pp. 3-4. </w:t>
      </w:r>
    </w:p>
  </w:footnote>
  <w:footnote w:id="32">
    <w:p w:rsidR="0003300C" w:rsidRDefault="0003300C">
      <w:pPr>
        <w:pStyle w:val="FootnoteText"/>
      </w:pPr>
      <w:r>
        <w:rPr>
          <w:rStyle w:val="FootnoteReference"/>
        </w:rPr>
        <w:footnoteRef/>
      </w:r>
      <w:r>
        <w:t xml:space="preserve"> ‘War, Peace and Social Change’, p. 3-4.</w:t>
      </w:r>
    </w:p>
    <w:p w:rsidR="005668AA" w:rsidRDefault="005668AA">
      <w:pPr>
        <w:pStyle w:val="FootnoteText"/>
      </w:pPr>
    </w:p>
  </w:footnote>
  <w:footnote w:id="33">
    <w:p w:rsidR="005668AA" w:rsidRDefault="005668AA" w:rsidP="00527735">
      <w:r>
        <w:rPr>
          <w:rStyle w:val="FootnoteReference"/>
        </w:rPr>
        <w:footnoteRef/>
      </w:r>
      <w:r>
        <w:t xml:space="preserve"> </w:t>
      </w:r>
      <w:r w:rsidRPr="005668AA">
        <w:rPr>
          <w:sz w:val="20"/>
        </w:rPr>
        <w:t xml:space="preserve">The Nobel Foundation, ‘Sir Norman Angell – Biographical’, Nobel Prize, (2014), [online]. Available: </w:t>
      </w:r>
      <w:hyperlink r:id="rId1" w:history="1">
        <w:r w:rsidRPr="005668AA">
          <w:rPr>
            <w:rStyle w:val="Hyperlink"/>
            <w:sz w:val="20"/>
          </w:rPr>
          <w:t>https://www.nobelprize.org/nobel_prizes/peace/laureates/1933/angell-bio.html</w:t>
        </w:r>
      </w:hyperlink>
      <w:r w:rsidRPr="005668AA">
        <w:rPr>
          <w:sz w:val="20"/>
        </w:rPr>
        <w:t xml:space="preserve">. (accessed: 01/12/17). </w:t>
      </w:r>
    </w:p>
  </w:footnote>
  <w:footnote w:id="34">
    <w:p w:rsidR="007804B4" w:rsidRDefault="007804B4">
      <w:pPr>
        <w:pStyle w:val="FootnoteText"/>
      </w:pPr>
      <w:r>
        <w:rPr>
          <w:rStyle w:val="FootnoteReference"/>
        </w:rPr>
        <w:footnoteRef/>
      </w:r>
      <w:r>
        <w:t xml:space="preserve"> ‘Nobel Foundation’ </w:t>
      </w:r>
      <w:r w:rsidR="00DC1D70">
        <w:t>(</w:t>
      </w:r>
      <w:r>
        <w:t>2014</w:t>
      </w:r>
      <w:r w:rsidR="00DC1D70">
        <w:t>)</w:t>
      </w:r>
      <w:r>
        <w:t>.</w:t>
      </w:r>
    </w:p>
    <w:p w:rsidR="00527735" w:rsidRDefault="00527735">
      <w:pPr>
        <w:pStyle w:val="FootnoteText"/>
      </w:pPr>
    </w:p>
  </w:footnote>
  <w:footnote w:id="35">
    <w:p w:rsidR="00527735" w:rsidRPr="00527735" w:rsidRDefault="00527735" w:rsidP="00527735">
      <w:r>
        <w:rPr>
          <w:rStyle w:val="FootnoteReference"/>
        </w:rPr>
        <w:footnoteRef/>
      </w:r>
      <w:r>
        <w:t xml:space="preserve"> </w:t>
      </w:r>
      <w:r w:rsidRPr="00527735">
        <w:rPr>
          <w:sz w:val="20"/>
        </w:rPr>
        <w:t xml:space="preserve">Weinroth, Howard ‘Norman Angell and the Great Illusion: An Episode in Pre-War Pacifism’ </w:t>
      </w:r>
      <w:r w:rsidRPr="00527735">
        <w:rPr>
          <w:i/>
          <w:sz w:val="20"/>
        </w:rPr>
        <w:t>The Historical Journal,</w:t>
      </w:r>
      <w:r w:rsidRPr="00527735">
        <w:rPr>
          <w:sz w:val="20"/>
        </w:rPr>
        <w:t xml:space="preserve"> XVII, NO3 (1974), pp. 551-74. </w:t>
      </w:r>
    </w:p>
    <w:p w:rsidR="00527735" w:rsidRDefault="00527735">
      <w:pPr>
        <w:pStyle w:val="FootnoteText"/>
      </w:pPr>
    </w:p>
  </w:footnote>
  <w:footnote w:id="36">
    <w:p w:rsidR="00C40B1B" w:rsidRDefault="00C40B1B">
      <w:pPr>
        <w:pStyle w:val="FootnoteText"/>
      </w:pPr>
      <w:r>
        <w:rPr>
          <w:rStyle w:val="FootnoteReference"/>
        </w:rPr>
        <w:footnoteRef/>
      </w:r>
      <w:r>
        <w:t xml:space="preserve"> </w:t>
      </w:r>
      <w:r w:rsidR="005A5340">
        <w:t>‘</w:t>
      </w:r>
      <w:r>
        <w:t>War, Peace and Social Change’, p. 3-4.</w:t>
      </w:r>
    </w:p>
  </w:footnote>
  <w:footnote w:id="37">
    <w:p w:rsidR="00343D0D" w:rsidRDefault="00343D0D">
      <w:pPr>
        <w:pStyle w:val="FootnoteText"/>
      </w:pPr>
      <w:r>
        <w:rPr>
          <w:rStyle w:val="FootnoteReference"/>
        </w:rPr>
        <w:footnoteRef/>
      </w:r>
      <w:r>
        <w:t xml:space="preserve"> </w:t>
      </w:r>
      <w:r w:rsidR="005A5340">
        <w:t>‘</w:t>
      </w:r>
      <w:r>
        <w:t>War, Peace and Social Change’, p. 3-4.</w:t>
      </w:r>
    </w:p>
    <w:p w:rsidR="00575720" w:rsidRDefault="00575720">
      <w:pPr>
        <w:pStyle w:val="FootnoteText"/>
      </w:pPr>
    </w:p>
  </w:footnote>
  <w:footnote w:id="38">
    <w:p w:rsidR="00575720" w:rsidRDefault="00575720">
      <w:pPr>
        <w:pStyle w:val="FootnoteText"/>
      </w:pPr>
      <w:r>
        <w:rPr>
          <w:rStyle w:val="FootnoteReference"/>
        </w:rPr>
        <w:footnoteRef/>
      </w:r>
      <w:r>
        <w:t xml:space="preserve"> </w:t>
      </w:r>
      <w:r w:rsidR="005A5340">
        <w:t>‘</w:t>
      </w:r>
      <w:r>
        <w:t>War, Peace and Social Change’, p. 3-4.</w:t>
      </w:r>
    </w:p>
    <w:p w:rsidR="007C4EF0" w:rsidRDefault="007C4EF0">
      <w:pPr>
        <w:pStyle w:val="FootnoteText"/>
      </w:pPr>
    </w:p>
  </w:footnote>
  <w:footnote w:id="39">
    <w:p w:rsidR="007C4EF0" w:rsidRDefault="007C4EF0">
      <w:pPr>
        <w:pStyle w:val="FootnoteText"/>
      </w:pPr>
      <w:r>
        <w:rPr>
          <w:rStyle w:val="FootnoteReference"/>
        </w:rPr>
        <w:footnoteRef/>
      </w:r>
      <w:r>
        <w:t xml:space="preserve"> </w:t>
      </w:r>
      <w:r w:rsidR="005A5340">
        <w:t>‘</w:t>
      </w:r>
      <w:r>
        <w:t>War, Peace and Social Change’, p. 3-4.</w:t>
      </w:r>
    </w:p>
    <w:p w:rsidR="00380666" w:rsidRDefault="00380666">
      <w:pPr>
        <w:pStyle w:val="FootnoteText"/>
      </w:pPr>
    </w:p>
  </w:footnote>
  <w:footnote w:id="40">
    <w:p w:rsidR="00380666" w:rsidRDefault="00380666">
      <w:pPr>
        <w:pStyle w:val="FootnoteText"/>
      </w:pPr>
      <w:r>
        <w:rPr>
          <w:rStyle w:val="FootnoteReference"/>
        </w:rPr>
        <w:footnoteRef/>
      </w:r>
      <w:r>
        <w:t xml:space="preserve"> </w:t>
      </w:r>
      <w:r w:rsidR="005A5340">
        <w:t>‘</w:t>
      </w:r>
      <w:r>
        <w:t>War, Peace and Social Change’, p. 3-4.</w:t>
      </w:r>
    </w:p>
    <w:p w:rsidR="005A5340" w:rsidRDefault="005A5340">
      <w:pPr>
        <w:pStyle w:val="FootnoteText"/>
      </w:pPr>
    </w:p>
  </w:footnote>
  <w:footnote w:id="41">
    <w:p w:rsidR="005A5340" w:rsidRDefault="005A5340">
      <w:pPr>
        <w:pStyle w:val="FootnoteText"/>
      </w:pPr>
      <w:r>
        <w:rPr>
          <w:rStyle w:val="FootnoteReference"/>
        </w:rPr>
        <w:footnoteRef/>
      </w:r>
      <w:r>
        <w:t xml:space="preserve"> ‘</w:t>
      </w:r>
      <w:r>
        <w:t>War, Peace and Social Change’, p. 3-4.</w:t>
      </w:r>
    </w:p>
    <w:p w:rsidR="005A5340" w:rsidRDefault="005A5340">
      <w:pPr>
        <w:pStyle w:val="FootnoteText"/>
      </w:pPr>
    </w:p>
  </w:footnote>
  <w:footnote w:id="42">
    <w:p w:rsidR="005A5340" w:rsidRDefault="005A5340">
      <w:pPr>
        <w:pStyle w:val="FootnoteText"/>
      </w:pPr>
      <w:r>
        <w:rPr>
          <w:rStyle w:val="FootnoteReference"/>
        </w:rPr>
        <w:footnoteRef/>
      </w:r>
      <w:r>
        <w:t xml:space="preserve"> ‘</w:t>
      </w:r>
      <w:r>
        <w:t>War, Peace and Social Change’, p. 3-4.</w:t>
      </w:r>
    </w:p>
    <w:p w:rsidR="001041DE" w:rsidRDefault="001041DE">
      <w:pPr>
        <w:pStyle w:val="FootnoteText"/>
      </w:pPr>
    </w:p>
  </w:footnote>
  <w:footnote w:id="43">
    <w:p w:rsidR="001041DE" w:rsidRDefault="001041DE">
      <w:pPr>
        <w:pStyle w:val="FootnoteText"/>
      </w:pPr>
      <w:r>
        <w:rPr>
          <w:rStyle w:val="FootnoteReference"/>
        </w:rPr>
        <w:footnoteRef/>
      </w:r>
      <w:r>
        <w:t xml:space="preserve"> </w:t>
      </w:r>
      <w:r w:rsidR="001A78C1">
        <w:t>‘</w:t>
      </w:r>
      <w:r>
        <w:t>War, Peace and Social Change’, p. 3-4.</w:t>
      </w:r>
    </w:p>
    <w:p w:rsidR="001041DE" w:rsidRDefault="001041DE">
      <w:pPr>
        <w:pStyle w:val="FootnoteText"/>
      </w:pPr>
    </w:p>
  </w:footnote>
  <w:footnote w:id="44">
    <w:p w:rsidR="001041DE" w:rsidRDefault="001041DE">
      <w:pPr>
        <w:pStyle w:val="FootnoteText"/>
      </w:pPr>
      <w:r>
        <w:rPr>
          <w:rStyle w:val="FootnoteReference"/>
        </w:rPr>
        <w:footnoteRef/>
      </w:r>
      <w:r>
        <w:t xml:space="preserve"> </w:t>
      </w:r>
      <w:r w:rsidR="001A78C1">
        <w:t>‘</w:t>
      </w:r>
      <w:r>
        <w:t>War, Peace and Social Change’, p. 3-4.</w:t>
      </w:r>
    </w:p>
    <w:p w:rsidR="000B4428" w:rsidRDefault="000B4428">
      <w:pPr>
        <w:pStyle w:val="FootnoteText"/>
      </w:pPr>
    </w:p>
  </w:footnote>
  <w:footnote w:id="45">
    <w:p w:rsidR="000B4428" w:rsidRDefault="000B4428">
      <w:pPr>
        <w:pStyle w:val="FootnoteText"/>
      </w:pPr>
      <w:r>
        <w:rPr>
          <w:rStyle w:val="FootnoteReference"/>
        </w:rPr>
        <w:footnoteRef/>
      </w:r>
      <w:r>
        <w:t xml:space="preserve"> </w:t>
      </w:r>
      <w:r w:rsidR="003565A7">
        <w:t>‘</w:t>
      </w:r>
      <w:r>
        <w:t>War, Peace and Social Change’, p. 3-4.</w:t>
      </w:r>
    </w:p>
    <w:p w:rsidR="00FE0DAC" w:rsidRDefault="00FE0DAC">
      <w:pPr>
        <w:pStyle w:val="FootnoteText"/>
      </w:pPr>
    </w:p>
  </w:footnote>
  <w:footnote w:id="46">
    <w:p w:rsidR="00FE0DAC" w:rsidRDefault="00FE0DAC">
      <w:pPr>
        <w:pStyle w:val="FootnoteText"/>
      </w:pPr>
      <w:r>
        <w:rPr>
          <w:rStyle w:val="FootnoteReference"/>
        </w:rPr>
        <w:footnoteRef/>
      </w:r>
      <w:r>
        <w:t xml:space="preserve"> </w:t>
      </w:r>
      <w:r>
        <w:t>War, Peace and Social Change’, p. 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8C9" w:rsidRDefault="005F68C9">
    <w:pPr>
      <w:pStyle w:val="Header"/>
    </w:pPr>
    <w:r>
      <w:t>Jordan Edwards 1502326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9E2F99"/>
    <w:multiLevelType w:val="hybridMultilevel"/>
    <w:tmpl w:val="9E9667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9C30B3C"/>
    <w:multiLevelType w:val="hybridMultilevel"/>
    <w:tmpl w:val="6CD458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2F7B"/>
    <w:rsid w:val="00021B47"/>
    <w:rsid w:val="0003300C"/>
    <w:rsid w:val="000346EE"/>
    <w:rsid w:val="000435C8"/>
    <w:rsid w:val="0004785F"/>
    <w:rsid w:val="00050248"/>
    <w:rsid w:val="000562C7"/>
    <w:rsid w:val="0006438E"/>
    <w:rsid w:val="00071D58"/>
    <w:rsid w:val="000814CF"/>
    <w:rsid w:val="00087477"/>
    <w:rsid w:val="00094115"/>
    <w:rsid w:val="000A2912"/>
    <w:rsid w:val="000B4428"/>
    <w:rsid w:val="000C4DA0"/>
    <w:rsid w:val="000D35D7"/>
    <w:rsid w:val="000E2F26"/>
    <w:rsid w:val="000E3267"/>
    <w:rsid w:val="000E72C9"/>
    <w:rsid w:val="000F06E8"/>
    <w:rsid w:val="000F0DEE"/>
    <w:rsid w:val="000F767B"/>
    <w:rsid w:val="001035FD"/>
    <w:rsid w:val="001041DE"/>
    <w:rsid w:val="001336C8"/>
    <w:rsid w:val="0014658E"/>
    <w:rsid w:val="001466DB"/>
    <w:rsid w:val="00146CA4"/>
    <w:rsid w:val="0015120C"/>
    <w:rsid w:val="00167457"/>
    <w:rsid w:val="001A5764"/>
    <w:rsid w:val="001A78C1"/>
    <w:rsid w:val="001B1B91"/>
    <w:rsid w:val="001E1D62"/>
    <w:rsid w:val="001E4608"/>
    <w:rsid w:val="001E7894"/>
    <w:rsid w:val="001F5AC9"/>
    <w:rsid w:val="001F7706"/>
    <w:rsid w:val="00204F08"/>
    <w:rsid w:val="00210C0A"/>
    <w:rsid w:val="0022469F"/>
    <w:rsid w:val="002247AF"/>
    <w:rsid w:val="00247F1B"/>
    <w:rsid w:val="002522A1"/>
    <w:rsid w:val="0027199F"/>
    <w:rsid w:val="00272350"/>
    <w:rsid w:val="00296B01"/>
    <w:rsid w:val="002B2352"/>
    <w:rsid w:val="002B5374"/>
    <w:rsid w:val="002C3E62"/>
    <w:rsid w:val="002D74C6"/>
    <w:rsid w:val="003116AC"/>
    <w:rsid w:val="0032151B"/>
    <w:rsid w:val="003249A2"/>
    <w:rsid w:val="003272E7"/>
    <w:rsid w:val="00333D23"/>
    <w:rsid w:val="003345FB"/>
    <w:rsid w:val="00337E16"/>
    <w:rsid w:val="00343201"/>
    <w:rsid w:val="00343D0D"/>
    <w:rsid w:val="00344FA0"/>
    <w:rsid w:val="003520E9"/>
    <w:rsid w:val="003565A7"/>
    <w:rsid w:val="00363E22"/>
    <w:rsid w:val="00372DB0"/>
    <w:rsid w:val="00380666"/>
    <w:rsid w:val="003B1216"/>
    <w:rsid w:val="003B336C"/>
    <w:rsid w:val="0042776F"/>
    <w:rsid w:val="004530A4"/>
    <w:rsid w:val="00455777"/>
    <w:rsid w:val="00457CC1"/>
    <w:rsid w:val="0047286D"/>
    <w:rsid w:val="00473D98"/>
    <w:rsid w:val="004741AF"/>
    <w:rsid w:val="00476C64"/>
    <w:rsid w:val="004A0DD8"/>
    <w:rsid w:val="004E455D"/>
    <w:rsid w:val="004E481D"/>
    <w:rsid w:val="004F47C2"/>
    <w:rsid w:val="0050489E"/>
    <w:rsid w:val="00512830"/>
    <w:rsid w:val="005216B8"/>
    <w:rsid w:val="005257AD"/>
    <w:rsid w:val="00526D1B"/>
    <w:rsid w:val="00527735"/>
    <w:rsid w:val="0054654E"/>
    <w:rsid w:val="00551718"/>
    <w:rsid w:val="0056203D"/>
    <w:rsid w:val="005626EC"/>
    <w:rsid w:val="00565909"/>
    <w:rsid w:val="005668AA"/>
    <w:rsid w:val="005668DF"/>
    <w:rsid w:val="00570547"/>
    <w:rsid w:val="00575720"/>
    <w:rsid w:val="00581644"/>
    <w:rsid w:val="00595CFA"/>
    <w:rsid w:val="005A24D8"/>
    <w:rsid w:val="005A3EAF"/>
    <w:rsid w:val="005A5340"/>
    <w:rsid w:val="005B565D"/>
    <w:rsid w:val="005F0239"/>
    <w:rsid w:val="005F203F"/>
    <w:rsid w:val="005F60F3"/>
    <w:rsid w:val="005F68C9"/>
    <w:rsid w:val="00600A6C"/>
    <w:rsid w:val="0061589E"/>
    <w:rsid w:val="00622B80"/>
    <w:rsid w:val="0063534F"/>
    <w:rsid w:val="006363C9"/>
    <w:rsid w:val="00674F7C"/>
    <w:rsid w:val="006A5981"/>
    <w:rsid w:val="006A71FD"/>
    <w:rsid w:val="006A743C"/>
    <w:rsid w:val="006B508E"/>
    <w:rsid w:val="006C51BB"/>
    <w:rsid w:val="006C60C5"/>
    <w:rsid w:val="006E198D"/>
    <w:rsid w:val="006E228A"/>
    <w:rsid w:val="0070538A"/>
    <w:rsid w:val="00730324"/>
    <w:rsid w:val="007335EF"/>
    <w:rsid w:val="0074003D"/>
    <w:rsid w:val="00760542"/>
    <w:rsid w:val="00765D54"/>
    <w:rsid w:val="00774478"/>
    <w:rsid w:val="0077523D"/>
    <w:rsid w:val="007804B4"/>
    <w:rsid w:val="00780CD5"/>
    <w:rsid w:val="007C4EF0"/>
    <w:rsid w:val="007C607F"/>
    <w:rsid w:val="007D064D"/>
    <w:rsid w:val="007D1863"/>
    <w:rsid w:val="007E26A6"/>
    <w:rsid w:val="007E505F"/>
    <w:rsid w:val="007E60A9"/>
    <w:rsid w:val="007F0CCF"/>
    <w:rsid w:val="008027C0"/>
    <w:rsid w:val="008205BF"/>
    <w:rsid w:val="00840F16"/>
    <w:rsid w:val="00857A50"/>
    <w:rsid w:val="00857BCC"/>
    <w:rsid w:val="00866BCD"/>
    <w:rsid w:val="00877E97"/>
    <w:rsid w:val="008B5D3E"/>
    <w:rsid w:val="008B7D65"/>
    <w:rsid w:val="008D49EA"/>
    <w:rsid w:val="008E0981"/>
    <w:rsid w:val="008E3F26"/>
    <w:rsid w:val="009005D4"/>
    <w:rsid w:val="009255D2"/>
    <w:rsid w:val="009317A0"/>
    <w:rsid w:val="00935DDC"/>
    <w:rsid w:val="009629E3"/>
    <w:rsid w:val="00962B6A"/>
    <w:rsid w:val="00972251"/>
    <w:rsid w:val="009A53A6"/>
    <w:rsid w:val="009D38F0"/>
    <w:rsid w:val="009F1916"/>
    <w:rsid w:val="00A00236"/>
    <w:rsid w:val="00A1087B"/>
    <w:rsid w:val="00A33AFF"/>
    <w:rsid w:val="00A35760"/>
    <w:rsid w:val="00A622E6"/>
    <w:rsid w:val="00A6642A"/>
    <w:rsid w:val="00A90964"/>
    <w:rsid w:val="00A95902"/>
    <w:rsid w:val="00AB0012"/>
    <w:rsid w:val="00AB46CB"/>
    <w:rsid w:val="00AC3163"/>
    <w:rsid w:val="00AC5E8D"/>
    <w:rsid w:val="00AC775D"/>
    <w:rsid w:val="00AD6DF3"/>
    <w:rsid w:val="00AD75CA"/>
    <w:rsid w:val="00AF0E8F"/>
    <w:rsid w:val="00B01CD2"/>
    <w:rsid w:val="00B066C2"/>
    <w:rsid w:val="00B24CA2"/>
    <w:rsid w:val="00B317CD"/>
    <w:rsid w:val="00B34DC4"/>
    <w:rsid w:val="00B369B3"/>
    <w:rsid w:val="00B55D31"/>
    <w:rsid w:val="00B709D2"/>
    <w:rsid w:val="00B711F6"/>
    <w:rsid w:val="00B82235"/>
    <w:rsid w:val="00BA386C"/>
    <w:rsid w:val="00C015E0"/>
    <w:rsid w:val="00C03AE4"/>
    <w:rsid w:val="00C04563"/>
    <w:rsid w:val="00C10B20"/>
    <w:rsid w:val="00C35611"/>
    <w:rsid w:val="00C40B1B"/>
    <w:rsid w:val="00C41C0A"/>
    <w:rsid w:val="00C50416"/>
    <w:rsid w:val="00C630C0"/>
    <w:rsid w:val="00C6717E"/>
    <w:rsid w:val="00C90945"/>
    <w:rsid w:val="00CC2367"/>
    <w:rsid w:val="00CC7459"/>
    <w:rsid w:val="00CE622E"/>
    <w:rsid w:val="00CF025B"/>
    <w:rsid w:val="00D10A24"/>
    <w:rsid w:val="00D11043"/>
    <w:rsid w:val="00D16F01"/>
    <w:rsid w:val="00D1783B"/>
    <w:rsid w:val="00D23FF3"/>
    <w:rsid w:val="00D3004F"/>
    <w:rsid w:val="00D36FBB"/>
    <w:rsid w:val="00D40217"/>
    <w:rsid w:val="00D46858"/>
    <w:rsid w:val="00D51D80"/>
    <w:rsid w:val="00D54B66"/>
    <w:rsid w:val="00D6176C"/>
    <w:rsid w:val="00D70A2C"/>
    <w:rsid w:val="00D72AD9"/>
    <w:rsid w:val="00D80E1E"/>
    <w:rsid w:val="00D8751F"/>
    <w:rsid w:val="00DA7F39"/>
    <w:rsid w:val="00DC04E5"/>
    <w:rsid w:val="00DC1D70"/>
    <w:rsid w:val="00DC2644"/>
    <w:rsid w:val="00DC28B3"/>
    <w:rsid w:val="00DC724B"/>
    <w:rsid w:val="00DD2CAF"/>
    <w:rsid w:val="00E01940"/>
    <w:rsid w:val="00E0378E"/>
    <w:rsid w:val="00E04FEF"/>
    <w:rsid w:val="00E26EAC"/>
    <w:rsid w:val="00E27164"/>
    <w:rsid w:val="00E31CF9"/>
    <w:rsid w:val="00E466C4"/>
    <w:rsid w:val="00E46B43"/>
    <w:rsid w:val="00E51FB5"/>
    <w:rsid w:val="00E62F7B"/>
    <w:rsid w:val="00E636EF"/>
    <w:rsid w:val="00E63E39"/>
    <w:rsid w:val="00E85838"/>
    <w:rsid w:val="00E87189"/>
    <w:rsid w:val="00E933F4"/>
    <w:rsid w:val="00E95CE9"/>
    <w:rsid w:val="00E97A88"/>
    <w:rsid w:val="00EA45DD"/>
    <w:rsid w:val="00EE306B"/>
    <w:rsid w:val="00EE6896"/>
    <w:rsid w:val="00EE77DB"/>
    <w:rsid w:val="00EF1496"/>
    <w:rsid w:val="00F3637C"/>
    <w:rsid w:val="00F437C0"/>
    <w:rsid w:val="00F62F2F"/>
    <w:rsid w:val="00F72150"/>
    <w:rsid w:val="00F833DB"/>
    <w:rsid w:val="00F90261"/>
    <w:rsid w:val="00F95CCB"/>
    <w:rsid w:val="00F96B05"/>
    <w:rsid w:val="00FA46AD"/>
    <w:rsid w:val="00FD1198"/>
    <w:rsid w:val="00FD169D"/>
    <w:rsid w:val="00FD6B04"/>
    <w:rsid w:val="00FE0DAC"/>
    <w:rsid w:val="00FE4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C7770"/>
  <w15:chartTrackingRefBased/>
  <w15:docId w15:val="{5C32CB07-0A1E-454B-827A-59B6C2583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8C9"/>
  </w:style>
  <w:style w:type="paragraph" w:styleId="Footer">
    <w:name w:val="footer"/>
    <w:basedOn w:val="Normal"/>
    <w:link w:val="FooterChar"/>
    <w:uiPriority w:val="99"/>
    <w:unhideWhenUsed/>
    <w:rsid w:val="005F6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8C9"/>
  </w:style>
  <w:style w:type="paragraph" w:styleId="ListParagraph">
    <w:name w:val="List Paragraph"/>
    <w:basedOn w:val="Normal"/>
    <w:uiPriority w:val="34"/>
    <w:qFormat/>
    <w:rsid w:val="00D10A24"/>
    <w:pPr>
      <w:ind w:left="720"/>
      <w:contextualSpacing/>
    </w:pPr>
  </w:style>
  <w:style w:type="paragraph" w:styleId="FootnoteText">
    <w:name w:val="footnote text"/>
    <w:basedOn w:val="Normal"/>
    <w:link w:val="FootnoteTextChar"/>
    <w:uiPriority w:val="99"/>
    <w:semiHidden/>
    <w:unhideWhenUsed/>
    <w:rsid w:val="007053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538A"/>
    <w:rPr>
      <w:sz w:val="20"/>
      <w:szCs w:val="20"/>
    </w:rPr>
  </w:style>
  <w:style w:type="character" w:styleId="FootnoteReference">
    <w:name w:val="footnote reference"/>
    <w:basedOn w:val="DefaultParagraphFont"/>
    <w:uiPriority w:val="99"/>
    <w:semiHidden/>
    <w:unhideWhenUsed/>
    <w:rsid w:val="0070538A"/>
    <w:rPr>
      <w:vertAlign w:val="superscript"/>
    </w:rPr>
  </w:style>
  <w:style w:type="character" w:styleId="Hyperlink">
    <w:name w:val="Hyperlink"/>
    <w:basedOn w:val="DefaultParagraphFont"/>
    <w:uiPriority w:val="99"/>
    <w:unhideWhenUsed/>
    <w:rsid w:val="00363E22"/>
    <w:rPr>
      <w:color w:val="0563C1" w:themeColor="hyperlink"/>
      <w:u w:val="single"/>
    </w:rPr>
  </w:style>
  <w:style w:type="character" w:styleId="UnresolvedMention">
    <w:name w:val="Unresolved Mention"/>
    <w:basedOn w:val="DefaultParagraphFont"/>
    <w:uiPriority w:val="99"/>
    <w:semiHidden/>
    <w:unhideWhenUsed/>
    <w:rsid w:val="00363E2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belprize.org/nobel_prizes/peace/laureates/1933/angell-bio.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nobelprize.org/nobel_prizes/peace/laureates/1933/angell-bi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9A3C30-745E-49F5-8831-BED57F71B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TotalTime>
  <Pages>9</Pages>
  <Words>2930</Words>
  <Characters>16703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Edwards</dc:creator>
  <cp:keywords/>
  <dc:description/>
  <cp:lastModifiedBy>Jordan Edwards</cp:lastModifiedBy>
  <cp:revision>119</cp:revision>
  <dcterms:created xsi:type="dcterms:W3CDTF">2017-11-10T15:22:00Z</dcterms:created>
  <dcterms:modified xsi:type="dcterms:W3CDTF">2017-12-01T18:10:00Z</dcterms:modified>
</cp:coreProperties>
</file>