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CE9AFC" w14:textId="77777777" w:rsidR="007E1269" w:rsidRDefault="007E1269" w:rsidP="007E1269">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774E4ACD" w14:textId="39E2537B" w:rsidR="007E1269" w:rsidRDefault="007E1269" w:rsidP="007E1269">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Lenuta Raducanu </w:t>
      </w:r>
    </w:p>
    <w:p w14:paraId="1230AD75" w14:textId="1F0D9CE1" w:rsidR="007E1269" w:rsidRDefault="007E1269" w:rsidP="007E1269">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Introduction to New Testament</w:t>
      </w:r>
    </w:p>
    <w:p w14:paraId="3B0B3BA6" w14:textId="4CAD0A66" w:rsidR="009079A4" w:rsidRPr="009079A4" w:rsidRDefault="009079A4" w:rsidP="007E1269">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r w:rsidRPr="009079A4">
        <w:rPr>
          <w:rFonts w:ascii="Times New Roman" w:eastAsia="Times New Roman" w:hAnsi="Times New Roman" w:cs="Times New Roman"/>
          <w:b/>
          <w:bCs/>
          <w:kern w:val="0"/>
          <w:sz w:val="27"/>
          <w:szCs w:val="27"/>
          <w:lang w:eastAsia="en-GB"/>
          <w14:ligatures w14:val="none"/>
        </w:rPr>
        <w:t>Assessment 1: Portfolio</w:t>
      </w:r>
    </w:p>
    <w:p w14:paraId="3E22111D"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198914C7"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77464AA6"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5462B019"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5619618D"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363F3A7A"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209432AE"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076764C6"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04D02C21"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5B44A048"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27E0209B"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735B258D"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7CB50F16" w14:textId="77777777" w:rsidR="007E1269" w:rsidRDefault="007E1269" w:rsidP="009079A4">
      <w:pPr>
        <w:spacing w:after="0" w:line="240" w:lineRule="auto"/>
        <w:rPr>
          <w:rFonts w:ascii="Times New Roman" w:eastAsia="Times New Roman" w:hAnsi="Times New Roman" w:cs="Times New Roman"/>
          <w:kern w:val="0"/>
          <w:lang w:eastAsia="en-GB"/>
          <w14:ligatures w14:val="none"/>
        </w:rPr>
      </w:pPr>
    </w:p>
    <w:p w14:paraId="38FC307D" w14:textId="0ABC8132" w:rsidR="009079A4" w:rsidRPr="009079A4" w:rsidRDefault="009079A4" w:rsidP="009079A4">
      <w:pPr>
        <w:spacing w:after="0" w:line="240" w:lineRule="auto"/>
        <w:rPr>
          <w:rFonts w:ascii="Times New Roman" w:eastAsia="Times New Roman" w:hAnsi="Times New Roman" w:cs="Times New Roman"/>
          <w:kern w:val="0"/>
          <w:lang w:eastAsia="en-GB"/>
          <w14:ligatures w14:val="none"/>
        </w:rPr>
      </w:pPr>
      <w:r w:rsidRPr="009079A4">
        <w:rPr>
          <w:rFonts w:ascii="Times New Roman" w:eastAsia="Times New Roman" w:hAnsi="Times New Roman" w:cs="Times New Roman"/>
          <w:kern w:val="0"/>
          <w:lang w:eastAsia="en-GB"/>
          <w14:ligatures w14:val="none"/>
        </w:rPr>
        <w:pict w14:anchorId="3BBC1F58">
          <v:rect id="_x0000_i1025" style="width:0;height:1.5pt" o:hralign="center" o:hrstd="t" o:hr="t" fillcolor="#a0a0a0" stroked="f"/>
        </w:pict>
      </w:r>
    </w:p>
    <w:p w14:paraId="3DDCF571" w14:textId="77777777" w:rsidR="009079A4" w:rsidRPr="009079A4" w:rsidRDefault="009079A4" w:rsidP="009079A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79A4">
        <w:rPr>
          <w:rFonts w:ascii="Times New Roman" w:eastAsia="Times New Roman" w:hAnsi="Times New Roman" w:cs="Times New Roman"/>
          <w:b/>
          <w:bCs/>
          <w:kern w:val="0"/>
          <w:sz w:val="27"/>
          <w:szCs w:val="27"/>
          <w:lang w:eastAsia="en-GB"/>
          <w14:ligatures w14:val="none"/>
        </w:rPr>
        <w:t>Part A: Exegetical/Textual Analysis of John 6:16–21 (Jesus Walks on Water)</w:t>
      </w:r>
    </w:p>
    <w:p w14:paraId="60C0B535" w14:textId="77777777" w:rsidR="009079A4" w:rsidRDefault="009079A4" w:rsidP="009079A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9079A4">
        <w:rPr>
          <w:rFonts w:ascii="Times New Roman" w:eastAsia="Times New Roman" w:hAnsi="Times New Roman" w:cs="Times New Roman"/>
          <w:b/>
          <w:bCs/>
          <w:kern w:val="0"/>
          <w:lang w:eastAsia="en-GB"/>
          <w14:ligatures w14:val="none"/>
        </w:rPr>
        <w:t>Introduction</w:t>
      </w:r>
    </w:p>
    <w:p w14:paraId="53723B11" w14:textId="79BE5C9C" w:rsidR="009079A4" w:rsidRPr="007E1269" w:rsidRDefault="009079A4" w:rsidP="009079A4">
      <w:pPr>
        <w:spacing w:before="100" w:beforeAutospacing="1" w:after="100" w:afterAutospacing="1" w:line="240" w:lineRule="auto"/>
        <w:outlineLvl w:val="3"/>
        <w:rPr>
          <w:rFonts w:ascii="Times New Roman" w:hAnsi="Times New Roman" w:cs="Times New Roman"/>
        </w:rPr>
      </w:pPr>
      <w:r w:rsidRPr="007E1269">
        <w:rPr>
          <w:rFonts w:ascii="Times New Roman" w:hAnsi="Times New Roman" w:cs="Times New Roman"/>
        </w:rPr>
        <w:t>One of the most vivid and theologically important miracles recorded in the New Testament is Jesus’ account of walking on water in John 6:16–21. Lectionary Comments for John 6:16–21 (Monday, October 9): Unlike Matthew 14:22–33 and Mark 6:45–52, the other Synoptic versions of the same event, John highlights the miraculous nature of Jesus’ action as a revelation of his divine authority and identity. The following is a literary, historical, and theological analysis of this yes, and its wider world of the Gospel of John and beyond, as well as what the Christian faith addresses beyond John.</w:t>
      </w:r>
    </w:p>
    <w:p w14:paraId="235D8FCF" w14:textId="13DDA565" w:rsidR="009079A4" w:rsidRPr="007E1269" w:rsidRDefault="009079A4" w:rsidP="009079A4">
      <w:pPr>
        <w:spacing w:before="100" w:beforeAutospacing="1" w:after="100" w:afterAutospacing="1" w:line="240" w:lineRule="auto"/>
        <w:outlineLvl w:val="3"/>
        <w:rPr>
          <w:rFonts w:ascii="Times New Roman" w:hAnsi="Times New Roman" w:cs="Times New Roman"/>
        </w:rPr>
      </w:pPr>
      <w:r w:rsidRPr="007E1269">
        <w:rPr>
          <w:rFonts w:ascii="Times New Roman" w:hAnsi="Times New Roman" w:cs="Times New Roman"/>
        </w:rPr>
        <w:t>1. Literary Context</w:t>
      </w:r>
    </w:p>
    <w:p w14:paraId="65EC5648" w14:textId="6A496470" w:rsidR="009079A4" w:rsidRDefault="009079A4" w:rsidP="009079A4">
      <w:pPr>
        <w:pStyle w:val="NormalWeb"/>
      </w:pPr>
      <w:r>
        <w:t xml:space="preserve">The event takes place just after the miraculous multiplication of the loaves and the fishes (John 6:1–15) and is the preparation for the discourse on the Bread of Life (John 6:22–59). These three episodes comprise a unit that displays Jesus as the sustainer of both physical and spiritual </w:t>
      </w:r>
      <w:r w:rsidR="0086182F">
        <w:t>life. The</w:t>
      </w:r>
      <w:r>
        <w:t xml:space="preserve"> story is short — six verses. Instead of dwelling on specifics, John holds true to his nature of emphasizing the mystical and raises readers’ curiosity through his reading on the significance of the miracle.</w:t>
      </w:r>
    </w:p>
    <w:p w14:paraId="6DDF81E0" w14:textId="617058F9" w:rsidR="009079A4" w:rsidRDefault="009079A4" w:rsidP="009079A4">
      <w:pPr>
        <w:spacing w:before="100" w:beforeAutospacing="1" w:after="100" w:afterAutospacing="1" w:line="240" w:lineRule="auto"/>
        <w:outlineLvl w:val="3"/>
      </w:pPr>
      <w:r>
        <w:t>2. Historical and Cultural Context</w:t>
      </w:r>
    </w:p>
    <w:p w14:paraId="33A060AE" w14:textId="013901DD" w:rsidR="0086182F" w:rsidRDefault="0086182F" w:rsidP="0086182F">
      <w:pPr>
        <w:pStyle w:val="NormalWeb"/>
      </w:pPr>
      <w:r>
        <w:t xml:space="preserve">The Sea of Galilee—also known as the Sea of Tiberias—was at the heart of the lives of </w:t>
      </w:r>
      <w:r>
        <w:t>many Jesus’s</w:t>
      </w:r>
      <w:r>
        <w:t xml:space="preserve"> disciples, who were fishermen. Because the topography around the lake is hilly, storms were frequent. For first-century Jews, large bodies of water were often emblems of </w:t>
      </w:r>
      <w:r>
        <w:lastRenderedPageBreak/>
        <w:t>chaos and danger, echoing Old Testament imagery (e.g., Genesis 1:2; Psalm 107:23–30</w:t>
      </w:r>
      <w:r>
        <w:t>). This</w:t>
      </w:r>
      <w:r>
        <w:t xml:space="preserve"> cultural background intensifies the fear of the disciples and complements Jesus’ control over creation, thus confirming his divine authority.</w:t>
      </w:r>
    </w:p>
    <w:p w14:paraId="123421F0" w14:textId="2AC7E54C" w:rsidR="0086182F" w:rsidRDefault="0086182F" w:rsidP="0086182F">
      <w:pPr>
        <w:pStyle w:val="NormalWeb"/>
      </w:pPr>
      <w:r>
        <w:t>3. Textual Analysis</w:t>
      </w:r>
    </w:p>
    <w:p w14:paraId="06133E44" w14:textId="77777777" w:rsidR="0086182F" w:rsidRDefault="0086182F" w:rsidP="0086182F">
      <w:pPr>
        <w:pStyle w:val="NormalWeb"/>
      </w:pPr>
      <w:r>
        <w:t>3.1 Setting the Scene (vv. 16–18)</w:t>
      </w:r>
    </w:p>
    <w:p w14:paraId="2B4861B7" w14:textId="77777777" w:rsidR="0086182F" w:rsidRDefault="0086182F" w:rsidP="0086182F">
      <w:pPr>
        <w:pStyle w:val="NormalWeb"/>
      </w:pPr>
      <w:r>
        <w:t>When evening came, his disciples went down to the sea, boarded a boat, and set sail across the sea to Capernaum. It was now dark, and Jesus had not yet joined them. Because the wind was blowing very strong; the sea was rough.”</w:t>
      </w:r>
    </w:p>
    <w:p w14:paraId="12D96700" w14:textId="77777777" w:rsidR="0086182F" w:rsidRDefault="0086182F" w:rsidP="0086182F">
      <w:pPr>
        <w:pStyle w:val="NormalWeb"/>
      </w:pPr>
      <w:r>
        <w:t>“Evening” and “darkness”: The Gospel of John often associates darkness with a heavy symbolic meaning, namely spiritual blindness or separation from God (cf. John 1:5; 3:19). We see a similar theme in the disciples’ situation, in which they find themselves in crisis and need divine help.</w:t>
      </w:r>
    </w:p>
    <w:p w14:paraId="39512359" w14:textId="77777777" w:rsidR="0086182F" w:rsidRDefault="0086182F" w:rsidP="0086182F">
      <w:pPr>
        <w:pStyle w:val="NormalWeb"/>
      </w:pPr>
      <w:r>
        <w:t>“Strong wind” and “rough sea”: These elements challenge and formalise the opposite of chaos and damnation, the place where Jesus intervenes miraculously.</w:t>
      </w:r>
    </w:p>
    <w:p w14:paraId="78C5D795" w14:textId="77777777" w:rsidR="0086182F" w:rsidRDefault="0086182F" w:rsidP="0086182F">
      <w:pPr>
        <w:pStyle w:val="NormalWeb"/>
      </w:pPr>
      <w:r>
        <w:t>3.2 Jesus Walks on Water (vv. 19–20)</w:t>
      </w:r>
    </w:p>
    <w:p w14:paraId="58EC6F8E" w14:textId="77777777" w:rsidR="0086182F" w:rsidRDefault="0086182F" w:rsidP="0086182F">
      <w:pPr>
        <w:pStyle w:val="NormalWeb"/>
      </w:pPr>
      <w:r>
        <w:t xml:space="preserve">“When they had rowed about three or four miles, they saw </w:t>
      </w:r>
      <w:proofErr w:type="gramStart"/>
      <w:r>
        <w:t>Jesus</w:t>
      </w:r>
      <w:proofErr w:type="gramEnd"/>
      <w:r>
        <w:t xml:space="preserve"> walking on the sea and coming near the boat, and they were terrified. But he said to them, </w:t>
      </w:r>
      <w:proofErr w:type="gramStart"/>
      <w:r>
        <w:t>It</w:t>
      </w:r>
      <w:proofErr w:type="gramEnd"/>
      <w:r>
        <w:t xml:space="preserve"> is I; do not be afraid. "</w:t>
      </w:r>
    </w:p>
    <w:p w14:paraId="01808151" w14:textId="77777777" w:rsidR="0086182F" w:rsidRDefault="0086182F" w:rsidP="0086182F">
      <w:pPr>
        <w:pStyle w:val="NormalWeb"/>
      </w:pPr>
      <w:r>
        <w:t>“Walking on the sea”: This action shows Jesus’ control over nature, which is associated with Yahweh, who “tramples the waves of the sea” (Job 9:8). It also reaffirms the Johannine theme of Jesus as the incarnate Word (John 1:1–14).</w:t>
      </w:r>
    </w:p>
    <w:p w14:paraId="39EDB507" w14:textId="77777777" w:rsidR="0086182F" w:rsidRDefault="0086182F" w:rsidP="0086182F">
      <w:pPr>
        <w:pStyle w:val="NormalWeb"/>
      </w:pPr>
      <w:r>
        <w:t xml:space="preserve">“It is I” (Greek: ego </w:t>
      </w:r>
      <w:proofErr w:type="spellStart"/>
      <w:r>
        <w:t>eimi</w:t>
      </w:r>
      <w:proofErr w:type="spellEnd"/>
      <w:r>
        <w:t xml:space="preserve">): </w:t>
      </w:r>
      <w:proofErr w:type="gramStart"/>
      <w:r>
        <w:t>Similar to</w:t>
      </w:r>
      <w:proofErr w:type="gramEnd"/>
      <w:r>
        <w:t xml:space="preserve"> God’s self-revelation in Exodus 3:14 ("I AM"), this phrase refers to Jesus’ divine identity. However, John uses ego </w:t>
      </w:r>
      <w:proofErr w:type="spellStart"/>
      <w:r>
        <w:t>eimi</w:t>
      </w:r>
      <w:proofErr w:type="spellEnd"/>
      <w:r>
        <w:t xml:space="preserve"> throughout the Gospel to reveal the nature of Jesus (cf. John 8:58, 18:6).</w:t>
      </w:r>
    </w:p>
    <w:p w14:paraId="6F4694A6" w14:textId="77777777" w:rsidR="0086182F" w:rsidRDefault="0086182F" w:rsidP="0086182F">
      <w:pPr>
        <w:pStyle w:val="NormalWeb"/>
      </w:pPr>
      <w:r>
        <w:t>“Do not be afraid”: Jesus’ words pick up and confront the disciples’ immediate fear and foreshadow the larger promise of his presence in the trials of life.</w:t>
      </w:r>
    </w:p>
    <w:p w14:paraId="01C19813" w14:textId="77777777" w:rsidR="0086182F" w:rsidRDefault="0086182F" w:rsidP="0086182F">
      <w:pPr>
        <w:pStyle w:val="NormalWeb"/>
      </w:pPr>
      <w:r>
        <w:t>3.3 Calm and Arrival (v. 21)</w:t>
      </w:r>
    </w:p>
    <w:p w14:paraId="7AF3B670" w14:textId="77777777" w:rsidR="0086182F" w:rsidRDefault="0086182F" w:rsidP="0086182F">
      <w:pPr>
        <w:pStyle w:val="NormalWeb"/>
      </w:pPr>
      <w:r>
        <w:t>“Then they were glad to take him into the boat, and immediately the boat was at the land to which they were going.”</w:t>
      </w:r>
    </w:p>
    <w:p w14:paraId="72AAE6F7" w14:textId="77777777" w:rsidR="0086182F" w:rsidRDefault="0086182F" w:rsidP="0086182F">
      <w:pPr>
        <w:pStyle w:val="NormalWeb"/>
      </w:pPr>
      <w:r>
        <w:t>“Just then”: This detail implies another miraculous component to the story, noting Jesus’ supernatural power to offer stability and calm.</w:t>
      </w:r>
    </w:p>
    <w:p w14:paraId="216B8173" w14:textId="77777777" w:rsidR="0086182F" w:rsidRDefault="0086182F" w:rsidP="0086182F">
      <w:pPr>
        <w:pStyle w:val="NormalWeb"/>
      </w:pPr>
      <w:r>
        <w:t xml:space="preserve">Symbolic Journey: The safe arrival to their </w:t>
      </w:r>
      <w:proofErr w:type="gramStart"/>
      <w:r>
        <w:t>final destination</w:t>
      </w:r>
      <w:proofErr w:type="gramEnd"/>
      <w:r>
        <w:t xml:space="preserve"> symbolises the spiritual rest that awaits all who trust in Jesus.</w:t>
      </w:r>
    </w:p>
    <w:p w14:paraId="0E9FAA40" w14:textId="1DA29984" w:rsidR="0086182F" w:rsidRDefault="0086182F" w:rsidP="0086182F">
      <w:pPr>
        <w:pStyle w:val="NormalWeb"/>
      </w:pPr>
      <w:r>
        <w:t>4. Theological Themes</w:t>
      </w:r>
    </w:p>
    <w:p w14:paraId="3B62F91A" w14:textId="77777777" w:rsidR="0086182F" w:rsidRDefault="0086182F" w:rsidP="0086182F">
      <w:pPr>
        <w:pStyle w:val="NormalWeb"/>
      </w:pPr>
      <w:r>
        <w:lastRenderedPageBreak/>
        <w:t xml:space="preserve">4.1 The Divine Jesus </w:t>
      </w:r>
      <w:proofErr w:type="gramStart"/>
      <w:r>
        <w:t>The</w:t>
      </w:r>
      <w:proofErr w:type="gramEnd"/>
      <w:r>
        <w:t xml:space="preserve"> miracle proves that Jesus has divine power over the human elements of nature, akin to the descriptions of God in the Old Testament, who controlled the seas (Psalm 77:16–20). When walking on water, Jesus demonstrates that he is the Creator who rules over the chaotic forces of creation.</w:t>
      </w:r>
    </w:p>
    <w:p w14:paraId="5EFB3E2C" w14:textId="77777777" w:rsidR="0086182F" w:rsidRDefault="0086182F" w:rsidP="0086182F">
      <w:pPr>
        <w:pStyle w:val="NormalWeb"/>
      </w:pPr>
      <w:r>
        <w:t>4.2 The Whispering of Faith and Fear The disciples are afraid, juxtaposed with Jesus’ assurance, highlighting the necessity of faith despite his presence. We have encountered this theme in John’s broader appeal to belief (John 20:31).</w:t>
      </w:r>
    </w:p>
    <w:p w14:paraId="678D151E" w14:textId="77777777" w:rsidR="0086182F" w:rsidRDefault="0086182F" w:rsidP="0086182F">
      <w:pPr>
        <w:pStyle w:val="NormalWeb"/>
      </w:pPr>
      <w:r>
        <w:t xml:space="preserve">4.3 Christ the Source of Peace The crisis of the storm-tossed disciples finally ends when Jesus intervenes with his calm, which symbolises his supernatural ability to bring peace to the soul, even </w:t>
      </w:r>
      <w:proofErr w:type="gramStart"/>
      <w:r>
        <w:t>in the midst of</w:t>
      </w:r>
      <w:proofErr w:type="gramEnd"/>
      <w:r>
        <w:t xml:space="preserve"> life’s storms (John 14:27).</w:t>
      </w:r>
    </w:p>
    <w:p w14:paraId="3E2A24E0" w14:textId="35AF66EC" w:rsidR="0086182F" w:rsidRDefault="00A95975" w:rsidP="0086182F">
      <w:pPr>
        <w:pStyle w:val="NormalWeb"/>
      </w:pPr>
      <w:r>
        <w:t>5. Unique Features in John</w:t>
      </w:r>
    </w:p>
    <w:p w14:paraId="0A02408B" w14:textId="78AD5447" w:rsidR="009079A4" w:rsidRPr="007E1269" w:rsidRDefault="00A95975" w:rsidP="009079A4">
      <w:pPr>
        <w:spacing w:before="100" w:beforeAutospacing="1" w:after="100" w:afterAutospacing="1" w:line="240" w:lineRule="auto"/>
        <w:outlineLvl w:val="3"/>
        <w:rPr>
          <w:rFonts w:ascii="Times New Roman" w:hAnsi="Times New Roman" w:cs="Times New Roman"/>
        </w:rPr>
      </w:pPr>
      <w:r w:rsidRPr="007E1269">
        <w:rPr>
          <w:rFonts w:ascii="Times New Roman" w:hAnsi="Times New Roman" w:cs="Times New Roman"/>
        </w:rPr>
        <w:t>John’s account skips some details found in Matthew and Mark, including Peter walking on the water (Matthew 14:28–31) and the amazement of the disciples (Mark 6:51–52). This also reflects John’s concern for theological ramifications, not the disciples’ responses.</w:t>
      </w:r>
    </w:p>
    <w:p w14:paraId="19BB0EC8" w14:textId="77777777" w:rsidR="00A95975" w:rsidRDefault="00A95975" w:rsidP="009079A4">
      <w:pPr>
        <w:spacing w:before="100" w:beforeAutospacing="1" w:after="100" w:afterAutospacing="1" w:line="240" w:lineRule="auto"/>
        <w:outlineLvl w:val="3"/>
      </w:pPr>
    </w:p>
    <w:p w14:paraId="59C2800A" w14:textId="7E0B7CAE" w:rsidR="00A95975" w:rsidRPr="007E1269" w:rsidRDefault="00A95975" w:rsidP="009079A4">
      <w:pPr>
        <w:spacing w:before="100" w:beforeAutospacing="1" w:after="100" w:afterAutospacing="1" w:line="240" w:lineRule="auto"/>
        <w:outlineLvl w:val="3"/>
        <w:rPr>
          <w:rFonts w:ascii="Times New Roman" w:hAnsi="Times New Roman" w:cs="Times New Roman"/>
        </w:rPr>
      </w:pPr>
      <w:r w:rsidRPr="007E1269">
        <w:rPr>
          <w:rFonts w:ascii="Times New Roman" w:hAnsi="Times New Roman" w:cs="Times New Roman"/>
        </w:rPr>
        <w:t>6. Application for Today</w:t>
      </w:r>
    </w:p>
    <w:p w14:paraId="329AF73C" w14:textId="2405161C" w:rsidR="00A95975" w:rsidRPr="007E1269" w:rsidRDefault="00A95975" w:rsidP="009079A4">
      <w:pPr>
        <w:spacing w:before="100" w:beforeAutospacing="1" w:after="100" w:afterAutospacing="1" w:line="240" w:lineRule="auto"/>
        <w:outlineLvl w:val="3"/>
        <w:rPr>
          <w:rFonts w:ascii="Times New Roman" w:hAnsi="Times New Roman" w:cs="Times New Roman"/>
        </w:rPr>
      </w:pPr>
      <w:r w:rsidRPr="007E1269">
        <w:rPr>
          <w:rFonts w:ascii="Times New Roman" w:hAnsi="Times New Roman" w:cs="Times New Roman"/>
        </w:rPr>
        <w:t>This passage instructs followers to believe in Jesus’ presence and power despite the chaos. It comforts Christians that Jesus is sovereign and merciful and provides peace and wisdom during the storms of life.</w:t>
      </w:r>
    </w:p>
    <w:p w14:paraId="1AAFD14C" w14:textId="77777777" w:rsidR="00A95975" w:rsidRDefault="00A95975" w:rsidP="00A95975">
      <w:pPr>
        <w:pStyle w:val="NormalWeb"/>
      </w:pPr>
      <w:r>
        <w:t>Conclusion</w:t>
      </w:r>
    </w:p>
    <w:p w14:paraId="65FD22CE" w14:textId="77777777" w:rsidR="00A95975" w:rsidRDefault="00A95975" w:rsidP="00A95975">
      <w:pPr>
        <w:pStyle w:val="NormalWeb"/>
      </w:pPr>
      <w:r>
        <w:t>The vertical and horizontal relationships run deeply in John 6:16–21, a significant account that shows Jesus’ Messiahship and his work of bringing Shalom, safety and security. In this miracle, John urges readers to acknowledge Jesus as the Word made flesh who exceeds human frailty and provides hope in the uncertainty of life</w:t>
      </w:r>
    </w:p>
    <w:p w14:paraId="6934DE6D" w14:textId="77777777" w:rsidR="00A95975" w:rsidRDefault="00A95975" w:rsidP="009079A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4CB09752" w14:textId="77777777" w:rsidR="00A95975" w:rsidRDefault="00A95975" w:rsidP="009079A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3A3EF52D" w14:textId="77777777" w:rsidR="00A95975" w:rsidRPr="00A95975" w:rsidRDefault="00A95975" w:rsidP="00A9597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95975">
        <w:rPr>
          <w:rFonts w:ascii="Times New Roman" w:eastAsia="Times New Roman" w:hAnsi="Times New Roman" w:cs="Times New Roman"/>
          <w:b/>
          <w:bCs/>
          <w:kern w:val="0"/>
          <w:sz w:val="27"/>
          <w:szCs w:val="27"/>
          <w:lang w:eastAsia="en-GB"/>
          <w14:ligatures w14:val="none"/>
        </w:rPr>
        <w:t xml:space="preserve">Part B: </w:t>
      </w:r>
      <w:proofErr w:type="spellStart"/>
      <w:r w:rsidRPr="00A95975">
        <w:rPr>
          <w:rFonts w:ascii="Times New Roman" w:eastAsia="Times New Roman" w:hAnsi="Times New Roman" w:cs="Times New Roman"/>
          <w:b/>
          <w:bCs/>
          <w:kern w:val="0"/>
          <w:sz w:val="27"/>
          <w:szCs w:val="27"/>
          <w:lang w:eastAsia="en-GB"/>
          <w14:ligatures w14:val="none"/>
        </w:rPr>
        <w:t>Encyclopedia</w:t>
      </w:r>
      <w:proofErr w:type="spellEnd"/>
      <w:r w:rsidRPr="00A95975">
        <w:rPr>
          <w:rFonts w:ascii="Times New Roman" w:eastAsia="Times New Roman" w:hAnsi="Times New Roman" w:cs="Times New Roman"/>
          <w:b/>
          <w:bCs/>
          <w:kern w:val="0"/>
          <w:sz w:val="27"/>
          <w:szCs w:val="27"/>
          <w:lang w:eastAsia="en-GB"/>
          <w14:ligatures w14:val="none"/>
        </w:rPr>
        <w:t xml:space="preserve"> Article on the City of Corinth</w:t>
      </w:r>
    </w:p>
    <w:p w14:paraId="1C5097B1" w14:textId="77777777" w:rsidR="00A95975" w:rsidRPr="00A95975" w:rsidRDefault="00A95975" w:rsidP="00A95975">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A95975">
        <w:rPr>
          <w:rFonts w:ascii="Times New Roman" w:eastAsia="Times New Roman" w:hAnsi="Times New Roman" w:cs="Times New Roman"/>
          <w:b/>
          <w:bCs/>
          <w:kern w:val="0"/>
          <w:lang w:eastAsia="en-GB"/>
          <w14:ligatures w14:val="none"/>
        </w:rPr>
        <w:t>The City of Corinth</w:t>
      </w:r>
    </w:p>
    <w:p w14:paraId="26640C0F" w14:textId="77777777" w:rsidR="00A95975" w:rsidRDefault="00A95975" w:rsidP="00A95975">
      <w:pPr>
        <w:pStyle w:val="NormalWeb"/>
      </w:pPr>
      <w:r>
        <w:t>Corinth is an ancient city that was once located in southern Greece and is well-known for both its classical history and the New Testament. Corinth</w:t>
      </w:r>
      <w:proofErr w:type="gramStart"/>
      <w:r>
        <w:t>, in particular, was</w:t>
      </w:r>
      <w:proofErr w:type="gramEnd"/>
      <w:r>
        <w:t xml:space="preserve"> known for its economic prosperity, geographical significance, and cultural diversity, making it an important hub for trade and early Christian missions. This article examines the city’s geography, history, economy, religion, and importance in early Christianity.</w:t>
      </w:r>
    </w:p>
    <w:p w14:paraId="672F6673" w14:textId="77777777" w:rsidR="00A95975" w:rsidRDefault="00A95975" w:rsidP="00A95975">
      <w:pPr>
        <w:pStyle w:val="NormalWeb"/>
      </w:pPr>
      <w:r>
        <w:t>Geography and Strategic Importance</w:t>
      </w:r>
    </w:p>
    <w:p w14:paraId="207A432A" w14:textId="77777777" w:rsidR="00A95975" w:rsidRDefault="00A95975" w:rsidP="00A95975">
      <w:pPr>
        <w:pStyle w:val="NormalWeb"/>
      </w:pPr>
      <w:r>
        <w:lastRenderedPageBreak/>
        <w:t>Corinth lay on the narrow isthmus bridging mainland Greece and the Peloponnesus, with ports on the Aegean and Adriatic Seas. Due to its geographical position, it became a centre for trade and cultural exchange, thus being called the "bridge of Greece" as such.</w:t>
      </w:r>
    </w:p>
    <w:p w14:paraId="0D6F5FA1" w14:textId="77777777" w:rsidR="00A95975" w:rsidRDefault="00A95975" w:rsidP="00A95975">
      <w:pPr>
        <w:pStyle w:val="NormalWeb"/>
      </w:pPr>
      <w:r>
        <w:t xml:space="preserve">It was governed by the </w:t>
      </w:r>
      <w:proofErr w:type="spellStart"/>
      <w:r>
        <w:t>Diolkos</w:t>
      </w:r>
      <w:proofErr w:type="spellEnd"/>
      <w:r>
        <w:t>, a paved causeway over which ships could haul across the isthmus, circumventing the treacherous journey around Peloponnesus. This location helped establish Corinth as a rich and cosmopolitan city.</w:t>
      </w:r>
    </w:p>
    <w:p w14:paraId="04B44DE7" w14:textId="77777777" w:rsidR="00A95975" w:rsidRDefault="00A95975" w:rsidP="00A95975">
      <w:pPr>
        <w:pStyle w:val="NormalWeb"/>
      </w:pPr>
      <w:r>
        <w:t>History</w:t>
      </w:r>
    </w:p>
    <w:p w14:paraId="141D430E" w14:textId="77777777" w:rsidR="00A95975" w:rsidRDefault="00A95975" w:rsidP="00A95975">
      <w:pPr>
        <w:pStyle w:val="NormalWeb"/>
      </w:pPr>
      <w:r>
        <w:t>CORINTH ANCIENT (PRE- ROMAN) — Corinth was a major Greek city-state during the Archaic and Classical periods. It is known for its wealth, monumental ruins, including the Temple of Apollo, and ancient plays.</w:t>
      </w:r>
    </w:p>
    <w:p w14:paraId="41A2230A" w14:textId="77777777" w:rsidR="00A95975" w:rsidRDefault="00A95975" w:rsidP="00A95975">
      <w:pPr>
        <w:pStyle w:val="NormalWeb"/>
      </w:pPr>
      <w:r>
        <w:t>Roman Corinth: A Roman colony was built in 44 BCE after its destruction by the Romans in 146 BCE. Heritage Images The city became the administrative capital of the province of Achaia and was a melting pot of Greek, Roman, and Eastern influences.</w:t>
      </w:r>
    </w:p>
    <w:p w14:paraId="0426FDE5" w14:textId="77777777" w:rsidR="00A95975" w:rsidRDefault="00A95975" w:rsidP="00A95975">
      <w:pPr>
        <w:pStyle w:val="NormalWeb"/>
      </w:pPr>
      <w:r>
        <w:t>Economy and Society</w:t>
      </w:r>
    </w:p>
    <w:p w14:paraId="66E6E3B3" w14:textId="77777777" w:rsidR="00A95975" w:rsidRDefault="00A95975" w:rsidP="00A95975">
      <w:pPr>
        <w:pStyle w:val="NormalWeb"/>
      </w:pPr>
      <w:r>
        <w:t>Corinth was a cosmopolitan city, boasting many Greeks, Romans, Jews, and freed slaves blending into her streets in search of prosperity. Its economy was founded on the following principles:</w:t>
      </w:r>
    </w:p>
    <w:p w14:paraId="42BA3BFE" w14:textId="77777777" w:rsidR="00A95975" w:rsidRDefault="00A95975" w:rsidP="00A95975">
      <w:pPr>
        <w:pStyle w:val="NormalWeb"/>
      </w:pPr>
      <w:r>
        <w:t>Trade: Corinth was a port city where European, Asian, and African goods were exchanged.</w:t>
      </w:r>
    </w:p>
    <w:p w14:paraId="7D9C63AD" w14:textId="77777777" w:rsidR="00A95975" w:rsidRDefault="00A95975" w:rsidP="00A95975">
      <w:pPr>
        <w:pStyle w:val="NormalWeb"/>
      </w:pPr>
      <w:r>
        <w:t>2 Industry: The city produced a highly sought-after alloy of Corinthian bronze.</w:t>
      </w:r>
    </w:p>
    <w:p w14:paraId="73A8CCF8" w14:textId="77777777" w:rsidR="00A95975" w:rsidRDefault="00A95975" w:rsidP="00A95975">
      <w:pPr>
        <w:pStyle w:val="NormalWeb"/>
      </w:pPr>
      <w:r>
        <w:t>Culture and Entertainment: The Isthmian Games, a major Panhellenic festival, was held in Corinth.</w:t>
      </w:r>
    </w:p>
    <w:p w14:paraId="2DCC404E" w14:textId="77777777" w:rsidR="00A95975" w:rsidRDefault="00A95975" w:rsidP="00A95975">
      <w:pPr>
        <w:pStyle w:val="NormalWeb"/>
      </w:pPr>
      <w:r>
        <w:t>Religion</w:t>
      </w:r>
    </w:p>
    <w:p w14:paraId="0FCBADB5" w14:textId="77777777" w:rsidR="00A95975" w:rsidRDefault="00A95975" w:rsidP="00A95975">
      <w:pPr>
        <w:pStyle w:val="NormalWeb"/>
      </w:pPr>
      <w:r>
        <w:t>Corinth was a religiously pluralistic city that boasted many temples and cults, including the following:</w:t>
      </w:r>
    </w:p>
    <w:p w14:paraId="13D3A32B" w14:textId="77777777" w:rsidR="00A95975" w:rsidRDefault="00A95975" w:rsidP="00A95975">
      <w:pPr>
        <w:pStyle w:val="NormalWeb"/>
      </w:pPr>
      <w:r>
        <w:t xml:space="preserve">Aphrodite: The Temple of </w:t>
      </w:r>
      <w:proofErr w:type="gramStart"/>
      <w:r>
        <w:t>Aphrodite,  on</w:t>
      </w:r>
      <w:proofErr w:type="gramEnd"/>
      <w:r>
        <w:t xml:space="preserve"> the top of the </w:t>
      </w:r>
      <w:proofErr w:type="spellStart"/>
      <w:r>
        <w:t>Acrocorinth</w:t>
      </w:r>
      <w:proofErr w:type="spellEnd"/>
      <w:r>
        <w:t>, was famous for its sacred offerings.</w:t>
      </w:r>
    </w:p>
    <w:p w14:paraId="392754C1" w14:textId="77777777" w:rsidR="00A95975" w:rsidRDefault="00A95975" w:rsidP="00A95975">
      <w:pPr>
        <w:pStyle w:val="NormalWeb"/>
      </w:pPr>
      <w:r>
        <w:t>Other Deities: The Temples of Apollo, Poseidon, and Isis illustrate the city’s cultural diversity.</w:t>
      </w:r>
    </w:p>
    <w:p w14:paraId="34EB496E" w14:textId="77777777" w:rsidR="00A95975" w:rsidRDefault="00A95975" w:rsidP="00A95975">
      <w:pPr>
        <w:pStyle w:val="NormalWeb"/>
      </w:pPr>
      <w:r>
        <w:t>Judaism: There was a sizable Jewish community in Corinth; Acts 18:4 mention a synagogue.</w:t>
      </w:r>
    </w:p>
    <w:p w14:paraId="416CC838" w14:textId="77777777" w:rsidR="00A95975" w:rsidRDefault="00A95975" w:rsidP="00A95975">
      <w:pPr>
        <w:pStyle w:val="NormalWeb"/>
      </w:pPr>
      <w:r>
        <w:t>Corinth in Early Christianity</w:t>
      </w:r>
    </w:p>
    <w:p w14:paraId="0549DC39" w14:textId="77777777" w:rsidR="00A95975" w:rsidRDefault="00A95975" w:rsidP="00A95975">
      <w:pPr>
        <w:pStyle w:val="NormalWeb"/>
      </w:pPr>
      <w:r>
        <w:t>Corinth has a significant presence in the New Testament as a centre of Paul’s missionary efforts:</w:t>
      </w:r>
    </w:p>
    <w:p w14:paraId="7D921BF1" w14:textId="77777777" w:rsidR="00A95975" w:rsidRDefault="00A95975" w:rsidP="00A95975">
      <w:pPr>
        <w:pStyle w:val="NormalWeb"/>
      </w:pPr>
      <w:r>
        <w:lastRenderedPageBreak/>
        <w:t>Paul’s Ministry: During his second missionary journey, Paul arrived in Corinth, where he spent 18 months preaching and establishing a Christian community (Acts 18:1–17) despite much opposition.</w:t>
      </w:r>
    </w:p>
    <w:p w14:paraId="6946F751" w14:textId="77777777" w:rsidR="00A95975" w:rsidRDefault="00A95975" w:rsidP="00A95975">
      <w:pPr>
        <w:pStyle w:val="NormalWeb"/>
      </w:pPr>
      <w:r>
        <w:t>Letters to the Corinthians Paul’s letters to the Corinthians (1 and 2 Corinthians) deal with matters like divisions, immorality, spiritual gifts, and resurrection. These letters give us a glimpse of what it was like to live as Christians in a cosmopolitan, morally confusing city.</w:t>
      </w:r>
    </w:p>
    <w:p w14:paraId="628AC78C" w14:textId="77777777" w:rsidR="00A95975" w:rsidRDefault="00A95975" w:rsidP="00A95975">
      <w:pPr>
        <w:pStyle w:val="NormalWeb"/>
      </w:pPr>
      <w:r>
        <w:t>Obstacles for Corinthian Christians</w:t>
      </w:r>
    </w:p>
    <w:p w14:paraId="01163FFF" w14:textId="77777777" w:rsidR="00A95975" w:rsidRDefault="00A95975" w:rsidP="00A95975">
      <w:pPr>
        <w:pStyle w:val="NormalWeb"/>
      </w:pPr>
      <w:r>
        <w:t>Corinth’s culture was diverse and often morally permissive, thus creating challenges for the early church:</w:t>
      </w:r>
    </w:p>
    <w:p w14:paraId="4DA1CFF6" w14:textId="77777777" w:rsidR="00A95975" w:rsidRDefault="00A95975" w:rsidP="00A95975">
      <w:pPr>
        <w:pStyle w:val="NormalWeb"/>
      </w:pPr>
      <w:r>
        <w:t>Social Divisions: The church consisted of people from different social and economic backgrounds, causing disputes over matters such as the Lord’s Supper (1 Corinthians 11:17–22).</w:t>
      </w:r>
    </w:p>
    <w:p w14:paraId="53B3DE4B" w14:textId="77777777" w:rsidR="00A95975" w:rsidRDefault="00A95975" w:rsidP="00A95975">
      <w:pPr>
        <w:pStyle w:val="NormalWeb"/>
      </w:pPr>
      <w:r>
        <w:t>Moral Problems: A reputation for immorality hung over Corinth and indeed influenced some members of the church—which is why Paul had to address sexual ethics and idolatry.</w:t>
      </w:r>
    </w:p>
    <w:p w14:paraId="3663C4F4" w14:textId="77777777" w:rsidR="00A95975" w:rsidRDefault="00A95975" w:rsidP="00A95975">
      <w:pPr>
        <w:pStyle w:val="NormalWeb"/>
      </w:pPr>
      <w:r>
        <w:t>Archaeological Significance</w:t>
      </w:r>
    </w:p>
    <w:p w14:paraId="2C879916" w14:textId="77777777" w:rsidR="00A95975" w:rsidRDefault="00A95975" w:rsidP="00A95975">
      <w:pPr>
        <w:pStyle w:val="NormalWeb"/>
      </w:pPr>
      <w:r>
        <w:t>The important sites excavated in Corinth include the following:</w:t>
      </w:r>
    </w:p>
    <w:p w14:paraId="6908AFAA" w14:textId="77777777" w:rsidR="00A95975" w:rsidRDefault="00A95975" w:rsidP="00A95975">
      <w:pPr>
        <w:pStyle w:val="NormalWeb"/>
      </w:pPr>
      <w:r>
        <w:t>The Agora: A large marketplace with inscriptions referring to Erastus, potentially the city leader mentioned in Romans 16:23</w:t>
      </w:r>
    </w:p>
    <w:p w14:paraId="0D480253" w14:textId="77777777" w:rsidR="00A95975" w:rsidRDefault="00A95975" w:rsidP="00A95975">
      <w:pPr>
        <w:pStyle w:val="NormalWeb"/>
      </w:pPr>
      <w:r>
        <w:t>The Bema: possibly where Paul stood during his trial before Gallio (Acts 18:12–17)</w:t>
      </w:r>
    </w:p>
    <w:p w14:paraId="1E8DDD68" w14:textId="77777777" w:rsidR="00A95975" w:rsidRDefault="00A95975" w:rsidP="00A95975">
      <w:pPr>
        <w:pStyle w:val="NormalWeb"/>
      </w:pPr>
      <w:r>
        <w:t>The Temple of Apollo: A Recalling of the city’s Greek heritage.</w:t>
      </w:r>
    </w:p>
    <w:p w14:paraId="43739B8C" w14:textId="77777777" w:rsidR="00A95975" w:rsidRDefault="00A95975" w:rsidP="00A95975">
      <w:pPr>
        <w:pStyle w:val="NormalWeb"/>
      </w:pPr>
      <w:r>
        <w:t>Legacy</w:t>
      </w:r>
    </w:p>
    <w:p w14:paraId="45232F9D" w14:textId="77777777" w:rsidR="00A95975" w:rsidRDefault="00A95975" w:rsidP="00A95975">
      <w:pPr>
        <w:pStyle w:val="NormalWeb"/>
      </w:pPr>
      <w:r>
        <w:t xml:space="preserve">The </w:t>
      </w:r>
      <w:proofErr w:type="spellStart"/>
      <w:r>
        <w:t>corinth’s</w:t>
      </w:r>
      <w:proofErr w:type="spellEnd"/>
      <w:r>
        <w:t xml:space="preserve"> </w:t>
      </w:r>
      <w:proofErr w:type="gramStart"/>
      <w:r>
        <w:t>land mark</w:t>
      </w:r>
      <w:proofErr w:type="gramEnd"/>
      <w:r>
        <w:t>, as a city of cultural exchange and early Christian witness, remains active. Its historic and archeologic importance continues to draw scholars and pilgrims; Paul’s letters to the Corinthians are foundational to Christian theology and ethics.</w:t>
      </w:r>
    </w:p>
    <w:p w14:paraId="71E66722" w14:textId="77777777" w:rsidR="00A95975" w:rsidRDefault="00A95975" w:rsidP="00A95975">
      <w:pPr>
        <w:pStyle w:val="NormalWeb"/>
      </w:pPr>
      <w:r>
        <w:t>Conclusion</w:t>
      </w:r>
    </w:p>
    <w:p w14:paraId="2F0F8009" w14:textId="77777777" w:rsidR="00A95975" w:rsidRDefault="00A95975" w:rsidP="00A95975">
      <w:pPr>
        <w:pStyle w:val="NormalWeb"/>
      </w:pPr>
      <w:r>
        <w:t>Ancient city of Corinth: Key facts The Corinthian presence in contemporary times includes church traditions, ancient history, archaeological sites, and modern Greek culture. Its obstacles and promises reflect the nature of preaching the Gospel within a diverse and morally ambiguous society. Today, Corinth is a reminder of the timelessness of Paul’s message and the strength of the early church.</w:t>
      </w:r>
    </w:p>
    <w:p w14:paraId="12F73C0B" w14:textId="77777777" w:rsidR="007E1269" w:rsidRDefault="007E1269" w:rsidP="00A95975">
      <w:pPr>
        <w:pStyle w:val="NormalWeb"/>
      </w:pPr>
    </w:p>
    <w:p w14:paraId="4080F68D" w14:textId="77777777" w:rsidR="007E1269" w:rsidRPr="007E1269" w:rsidRDefault="007E1269" w:rsidP="007E126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7E1269">
        <w:rPr>
          <w:rFonts w:ascii="Times New Roman" w:eastAsia="Times New Roman" w:hAnsi="Times New Roman" w:cs="Times New Roman"/>
          <w:b/>
          <w:bCs/>
          <w:kern w:val="0"/>
          <w:sz w:val="27"/>
          <w:szCs w:val="27"/>
          <w:lang w:eastAsia="en-GB"/>
          <w14:ligatures w14:val="none"/>
        </w:rPr>
        <w:t>References</w:t>
      </w:r>
    </w:p>
    <w:p w14:paraId="2E7F44D5" w14:textId="77777777" w:rsidR="007E1269" w:rsidRPr="007E1269" w:rsidRDefault="007E1269" w:rsidP="007E126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E1269">
        <w:rPr>
          <w:rFonts w:ascii="Times New Roman" w:eastAsia="Times New Roman" w:hAnsi="Times New Roman" w:cs="Times New Roman"/>
          <w:b/>
          <w:bCs/>
          <w:kern w:val="0"/>
          <w:lang w:eastAsia="en-GB"/>
          <w14:ligatures w14:val="none"/>
        </w:rPr>
        <w:t>For Part A (John 6:16–21)</w:t>
      </w:r>
    </w:p>
    <w:p w14:paraId="63806F67" w14:textId="77777777" w:rsidR="007E1269" w:rsidRPr="007E1269" w:rsidRDefault="007E1269" w:rsidP="007E126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E1269">
        <w:rPr>
          <w:rFonts w:ascii="Times New Roman" w:eastAsia="Times New Roman" w:hAnsi="Times New Roman" w:cs="Times New Roman"/>
          <w:kern w:val="0"/>
          <w:lang w:eastAsia="en-GB"/>
          <w14:ligatures w14:val="none"/>
        </w:rPr>
        <w:lastRenderedPageBreak/>
        <w:t xml:space="preserve">Carson, D. A. (1991). </w:t>
      </w:r>
      <w:r w:rsidRPr="007E1269">
        <w:rPr>
          <w:rFonts w:ascii="Times New Roman" w:eastAsia="Times New Roman" w:hAnsi="Times New Roman" w:cs="Times New Roman"/>
          <w:i/>
          <w:iCs/>
          <w:kern w:val="0"/>
          <w:lang w:eastAsia="en-GB"/>
          <w14:ligatures w14:val="none"/>
        </w:rPr>
        <w:t>The Gospel According to John</w:t>
      </w:r>
      <w:r w:rsidRPr="007E1269">
        <w:rPr>
          <w:rFonts w:ascii="Times New Roman" w:eastAsia="Times New Roman" w:hAnsi="Times New Roman" w:cs="Times New Roman"/>
          <w:kern w:val="0"/>
          <w:lang w:eastAsia="en-GB"/>
          <w14:ligatures w14:val="none"/>
        </w:rPr>
        <w:t>. Eerdmans.</w:t>
      </w:r>
    </w:p>
    <w:p w14:paraId="513E9BF5" w14:textId="77777777" w:rsidR="007E1269" w:rsidRPr="007E1269" w:rsidRDefault="007E1269" w:rsidP="007E126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E1269">
        <w:rPr>
          <w:rFonts w:ascii="Times New Roman" w:eastAsia="Times New Roman" w:hAnsi="Times New Roman" w:cs="Times New Roman"/>
          <w:kern w:val="0"/>
          <w:lang w:eastAsia="en-GB"/>
          <w14:ligatures w14:val="none"/>
        </w:rPr>
        <w:t xml:space="preserve">Keener, Craig S. (2003). </w:t>
      </w:r>
      <w:r w:rsidRPr="007E1269">
        <w:rPr>
          <w:rFonts w:ascii="Times New Roman" w:eastAsia="Times New Roman" w:hAnsi="Times New Roman" w:cs="Times New Roman"/>
          <w:i/>
          <w:iCs/>
          <w:kern w:val="0"/>
          <w:lang w:eastAsia="en-GB"/>
          <w14:ligatures w14:val="none"/>
        </w:rPr>
        <w:t>The Gospel of John: A Commentary, Vol. 1</w:t>
      </w:r>
      <w:r w:rsidRPr="007E1269">
        <w:rPr>
          <w:rFonts w:ascii="Times New Roman" w:eastAsia="Times New Roman" w:hAnsi="Times New Roman" w:cs="Times New Roman"/>
          <w:kern w:val="0"/>
          <w:lang w:eastAsia="en-GB"/>
          <w14:ligatures w14:val="none"/>
        </w:rPr>
        <w:t>. Baker Academic.</w:t>
      </w:r>
    </w:p>
    <w:p w14:paraId="69F1E22A" w14:textId="77777777" w:rsidR="007E1269" w:rsidRPr="007E1269" w:rsidRDefault="007E1269" w:rsidP="007E126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7E1269">
        <w:rPr>
          <w:rFonts w:ascii="Times New Roman" w:eastAsia="Times New Roman" w:hAnsi="Times New Roman" w:cs="Times New Roman"/>
          <w:kern w:val="0"/>
          <w:lang w:eastAsia="en-GB"/>
          <w14:ligatures w14:val="none"/>
        </w:rPr>
        <w:t>Ridderbos</w:t>
      </w:r>
      <w:proofErr w:type="spellEnd"/>
      <w:r w:rsidRPr="007E1269">
        <w:rPr>
          <w:rFonts w:ascii="Times New Roman" w:eastAsia="Times New Roman" w:hAnsi="Times New Roman" w:cs="Times New Roman"/>
          <w:kern w:val="0"/>
          <w:lang w:eastAsia="en-GB"/>
          <w14:ligatures w14:val="none"/>
        </w:rPr>
        <w:t xml:space="preserve">, Herman. (1997). </w:t>
      </w:r>
      <w:r w:rsidRPr="007E1269">
        <w:rPr>
          <w:rFonts w:ascii="Times New Roman" w:eastAsia="Times New Roman" w:hAnsi="Times New Roman" w:cs="Times New Roman"/>
          <w:i/>
          <w:iCs/>
          <w:kern w:val="0"/>
          <w:lang w:eastAsia="en-GB"/>
          <w14:ligatures w14:val="none"/>
        </w:rPr>
        <w:t>The Gospel of John: A Theological Commentary</w:t>
      </w:r>
      <w:r w:rsidRPr="007E1269">
        <w:rPr>
          <w:rFonts w:ascii="Times New Roman" w:eastAsia="Times New Roman" w:hAnsi="Times New Roman" w:cs="Times New Roman"/>
          <w:kern w:val="0"/>
          <w:lang w:eastAsia="en-GB"/>
          <w14:ligatures w14:val="none"/>
        </w:rPr>
        <w:t>. Eerdmans.</w:t>
      </w:r>
    </w:p>
    <w:p w14:paraId="7F7E4F21" w14:textId="77777777" w:rsidR="007E1269" w:rsidRPr="007E1269" w:rsidRDefault="007E1269" w:rsidP="007E126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7E1269">
        <w:rPr>
          <w:rFonts w:ascii="Times New Roman" w:eastAsia="Times New Roman" w:hAnsi="Times New Roman" w:cs="Times New Roman"/>
          <w:b/>
          <w:bCs/>
          <w:kern w:val="0"/>
          <w:lang w:eastAsia="en-GB"/>
          <w14:ligatures w14:val="none"/>
        </w:rPr>
        <w:t>For Part B (The City of Corinth)</w:t>
      </w:r>
    </w:p>
    <w:p w14:paraId="2BAE9814" w14:textId="77777777" w:rsidR="007E1269" w:rsidRPr="007E1269" w:rsidRDefault="007E1269" w:rsidP="007E126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E1269">
        <w:rPr>
          <w:rFonts w:ascii="Times New Roman" w:eastAsia="Times New Roman" w:hAnsi="Times New Roman" w:cs="Times New Roman"/>
          <w:kern w:val="0"/>
          <w:lang w:eastAsia="en-GB"/>
          <w14:ligatures w14:val="none"/>
        </w:rPr>
        <w:t xml:space="preserve">Murphy-O'Connor, Jerome. (2002). </w:t>
      </w:r>
      <w:r w:rsidRPr="007E1269">
        <w:rPr>
          <w:rFonts w:ascii="Times New Roman" w:eastAsia="Times New Roman" w:hAnsi="Times New Roman" w:cs="Times New Roman"/>
          <w:i/>
          <w:iCs/>
          <w:kern w:val="0"/>
          <w:lang w:eastAsia="en-GB"/>
          <w14:ligatures w14:val="none"/>
        </w:rPr>
        <w:t>St. Paul’s Corinth: Texts and Archaeology</w:t>
      </w:r>
      <w:r w:rsidRPr="007E1269">
        <w:rPr>
          <w:rFonts w:ascii="Times New Roman" w:eastAsia="Times New Roman" w:hAnsi="Times New Roman" w:cs="Times New Roman"/>
          <w:kern w:val="0"/>
          <w:lang w:eastAsia="en-GB"/>
          <w14:ligatures w14:val="none"/>
        </w:rPr>
        <w:t>. Liturgical Press.</w:t>
      </w:r>
    </w:p>
    <w:p w14:paraId="640D111A" w14:textId="77777777" w:rsidR="007E1269" w:rsidRPr="007E1269" w:rsidRDefault="007E1269" w:rsidP="007E126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E1269">
        <w:rPr>
          <w:rFonts w:ascii="Times New Roman" w:eastAsia="Times New Roman" w:hAnsi="Times New Roman" w:cs="Times New Roman"/>
          <w:kern w:val="0"/>
          <w:lang w:eastAsia="en-GB"/>
          <w14:ligatures w14:val="none"/>
        </w:rPr>
        <w:t xml:space="preserve">Bruce, F. F. (1980). </w:t>
      </w:r>
      <w:r w:rsidRPr="007E1269">
        <w:rPr>
          <w:rFonts w:ascii="Times New Roman" w:eastAsia="Times New Roman" w:hAnsi="Times New Roman" w:cs="Times New Roman"/>
          <w:i/>
          <w:iCs/>
          <w:kern w:val="0"/>
          <w:lang w:eastAsia="en-GB"/>
          <w14:ligatures w14:val="none"/>
        </w:rPr>
        <w:t>Paul: Apostle of the Heart Set Free</w:t>
      </w:r>
      <w:r w:rsidRPr="007E1269">
        <w:rPr>
          <w:rFonts w:ascii="Times New Roman" w:eastAsia="Times New Roman" w:hAnsi="Times New Roman" w:cs="Times New Roman"/>
          <w:kern w:val="0"/>
          <w:lang w:eastAsia="en-GB"/>
          <w14:ligatures w14:val="none"/>
        </w:rPr>
        <w:t>. Eerdmans.</w:t>
      </w:r>
    </w:p>
    <w:p w14:paraId="64560A7B" w14:textId="77777777" w:rsidR="007E1269" w:rsidRPr="007E1269" w:rsidRDefault="007E1269" w:rsidP="007E126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E1269">
        <w:rPr>
          <w:rFonts w:ascii="Times New Roman" w:eastAsia="Times New Roman" w:hAnsi="Times New Roman" w:cs="Times New Roman"/>
          <w:kern w:val="0"/>
          <w:lang w:eastAsia="en-GB"/>
          <w14:ligatures w14:val="none"/>
        </w:rPr>
        <w:t xml:space="preserve">Garland, David E. (2003). </w:t>
      </w:r>
      <w:r w:rsidRPr="007E1269">
        <w:rPr>
          <w:rFonts w:ascii="Times New Roman" w:eastAsia="Times New Roman" w:hAnsi="Times New Roman" w:cs="Times New Roman"/>
          <w:i/>
          <w:iCs/>
          <w:kern w:val="0"/>
          <w:lang w:eastAsia="en-GB"/>
          <w14:ligatures w14:val="none"/>
        </w:rPr>
        <w:t>1 Corinthians</w:t>
      </w:r>
      <w:r w:rsidRPr="007E1269">
        <w:rPr>
          <w:rFonts w:ascii="Times New Roman" w:eastAsia="Times New Roman" w:hAnsi="Times New Roman" w:cs="Times New Roman"/>
          <w:kern w:val="0"/>
          <w:lang w:eastAsia="en-GB"/>
          <w14:ligatures w14:val="none"/>
        </w:rPr>
        <w:t>. Baker Academic.</w:t>
      </w:r>
    </w:p>
    <w:p w14:paraId="436ABCCC" w14:textId="77777777" w:rsidR="007E1269" w:rsidRDefault="007E1269" w:rsidP="00A95975">
      <w:pPr>
        <w:pStyle w:val="NormalWeb"/>
      </w:pPr>
    </w:p>
    <w:p w14:paraId="6BE26BF2" w14:textId="77777777" w:rsidR="00A95975" w:rsidRDefault="00A95975" w:rsidP="009079A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7B840DB8" w14:textId="77777777" w:rsidR="00A95975" w:rsidRDefault="00A95975" w:rsidP="00A95975">
      <w:pPr>
        <w:spacing w:before="100" w:beforeAutospacing="1" w:after="100" w:afterAutospacing="1" w:line="240" w:lineRule="auto"/>
        <w:jc w:val="center"/>
        <w:outlineLvl w:val="3"/>
        <w:rPr>
          <w:rFonts w:ascii="Times New Roman" w:eastAsia="Times New Roman" w:hAnsi="Times New Roman" w:cs="Times New Roman"/>
          <w:b/>
          <w:bCs/>
          <w:kern w:val="0"/>
          <w:lang w:eastAsia="en-GB"/>
          <w14:ligatures w14:val="none"/>
        </w:rPr>
      </w:pPr>
    </w:p>
    <w:p w14:paraId="280AEF86" w14:textId="77777777" w:rsidR="00A95975" w:rsidRPr="009079A4" w:rsidRDefault="00A95975" w:rsidP="009079A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5092DC58" w14:textId="77777777" w:rsidR="00974E63" w:rsidRDefault="00974E63" w:rsidP="009079A4">
      <w:pPr>
        <w:jc w:val="center"/>
      </w:pPr>
    </w:p>
    <w:sectPr w:rsidR="00974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431999"/>
    <w:multiLevelType w:val="multilevel"/>
    <w:tmpl w:val="67E89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AB2929"/>
    <w:multiLevelType w:val="multilevel"/>
    <w:tmpl w:val="9EDE3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2726134">
    <w:abstractNumId w:val="0"/>
  </w:num>
  <w:num w:numId="2" w16cid:durableId="1481464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9A4"/>
    <w:rsid w:val="007E1269"/>
    <w:rsid w:val="0086182F"/>
    <w:rsid w:val="00863F1E"/>
    <w:rsid w:val="009079A4"/>
    <w:rsid w:val="00974E63"/>
    <w:rsid w:val="00A95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B6415"/>
  <w15:chartTrackingRefBased/>
  <w15:docId w15:val="{A8812B88-3905-40F7-8B2A-77C1366CF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9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9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9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9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9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9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9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9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9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9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9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9A4"/>
    <w:rPr>
      <w:rFonts w:eastAsiaTheme="majorEastAsia" w:cstheme="majorBidi"/>
      <w:color w:val="272727" w:themeColor="text1" w:themeTint="D8"/>
    </w:rPr>
  </w:style>
  <w:style w:type="paragraph" w:styleId="Title">
    <w:name w:val="Title"/>
    <w:basedOn w:val="Normal"/>
    <w:next w:val="Normal"/>
    <w:link w:val="TitleChar"/>
    <w:uiPriority w:val="10"/>
    <w:qFormat/>
    <w:rsid w:val="00907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9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9A4"/>
    <w:pPr>
      <w:spacing w:before="160"/>
      <w:jc w:val="center"/>
    </w:pPr>
    <w:rPr>
      <w:i/>
      <w:iCs/>
      <w:color w:val="404040" w:themeColor="text1" w:themeTint="BF"/>
    </w:rPr>
  </w:style>
  <w:style w:type="character" w:customStyle="1" w:styleId="QuoteChar">
    <w:name w:val="Quote Char"/>
    <w:basedOn w:val="DefaultParagraphFont"/>
    <w:link w:val="Quote"/>
    <w:uiPriority w:val="29"/>
    <w:rsid w:val="009079A4"/>
    <w:rPr>
      <w:i/>
      <w:iCs/>
      <w:color w:val="404040" w:themeColor="text1" w:themeTint="BF"/>
    </w:rPr>
  </w:style>
  <w:style w:type="paragraph" w:styleId="ListParagraph">
    <w:name w:val="List Paragraph"/>
    <w:basedOn w:val="Normal"/>
    <w:uiPriority w:val="34"/>
    <w:qFormat/>
    <w:rsid w:val="009079A4"/>
    <w:pPr>
      <w:ind w:left="720"/>
      <w:contextualSpacing/>
    </w:pPr>
  </w:style>
  <w:style w:type="character" w:styleId="IntenseEmphasis">
    <w:name w:val="Intense Emphasis"/>
    <w:basedOn w:val="DefaultParagraphFont"/>
    <w:uiPriority w:val="21"/>
    <w:qFormat/>
    <w:rsid w:val="009079A4"/>
    <w:rPr>
      <w:i/>
      <w:iCs/>
      <w:color w:val="0F4761" w:themeColor="accent1" w:themeShade="BF"/>
    </w:rPr>
  </w:style>
  <w:style w:type="paragraph" w:styleId="IntenseQuote">
    <w:name w:val="Intense Quote"/>
    <w:basedOn w:val="Normal"/>
    <w:next w:val="Normal"/>
    <w:link w:val="IntenseQuoteChar"/>
    <w:uiPriority w:val="30"/>
    <w:qFormat/>
    <w:rsid w:val="00907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9A4"/>
    <w:rPr>
      <w:i/>
      <w:iCs/>
      <w:color w:val="0F4761" w:themeColor="accent1" w:themeShade="BF"/>
    </w:rPr>
  </w:style>
  <w:style w:type="character" w:styleId="IntenseReference">
    <w:name w:val="Intense Reference"/>
    <w:basedOn w:val="DefaultParagraphFont"/>
    <w:uiPriority w:val="32"/>
    <w:qFormat/>
    <w:rsid w:val="009079A4"/>
    <w:rPr>
      <w:b/>
      <w:bCs/>
      <w:smallCaps/>
      <w:color w:val="0F4761" w:themeColor="accent1" w:themeShade="BF"/>
      <w:spacing w:val="5"/>
    </w:rPr>
  </w:style>
  <w:style w:type="paragraph" w:styleId="NormalWeb">
    <w:name w:val="Normal (Web)"/>
    <w:basedOn w:val="Normal"/>
    <w:uiPriority w:val="99"/>
    <w:semiHidden/>
    <w:unhideWhenUsed/>
    <w:rsid w:val="009079A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237044">
      <w:bodyDiv w:val="1"/>
      <w:marLeft w:val="0"/>
      <w:marRight w:val="0"/>
      <w:marTop w:val="0"/>
      <w:marBottom w:val="0"/>
      <w:divBdr>
        <w:top w:val="none" w:sz="0" w:space="0" w:color="auto"/>
        <w:left w:val="none" w:sz="0" w:space="0" w:color="auto"/>
        <w:bottom w:val="none" w:sz="0" w:space="0" w:color="auto"/>
        <w:right w:val="none" w:sz="0" w:space="0" w:color="auto"/>
      </w:divBdr>
    </w:div>
    <w:div w:id="282544863">
      <w:bodyDiv w:val="1"/>
      <w:marLeft w:val="0"/>
      <w:marRight w:val="0"/>
      <w:marTop w:val="0"/>
      <w:marBottom w:val="0"/>
      <w:divBdr>
        <w:top w:val="none" w:sz="0" w:space="0" w:color="auto"/>
        <w:left w:val="none" w:sz="0" w:space="0" w:color="auto"/>
        <w:bottom w:val="none" w:sz="0" w:space="0" w:color="auto"/>
        <w:right w:val="none" w:sz="0" w:space="0" w:color="auto"/>
      </w:divBdr>
    </w:div>
    <w:div w:id="355351263">
      <w:bodyDiv w:val="1"/>
      <w:marLeft w:val="0"/>
      <w:marRight w:val="0"/>
      <w:marTop w:val="0"/>
      <w:marBottom w:val="0"/>
      <w:divBdr>
        <w:top w:val="none" w:sz="0" w:space="0" w:color="auto"/>
        <w:left w:val="none" w:sz="0" w:space="0" w:color="auto"/>
        <w:bottom w:val="none" w:sz="0" w:space="0" w:color="auto"/>
        <w:right w:val="none" w:sz="0" w:space="0" w:color="auto"/>
      </w:divBdr>
    </w:div>
    <w:div w:id="588274102">
      <w:bodyDiv w:val="1"/>
      <w:marLeft w:val="0"/>
      <w:marRight w:val="0"/>
      <w:marTop w:val="0"/>
      <w:marBottom w:val="0"/>
      <w:divBdr>
        <w:top w:val="none" w:sz="0" w:space="0" w:color="auto"/>
        <w:left w:val="none" w:sz="0" w:space="0" w:color="auto"/>
        <w:bottom w:val="none" w:sz="0" w:space="0" w:color="auto"/>
        <w:right w:val="none" w:sz="0" w:space="0" w:color="auto"/>
      </w:divBdr>
    </w:div>
    <w:div w:id="776675167">
      <w:bodyDiv w:val="1"/>
      <w:marLeft w:val="0"/>
      <w:marRight w:val="0"/>
      <w:marTop w:val="0"/>
      <w:marBottom w:val="0"/>
      <w:divBdr>
        <w:top w:val="none" w:sz="0" w:space="0" w:color="auto"/>
        <w:left w:val="none" w:sz="0" w:space="0" w:color="auto"/>
        <w:bottom w:val="none" w:sz="0" w:space="0" w:color="auto"/>
        <w:right w:val="none" w:sz="0" w:space="0" w:color="auto"/>
      </w:divBdr>
    </w:div>
    <w:div w:id="845680158">
      <w:bodyDiv w:val="1"/>
      <w:marLeft w:val="0"/>
      <w:marRight w:val="0"/>
      <w:marTop w:val="0"/>
      <w:marBottom w:val="0"/>
      <w:divBdr>
        <w:top w:val="none" w:sz="0" w:space="0" w:color="auto"/>
        <w:left w:val="none" w:sz="0" w:space="0" w:color="auto"/>
        <w:bottom w:val="none" w:sz="0" w:space="0" w:color="auto"/>
        <w:right w:val="none" w:sz="0" w:space="0" w:color="auto"/>
      </w:divBdr>
    </w:div>
    <w:div w:id="1678534636">
      <w:bodyDiv w:val="1"/>
      <w:marLeft w:val="0"/>
      <w:marRight w:val="0"/>
      <w:marTop w:val="0"/>
      <w:marBottom w:val="0"/>
      <w:divBdr>
        <w:top w:val="none" w:sz="0" w:space="0" w:color="auto"/>
        <w:left w:val="none" w:sz="0" w:space="0" w:color="auto"/>
        <w:bottom w:val="none" w:sz="0" w:space="0" w:color="auto"/>
        <w:right w:val="none" w:sz="0" w:space="0" w:color="auto"/>
      </w:divBdr>
    </w:div>
    <w:div w:id="1727872970">
      <w:bodyDiv w:val="1"/>
      <w:marLeft w:val="0"/>
      <w:marRight w:val="0"/>
      <w:marTop w:val="0"/>
      <w:marBottom w:val="0"/>
      <w:divBdr>
        <w:top w:val="none" w:sz="0" w:space="0" w:color="auto"/>
        <w:left w:val="none" w:sz="0" w:space="0" w:color="auto"/>
        <w:bottom w:val="none" w:sz="0" w:space="0" w:color="auto"/>
        <w:right w:val="none" w:sz="0" w:space="0" w:color="auto"/>
      </w:divBdr>
    </w:div>
    <w:div w:id="202096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1570</Words>
  <Characters>8950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2024-12-03T16:47:00Z</dcterms:created>
  <dcterms:modified xsi:type="dcterms:W3CDTF">2024-12-03T17:22:00Z</dcterms:modified>
</cp:coreProperties>
</file>