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rPr>
      </w:pPr>
      <w:r>
        <w:rPr>
          <w:rFonts w:ascii="Arial" w:hAnsi="Arial" w:cs="Arial"/>
          <w:b/>
          <w:bCs/>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ind w:firstLine="2200" w:firstLineChars="1000"/>
              <w:rPr>
                <w:rFonts w:hint="default" w:ascii="Arial" w:hAnsi="Arial" w:cs="Arial"/>
                <w:sz w:val="22"/>
                <w:szCs w:val="22"/>
                <w:lang w:val="en-US" w:eastAsia="zh-CN"/>
              </w:rPr>
            </w:pPr>
            <w:r>
              <w:rPr>
                <w:rFonts w:hint="eastAsia" w:ascii="Arial" w:hAnsi="Arial" w:cs="Arial"/>
                <w:sz w:val="22"/>
                <w:szCs w:val="22"/>
                <w:lang w:val="en-US" w:eastAsia="zh-CN"/>
              </w:rPr>
              <w:t>Zhiqi Lu</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ascii="Arial" w:hAnsi="Arial" w:cs="Arial"/>
                <w:sz w:val="22"/>
                <w:szCs w:val="22"/>
              </w:rPr>
            </w:pP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both"/>
              <w:rPr>
                <w:rFonts w:hint="eastAsia" w:ascii="Arial" w:hAnsi="Arial" w:cs="Arial"/>
                <w:b/>
                <w:bCs/>
                <w:color w:val="FF0000"/>
                <w:sz w:val="16"/>
                <w:szCs w:val="16"/>
              </w:rPr>
            </w:pPr>
            <w:r>
              <w:rPr>
                <w:rFonts w:hint="eastAsia" w:ascii="Arial" w:hAnsi="Arial" w:cs="Arial"/>
                <w:b/>
                <w:bCs/>
                <w:color w:val="auto"/>
                <w:sz w:val="16"/>
                <w:szCs w:val="16"/>
              </w:rPr>
              <w:t>January 30,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ascii="Arial" w:hAnsi="Arial" w:cs="Arial"/>
                <w:sz w:val="22"/>
                <w:szCs w:val="22"/>
              </w:rPr>
              <w:t>Predictive Analytics for Threat Intelligence in Cybersecurity Log Management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5"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autoSpaceDE w:val="0"/>
              <w:autoSpaceDN w:val="0"/>
              <w:adjustRightInd w:val="0"/>
              <w:ind w:firstLine="321" w:firstLineChars="200"/>
              <w:jc w:val="both"/>
              <w:rPr>
                <w:rFonts w:hint="eastAsia" w:ascii="Arial" w:hAnsi="Arial" w:eastAsia="宋体" w:cs="Arial"/>
                <w:b/>
                <w:bCs/>
                <w:color w:val="FF0000"/>
                <w:sz w:val="16"/>
                <w:szCs w:val="16"/>
                <w:lang w:val="en-US" w:eastAsia="zh-CN" w:bidi="ar-SA"/>
              </w:rPr>
            </w:pPr>
            <w:r>
              <w:rPr>
                <w:rFonts w:hint="eastAsia" w:ascii="Arial" w:hAnsi="Arial" w:cs="Arial"/>
                <w:b/>
                <w:bCs/>
                <w:color w:val="auto"/>
                <w:sz w:val="16"/>
                <w:szCs w:val="16"/>
              </w:rPr>
              <w:t>September 30, 2022</w:t>
            </w: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7" w:type="pct"/>
            <w:tcBorders>
              <w:top w:val="single" w:color="auto" w:sz="4" w:space="0"/>
              <w:left w:val="single" w:color="auto" w:sz="4" w:space="0"/>
              <w:bottom w:val="single" w:color="auto" w:sz="4" w:space="0"/>
              <w:right w:val="single" w:color="auto" w:sz="4" w:space="0"/>
            </w:tcBorders>
            <w:vAlign w:val="center"/>
          </w:tcPr>
          <w:p>
            <w:pPr>
              <w:ind w:firstLine="482" w:firstLineChars="300"/>
              <w:rPr>
                <w:rFonts w:ascii="Arial" w:hAnsi="Arial" w:cs="Arial"/>
                <w:color w:val="FF0000"/>
                <w:sz w:val="22"/>
                <w:szCs w:val="22"/>
              </w:rPr>
            </w:pPr>
            <w:r>
              <w:rPr>
                <w:rFonts w:hint="eastAsia" w:ascii="Arial" w:hAnsi="Arial" w:cs="Arial"/>
                <w:b/>
                <w:bCs/>
                <w:color w:val="auto"/>
                <w:sz w:val="16"/>
                <w:szCs w:val="16"/>
              </w:rPr>
              <w:t>October 1, 2023</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The purpose of this research activity is to enhance an organization's ability to detect and prevent cyberattacks by developing a predictive analytics model for threat intelligence in cybersecurity log management using AI and machine learning techniques. Cybersecurity threats are constantly evolving, and traditional log analysis methods may not be effective enough to identify emerging threats promptly. By incorporating AI/ML techniques, we aim to improve the accuracy and timeliness of threat prediction, offering organizations a more proactive approach to cybersecurity.</w:t>
            </w:r>
          </w:p>
          <w:p>
            <w:pPr>
              <w:rPr>
                <w:rFonts w:hint="eastAsia" w:ascii="Arial" w:hAnsi="Arial" w:cs="Arial"/>
                <w:lang w:val="en-GB"/>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How can AI/ML techniques be leveraged for predictive analytics in cybersecurity log management to enhance threat intelligence?</w:t>
            </w:r>
          </w:p>
          <w:p>
            <w:pPr>
              <w:autoSpaceDE w:val="0"/>
              <w:autoSpaceDN w:val="0"/>
              <w:adjustRightInd w:val="0"/>
              <w:rPr>
                <w:rFonts w:ascii="Arial" w:hAnsi="Arial" w:cs="Arial"/>
                <w:b/>
                <w:bCs/>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To address the research question, our research activity aims to investigate the effectiveness of AI/ML techniques in predicting cybersecurity threats and to develop a predictive analytics model that can provide real-time insights. By focusing on these aims, we strive to advance the understanding of AI/ML applications in cybersecurity and contribute to improved threat detection and prevention methods.</w:t>
            </w:r>
          </w:p>
          <w:p>
            <w:pPr>
              <w:rPr>
                <w:rFonts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 xml:space="preserve">• To investigate the effectiveness of AI/ML techniques in predicting cybersecurity threats. </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 xml:space="preserve">• To develop a predictive analytics model for threat intelligence in cybersecurity log management. </w:t>
            </w:r>
          </w:p>
          <w:p>
            <w:pPr>
              <w:rPr>
                <w:rFonts w:ascii="Arial" w:hAnsi="Arial" w:cs="Arial" w:eastAsiaTheme="minorEastAsia"/>
                <w:sz w:val="20"/>
                <w:szCs w:val="20"/>
                <w:lang w:val="en-GB" w:eastAsia="en-US"/>
              </w:rPr>
            </w:pPr>
            <w:r>
              <w:rPr>
                <w:rFonts w:ascii="Arial" w:hAnsi="Arial" w:cs="Arial" w:eastAsiaTheme="minorEastAsia"/>
                <w:sz w:val="20"/>
                <w:szCs w:val="20"/>
                <w:lang w:val="en-GB" w:eastAsia="en-US"/>
              </w:rPr>
              <w:t>• To evaluate the performance and practical implications of the proposed model.</w:t>
            </w:r>
          </w:p>
          <w:p>
            <w:pPr>
              <w:rPr>
                <w:rFonts w:hint="eastAsia" w:ascii="Arial" w:hAnsi="Arial" w:cs="Arial"/>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1"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p>
          <w:p>
            <w:pPr>
              <w:numPr>
                <w:ilvl w:val="0"/>
                <w:numId w:val="2"/>
              </w:numPr>
              <w:rPr>
                <w:rFonts w:ascii="Arial" w:hAnsi="Arial" w:cs="Arial"/>
                <w:sz w:val="22"/>
                <w:szCs w:val="22"/>
              </w:rPr>
            </w:pPr>
            <w:r>
              <w:rPr>
                <w:rFonts w:ascii="Arial" w:hAnsi="Arial" w:cs="Arial"/>
                <w:b/>
                <w:bCs/>
                <w:sz w:val="22"/>
                <w:szCs w:val="22"/>
              </w:rPr>
              <w:t>Literature Review</w:t>
            </w:r>
          </w:p>
          <w:p>
            <w:pPr>
              <w:rPr>
                <w:rFonts w:ascii="Arial" w:hAnsi="Arial" w:cs="Arial"/>
                <w:sz w:val="22"/>
                <w:szCs w:val="22"/>
              </w:rPr>
            </w:pPr>
            <w:r>
              <w:rPr>
                <w:rFonts w:ascii="Arial" w:hAnsi="Arial" w:cs="Arial"/>
                <w:sz w:val="22"/>
                <w:szCs w:val="22"/>
              </w:rPr>
              <w:t>A comprehensive literature review will be conducted to gather relevant information on existing AI/ML techniques in cybersecurity, predictive analytics models, and threat intelligence. This review will help identify current trends, gaps, and opportunities in the field, which will inform the development of our predictive analytics model.</w:t>
            </w:r>
          </w:p>
          <w:p>
            <w:pPr>
              <w:numPr>
                <w:ilvl w:val="0"/>
                <w:numId w:val="3"/>
              </w:numPr>
              <w:rPr>
                <w:rFonts w:ascii="Arial" w:hAnsi="Arial" w:cs="Arial"/>
                <w:sz w:val="22"/>
                <w:szCs w:val="22"/>
              </w:rPr>
            </w:pPr>
            <w:r>
              <w:rPr>
                <w:rFonts w:ascii="Arial" w:hAnsi="Arial" w:cs="Arial"/>
                <w:b/>
                <w:bCs/>
                <w:sz w:val="22"/>
                <w:szCs w:val="22"/>
              </w:rPr>
              <w:t>Data Collection and Preprocessing</w:t>
            </w:r>
          </w:p>
          <w:p>
            <w:pPr>
              <w:rPr>
                <w:rFonts w:ascii="Arial" w:hAnsi="Arial" w:cs="Arial"/>
                <w:sz w:val="22"/>
                <w:szCs w:val="22"/>
              </w:rPr>
            </w:pPr>
            <w:r>
              <w:rPr>
                <w:rFonts w:ascii="Arial" w:hAnsi="Arial" w:cs="Arial"/>
                <w:sz w:val="22"/>
                <w:szCs w:val="22"/>
              </w:rPr>
              <w:t>We will collect cybersecurity log data from various sources, such as network logs, application logs, and system logs, to train and test the predictive analytics model. Data preprocessing steps, including data cleaning, normalization, and feature extraction, will be performed to ensure the quality and relevance of the input data for the model.</w:t>
            </w:r>
          </w:p>
          <w:p>
            <w:pPr>
              <w:numPr>
                <w:ilvl w:val="0"/>
                <w:numId w:val="4"/>
              </w:numPr>
              <w:rPr>
                <w:rFonts w:ascii="Arial" w:hAnsi="Arial" w:cs="Arial"/>
                <w:sz w:val="22"/>
                <w:szCs w:val="22"/>
              </w:rPr>
            </w:pPr>
            <w:r>
              <w:rPr>
                <w:rFonts w:ascii="Arial" w:hAnsi="Arial" w:cs="Arial"/>
                <w:b/>
                <w:bCs/>
                <w:sz w:val="22"/>
                <w:szCs w:val="22"/>
              </w:rPr>
              <w:t>Feature Selection</w:t>
            </w:r>
          </w:p>
          <w:p>
            <w:pPr>
              <w:rPr>
                <w:rFonts w:ascii="Arial" w:hAnsi="Arial" w:cs="Arial"/>
                <w:sz w:val="22"/>
                <w:szCs w:val="22"/>
              </w:rPr>
            </w:pPr>
            <w:r>
              <w:rPr>
                <w:rFonts w:ascii="Arial" w:hAnsi="Arial" w:cs="Arial"/>
                <w:sz w:val="22"/>
                <w:szCs w:val="22"/>
              </w:rPr>
              <w:t>An essential step in developing the predictive analytics model is selecting the most relevant and informative features from the preprocessed data. We will employ various feature selection techniques, such as filter methods, wrapper methods, and embedded methods, to identify the most significant features that contribute to accurate threat prediction.</w:t>
            </w:r>
          </w:p>
          <w:p>
            <w:pPr>
              <w:numPr>
                <w:ilvl w:val="0"/>
                <w:numId w:val="5"/>
              </w:numPr>
              <w:rPr>
                <w:rFonts w:ascii="Arial" w:hAnsi="Arial" w:cs="Arial"/>
                <w:sz w:val="22"/>
                <w:szCs w:val="22"/>
              </w:rPr>
            </w:pPr>
            <w:r>
              <w:rPr>
                <w:rFonts w:ascii="Arial" w:hAnsi="Arial" w:cs="Arial"/>
                <w:b/>
                <w:bCs/>
                <w:sz w:val="22"/>
                <w:szCs w:val="22"/>
              </w:rPr>
              <w:t>Model Development</w:t>
            </w:r>
          </w:p>
          <w:p>
            <w:pPr>
              <w:rPr>
                <w:rFonts w:ascii="Arial" w:hAnsi="Arial" w:cs="Arial"/>
                <w:sz w:val="22"/>
                <w:szCs w:val="22"/>
              </w:rPr>
            </w:pPr>
            <w:r>
              <w:rPr>
                <w:rFonts w:ascii="Arial" w:hAnsi="Arial" w:cs="Arial"/>
                <w:sz w:val="22"/>
                <w:szCs w:val="22"/>
              </w:rPr>
              <w:t>Several AI/ML techniques, including supervised learning algorithms (e.g., Support Vector Machines, Decision Trees, and Neural Networks) and unsupervised learning algorithms (e.g., clustering and anomaly detection), will be explored to develop the predictive analytics model. We will also investigate ensemble learning methods, such as bagging and boosting, to improve the model's performance.</w:t>
            </w:r>
          </w:p>
          <w:p>
            <w:pPr>
              <w:numPr>
                <w:ilvl w:val="0"/>
                <w:numId w:val="6"/>
              </w:numPr>
              <w:rPr>
                <w:rFonts w:ascii="Arial" w:hAnsi="Arial" w:cs="Arial"/>
                <w:sz w:val="22"/>
                <w:szCs w:val="22"/>
              </w:rPr>
            </w:pPr>
            <w:r>
              <w:rPr>
                <w:rFonts w:ascii="Arial" w:hAnsi="Arial" w:cs="Arial"/>
                <w:b/>
                <w:bCs/>
                <w:sz w:val="22"/>
                <w:szCs w:val="22"/>
              </w:rPr>
              <w:t>Model Evaluation</w:t>
            </w:r>
          </w:p>
          <w:p>
            <w:pPr>
              <w:rPr>
                <w:rFonts w:ascii="Arial" w:hAnsi="Arial" w:cs="Arial"/>
                <w:sz w:val="22"/>
                <w:szCs w:val="22"/>
              </w:rPr>
            </w:pPr>
            <w:r>
              <w:rPr>
                <w:rFonts w:ascii="Arial" w:hAnsi="Arial" w:cs="Arial"/>
                <w:sz w:val="22"/>
                <w:szCs w:val="22"/>
              </w:rPr>
              <w:t>To evaluate the performance of the developed model, we will use various evaluation metrics, such as accuracy, precision, recall, and F1-score. These metrics will help assess the model's effectiveness in predicting cybersecurity threats and provide insights into its strengths and weaknesses. We will also perform cross-validation and use different test sets to ensure the model's robustness and generalizability.</w:t>
            </w:r>
          </w:p>
          <w:p>
            <w:pPr>
              <w:numPr>
                <w:ilvl w:val="0"/>
                <w:numId w:val="7"/>
              </w:numPr>
              <w:rPr>
                <w:rFonts w:ascii="Arial" w:hAnsi="Arial" w:cs="Arial"/>
                <w:sz w:val="22"/>
                <w:szCs w:val="22"/>
              </w:rPr>
            </w:pPr>
            <w:r>
              <w:rPr>
                <w:rFonts w:ascii="Arial" w:hAnsi="Arial" w:cs="Arial"/>
                <w:b/>
                <w:bCs/>
                <w:sz w:val="22"/>
                <w:szCs w:val="22"/>
              </w:rPr>
              <w:t>Model Optimization</w:t>
            </w:r>
          </w:p>
          <w:p>
            <w:pPr>
              <w:rPr>
                <w:rFonts w:ascii="Arial" w:hAnsi="Arial" w:cs="Arial"/>
                <w:sz w:val="22"/>
                <w:szCs w:val="22"/>
              </w:rPr>
            </w:pPr>
            <w:r>
              <w:rPr>
                <w:rFonts w:ascii="Arial" w:hAnsi="Arial" w:cs="Arial"/>
                <w:sz w:val="22"/>
                <w:szCs w:val="22"/>
              </w:rPr>
              <w:t>Based on the evaluation results, we will fine-tune the predictive analytics model to improve its performance. This may involve adjusting hyperparameters, incorporating additional features, or modifying the model's architecture. We will iteratively optimize the model until the desired performance is achieved.</w:t>
            </w:r>
          </w:p>
          <w:p>
            <w:pPr>
              <w:numPr>
                <w:ilvl w:val="0"/>
                <w:numId w:val="8"/>
              </w:numPr>
              <w:rPr>
                <w:rFonts w:ascii="Arial" w:hAnsi="Arial" w:cs="Arial"/>
                <w:sz w:val="22"/>
                <w:szCs w:val="22"/>
              </w:rPr>
            </w:pPr>
            <w:r>
              <w:rPr>
                <w:rFonts w:ascii="Arial" w:hAnsi="Arial" w:cs="Arial"/>
                <w:b/>
                <w:bCs/>
                <w:sz w:val="22"/>
                <w:szCs w:val="22"/>
              </w:rPr>
              <w:t>Practical Implications Analysis</w:t>
            </w:r>
          </w:p>
          <w:p>
            <w:pPr>
              <w:rPr>
                <w:rFonts w:ascii="Arial" w:hAnsi="Arial" w:cs="Arial"/>
                <w:sz w:val="22"/>
                <w:szCs w:val="22"/>
              </w:rPr>
            </w:pPr>
            <w:r>
              <w:rPr>
                <w:rFonts w:ascii="Arial" w:hAnsi="Arial" w:cs="Arial"/>
                <w:sz w:val="22"/>
                <w:szCs w:val="22"/>
              </w:rPr>
              <w:t>To assess the practical implications of the proposed model, we will conduct a qualitative analysis of its impact on organizations' cybersecurity practices. This analysis will involve interviews and surveys with cybersecurity professionals to gain insights into the model's usability, effectiveness in real-world settings, and potential challenges in implementation.</w:t>
            </w:r>
          </w:p>
          <w:p>
            <w:pPr>
              <w:numPr>
                <w:ilvl w:val="0"/>
                <w:numId w:val="9"/>
              </w:numPr>
              <w:rPr>
                <w:rFonts w:ascii="Arial" w:hAnsi="Arial" w:cs="Arial"/>
                <w:sz w:val="22"/>
                <w:szCs w:val="22"/>
              </w:rPr>
            </w:pPr>
            <w:r>
              <w:rPr>
                <w:rFonts w:ascii="Arial" w:hAnsi="Arial" w:cs="Arial"/>
                <w:b/>
                <w:bCs/>
                <w:sz w:val="22"/>
                <w:szCs w:val="22"/>
              </w:rPr>
              <w:t>Comparison with Existing Methods</w:t>
            </w:r>
          </w:p>
          <w:p>
            <w:pPr>
              <w:rPr>
                <w:rFonts w:ascii="Arial" w:hAnsi="Arial" w:cs="Arial"/>
                <w:sz w:val="22"/>
                <w:szCs w:val="22"/>
              </w:rPr>
            </w:pPr>
            <w:r>
              <w:rPr>
                <w:rFonts w:ascii="Arial" w:hAnsi="Arial" w:cs="Arial"/>
                <w:sz w:val="22"/>
                <w:szCs w:val="22"/>
              </w:rPr>
              <w:t>To demonstrate the added value of our predictive analytics model, we will compare its performance with existing methods used in cybersecurity log management, such as rule-based systems and traditional log analysis techniques. This comparison will provide a clear indication of the model's superiority and contribution to the field.</w:t>
            </w:r>
          </w:p>
          <w:p>
            <w:pPr>
              <w:rPr>
                <w:rFonts w:ascii="Arial" w:hAnsi="Arial" w:cs="Arial"/>
                <w:sz w:val="22"/>
                <w:szCs w:val="22"/>
              </w:rPr>
            </w:pPr>
            <w:r>
              <w:rPr>
                <w:rFonts w:ascii="Arial" w:hAnsi="Arial" w:cs="Arial"/>
                <w:sz w:val="22"/>
                <w:szCs w:val="22"/>
              </w:rPr>
              <w:t>Please note that if additional methods are deemed necessary during the research process, further ethical approval will be sought.</w:t>
            </w:r>
          </w:p>
          <w:p>
            <w:pPr>
              <w:rPr>
                <w:rFonts w:hint="eastAsia"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b/>
                <w:sz w:val="22"/>
                <w:szCs w:val="22"/>
              </w:rPr>
            </w:pPr>
            <w:r>
              <w:rPr>
                <w:rFonts w:hint="eastAsia" w:ascii="Arial" w:hAnsi="Arial" w:cs="Arial"/>
                <w:sz w:val="22"/>
                <w:szCs w:val="22"/>
              </w:rPr>
              <w:t>Wulan Mulun Town Wan Coal Research Institute, Yijin Horuo Banner, Ordos City, Inner Mongolia Autonomous Region, China</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r>
              <w:rPr>
                <w:rFonts w:ascii="Arial" w:hAnsi="Arial" w:cs="Arial"/>
                <w:sz w:val="22"/>
                <w:szCs w:val="22"/>
              </w:rPr>
              <w:t>NA</w:t>
            </w:r>
          </w:p>
          <w:p>
            <w:pPr>
              <w:rPr>
                <w:rFonts w:ascii="Arial" w:hAnsi="Arial" w:cs="Arial"/>
                <w:sz w:val="22"/>
                <w:szCs w:val="22"/>
              </w:rPr>
            </w:pPr>
          </w:p>
          <w:p>
            <w:pPr>
              <w:rPr>
                <w:rFonts w:hint="eastAsia"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eastAsia" w:ascii="Arial" w:hAnsi="Arial" w:cs="Arial"/>
                <w:sz w:val="22"/>
                <w:szCs w:val="22"/>
              </w:rPr>
            </w:pPr>
            <w:r>
              <w:rPr>
                <w:rFonts w:ascii="Arial" w:hAnsi="Arial" w:cs="Arial"/>
                <w:sz w:val="22"/>
                <w:szCs w:val="22"/>
              </w:rPr>
              <w:t>NA</w:t>
            </w:r>
          </w:p>
          <w:p>
            <w:pPr>
              <w:rPr>
                <w:rFonts w:ascii="Arial" w:hAnsi="Arial" w:cs="Arial"/>
                <w:sz w:val="22"/>
                <w:szCs w:val="22"/>
              </w:rPr>
            </w:pPr>
          </w:p>
          <w:p>
            <w:pPr>
              <w:rPr>
                <w:rFonts w:hint="eastAsia"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eastAsia" w:ascii="Arial" w:hAnsi="Arial" w:cs="Arial"/>
                <w:sz w:val="22"/>
                <w:szCs w:val="22"/>
              </w:rPr>
            </w:pPr>
            <w:r>
              <w:rPr>
                <w:rFonts w:hint="eastAsia" w:ascii="Arial" w:hAnsi="Arial" w:cs="Arial"/>
                <w:sz w:val="22"/>
                <w:szCs w:val="22"/>
              </w:rPr>
              <w:t>N</w:t>
            </w:r>
            <w:r>
              <w:rPr>
                <w:rFonts w:ascii="Arial" w:hAnsi="Arial" w:cs="Arial"/>
                <w:sz w:val="22"/>
                <w:szCs w:val="22"/>
              </w:rPr>
              <w:t>A</w:t>
            </w: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 xml:space="preserve">Outline any anticipated risks 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sz w:val="22"/>
                <w:szCs w:val="22"/>
              </w:rPr>
            </w:pPr>
            <w:r>
              <w:rPr>
                <w:rFonts w:ascii="Arial" w:hAnsi="Arial" w:cs="Arial"/>
                <w:sz w:val="22"/>
                <w:szCs w:val="22"/>
                <w:lang w:val="en-GB"/>
              </w:rPr>
              <w:t>NA</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r>
              <w:rPr>
                <w:rFonts w:ascii="Arial" w:hAnsi="Arial" w:cs="Arial"/>
                <w:sz w:val="22"/>
                <w:szCs w:val="22"/>
              </w:rPr>
              <w:t>Potential risks for investigators include data privacy and security breaches, emotional distress, accusations of harm or impropriety, conflicts of interest, intellectual property disputes, and exposure to cybersecurity threats. Mitigation strategies include ethical guidelines, data protection, legal advice, transparent communication, and addressing conflicts of interest.</w:t>
            </w:r>
          </w:p>
          <w:p>
            <w:pPr>
              <w:rPr>
                <w:rFonts w:hint="eastAsia"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autoSpaceDE w:val="0"/>
              <w:autoSpaceDN w:val="0"/>
              <w:adjustRightInd w:val="0"/>
              <w:rPr>
                <w:rFonts w:hint="eastAsia" w:ascii="Arial" w:hAnsi="Arial" w:cs="Arial"/>
                <w:i/>
                <w:sz w:val="18"/>
                <w:szCs w:val="18"/>
              </w:rPr>
            </w:pPr>
          </w:p>
          <w:p>
            <w:pPr>
              <w:rPr>
                <w:rFonts w:ascii="Arial" w:hAnsi="Arial" w:cs="Arial"/>
                <w:sz w:val="22"/>
                <w:szCs w:val="22"/>
              </w:rPr>
            </w:pPr>
            <w:r>
              <w:rPr>
                <w:rFonts w:ascii="Arial" w:hAnsi="Arial" w:cs="Arial"/>
                <w:sz w:val="22"/>
                <w:szCs w:val="22"/>
              </w:rPr>
              <w:t>To mitigate risks to investigators, we will establish clear ethical guidelines, prioritize data privacy and security, seek legal advice when needed, and maintain transparent communication with stakeholders. Furthermore, we will uphold professional integrity, promptly acknowledge and address conflicts of interest, and ensure a secure research environment.</w:t>
            </w:r>
          </w:p>
          <w:p>
            <w:pPr>
              <w:rPr>
                <w:rFonts w:hint="eastAsia"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autoSpaceDE w:val="0"/>
              <w:autoSpaceDN w:val="0"/>
              <w:adjustRightInd w:val="0"/>
              <w:rPr>
                <w:rFonts w:ascii="Arial" w:hAnsi="Arial" w:cs="Arial"/>
                <w:sz w:val="22"/>
                <w:szCs w:val="22"/>
              </w:rPr>
            </w:pPr>
          </w:p>
          <w:p>
            <w:pPr>
              <w:rPr>
                <w:rFonts w:hint="eastAsia" w:ascii="Arial" w:hAnsi="Arial" w:cs="Arial"/>
                <w:sz w:val="22"/>
                <w:szCs w:val="22"/>
              </w:rPr>
            </w:pPr>
            <w:r>
              <w:rPr>
                <w:rFonts w:ascii="Arial" w:hAnsi="Arial" w:cs="Arial"/>
                <w:sz w:val="22"/>
                <w:szCs w:val="22"/>
              </w:rPr>
              <w:t>Possible risks to the university if this research is conducted include adverse publicity, financial loss, data protection breaches, legal liabilities, damage to institutional reputation, and potential conflicts of interest. These risks can arise from mishandled sensitive data, unethical research practices, or perceived impropriety in the research process.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hint="eastAsia" w:ascii="Arial" w:hAnsi="Arial" w:cs="Arial"/>
                <w:sz w:val="22"/>
                <w:szCs w:val="22"/>
              </w:rPr>
            </w:pPr>
            <w:r>
              <w:rPr>
                <w:rFonts w:ascii="Arial" w:hAnsi="Arial" w:cs="Arial"/>
                <w:sz w:val="22"/>
                <w:szCs w:val="22"/>
              </w:rPr>
              <w:t>To mitigate risks to the university, we will adhere to stringent ethical guidelines, prioritize data privacy and security, and ensure compliance with relevant laws and regulations. Regular progress reporting and transparent communication will be maintained with university stakeholders. Additionally, we will proactively address potential conflicts of interest and strive to uphold the institution's reputation through rigorous research practices.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N</w:t>
            </w:r>
            <w:r>
              <w:rPr>
                <w:rFonts w:ascii="Arial" w:hAnsi="Arial" w:cs="Arial"/>
                <w:sz w:val="22"/>
                <w:szCs w:val="22"/>
              </w:rPr>
              <w:t>A</w:t>
            </w:r>
          </w:p>
          <w:p>
            <w:pPr>
              <w:rPr>
                <w:rFonts w:hint="eastAsia"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N</w:t>
            </w:r>
            <w:r>
              <w:rPr>
                <w:rFonts w:ascii="Arial" w:hAnsi="Arial" w:cs="Arial"/>
                <w:sz w:val="22"/>
                <w:szCs w:val="22"/>
              </w:rPr>
              <w:t>A</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r>
              <w:rPr>
                <w:rFonts w:hint="eastAsia" w:ascii="Arial" w:hAnsi="Arial" w:cs="Arial"/>
                <w:sz w:val="22"/>
                <w:szCs w:val="22"/>
              </w:rPr>
              <w:t>N</w:t>
            </w:r>
            <w:r>
              <w:rPr>
                <w:rFonts w:ascii="Arial" w:hAnsi="Arial" w:cs="Arial"/>
                <w:sz w:val="22"/>
                <w:szCs w:val="22"/>
              </w:rPr>
              <w:t>A</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rPr>
            </w:pPr>
            <w:r>
              <w:rPr>
                <w:rFonts w:hint="eastAsia" w:ascii="MS Gothic" w:hAnsi="MS Gothic" w:eastAsia="MS Gothic" w:cs="Arial"/>
                <w:b/>
                <w:bCs/>
                <w:sz w:val="22"/>
                <w:szCs w:val="22"/>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rPr>
            </w:pPr>
            <w:sdt>
              <w:sdtPr>
                <w:rPr>
                  <w:rFonts w:ascii="Arial" w:hAnsi="Arial" w:cs="Arial"/>
                  <w:b/>
                  <w:bCs/>
                  <w:sz w:val="22"/>
                  <w:szCs w:val="22"/>
                </w:rPr>
                <w:id w:val="85554569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rPr>
            </w:pPr>
          </w:p>
          <w:p>
            <w:pPr>
              <w:pStyle w:val="9"/>
              <w:autoSpaceDE w:val="0"/>
              <w:autoSpaceDN w:val="0"/>
              <w:adjustRightInd w:val="0"/>
              <w:jc w:val="center"/>
            </w:pPr>
            <w:r>
              <w:rPr>
                <w:rFonts w:hint="eastAsia" w:ascii="MS Gothic" w:hAnsi="MS Gothic" w:eastAsia="MS Gothic" w:cs="Arial"/>
                <w:b/>
                <w:bCs/>
                <w:sz w:val="22"/>
                <w:szCs w:val="22"/>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rPr>
            </w:pPr>
          </w:p>
          <w:p>
            <w:pPr>
              <w:pStyle w:val="9"/>
              <w:autoSpaceDE w:val="0"/>
              <w:autoSpaceDN w:val="0"/>
              <w:adjustRightInd w:val="0"/>
              <w:jc w:val="center"/>
            </w:pPr>
            <w:sdt>
              <w:sdtPr>
                <w:rPr>
                  <w:rFonts w:ascii="Arial" w:hAnsi="Arial" w:cs="Arial"/>
                  <w:b/>
                  <w:bCs/>
                  <w:sz w:val="22"/>
                  <w:szCs w:val="22"/>
                </w:rPr>
                <w:id w:val="1647623547"/>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hint="eastAsia" w:ascii="Arial" w:hAnsi="Arial" w:cs="Arial"/>
                <w:sz w:val="22"/>
                <w:szCs w:val="22"/>
              </w:rPr>
            </w:pPr>
            <w:r>
              <w:rPr>
                <w:rFonts w:ascii="Arial" w:hAnsi="Arial" w:cs="Arial"/>
                <w:sz w:val="22"/>
                <w:szCs w:val="22"/>
              </w:rPr>
              <w:t xml:space="preserve">The </w:t>
            </w:r>
            <w:r>
              <w:rPr>
                <w:rFonts w:ascii="Arial" w:hAnsi="Arial" w:cs="Arial"/>
                <w:sz w:val="22"/>
                <w:szCs w:val="22"/>
                <w:lang w:val="en-GB"/>
              </w:rPr>
              <w:t>principal researcher and the supervisor.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lang w:val="en-GB"/>
              </w:rPr>
              <w:t>The principal 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hint="eastAsia" w:ascii="Arial" w:hAnsi="Arial" w:cs="Arial"/>
                <w:sz w:val="22"/>
                <w:szCs w:val="22"/>
              </w:rPr>
              <w:t>N</w:t>
            </w:r>
            <w:r>
              <w:rPr>
                <w:rFonts w:ascii="Arial" w:hAnsi="Arial" w:cs="Arial"/>
                <w:sz w:val="22"/>
                <w:szCs w:val="22"/>
              </w:rPr>
              <w:t>o</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3851"/>
        <w:gridCol w:w="3108"/>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75"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3851" w:type="dxa"/>
            <w:tcBorders>
              <w:left w:val="single" w:color="auto" w:sz="4" w:space="0"/>
            </w:tcBorders>
            <w:vAlign w:val="center"/>
          </w:tcPr>
          <w:p>
            <w:pPr>
              <w:spacing w:before="100" w:beforeAutospacing="1" w:after="100" w:afterAutospacing="1"/>
              <w:ind w:firstLine="1320" w:firstLineChars="600"/>
              <w:rPr>
                <w:rFonts w:hint="default" w:ascii="Arial" w:hAnsi="Arial" w:eastAsia="宋体" w:cs="Arial"/>
                <w:color w:val="auto"/>
                <w:sz w:val="22"/>
                <w:szCs w:val="22"/>
                <w:lang w:val="en-US" w:eastAsia="zh-CN"/>
              </w:rPr>
            </w:pPr>
            <w:r>
              <w:rPr>
                <w:rFonts w:hint="eastAsia" w:ascii="Arial" w:hAnsi="Arial" w:cs="Arial"/>
                <w:color w:val="auto"/>
                <w:sz w:val="22"/>
                <w:szCs w:val="22"/>
                <w:lang w:val="en-US" w:eastAsia="zh-CN"/>
              </w:rPr>
              <w:t>Zhiqi Lu</w:t>
            </w:r>
          </w:p>
        </w:tc>
        <w:tc>
          <w:tcPr>
            <w:tcW w:w="3108" w:type="dxa"/>
            <w:vAlign w:val="center"/>
          </w:tcPr>
          <w:p>
            <w:pPr>
              <w:spacing w:before="100" w:beforeAutospacing="1" w:after="100" w:afterAutospacing="1"/>
              <w:rPr>
                <w:rFonts w:hint="default" w:ascii="Arial" w:hAnsi="Arial" w:eastAsia="宋体" w:cs="Arial"/>
                <w:color w:val="FF0000"/>
                <w:sz w:val="22"/>
                <w:szCs w:val="22"/>
                <w:lang w:val="en-US" w:eastAsia="zh-CN"/>
              </w:rPr>
            </w:pPr>
            <w:r>
              <w:rPr>
                <w:rFonts w:ascii="Arial" w:hAnsi="Arial" w:cs="Arial"/>
                <w:b/>
                <w:bCs/>
                <w:sz w:val="22"/>
                <w:szCs w:val="22"/>
              </w:rPr>
              <w:t>Date:</w:t>
            </w:r>
            <w:r>
              <w:rPr>
                <w:rFonts w:hint="eastAsia" w:ascii="Arial" w:hAnsi="Arial" w:cs="Arial"/>
                <w:b/>
                <w:bCs/>
                <w:sz w:val="22"/>
                <w:szCs w:val="22"/>
                <w:lang w:val="en-US" w:eastAsia="zh-CN"/>
              </w:rPr>
              <w:t xml:space="preserve">    </w:t>
            </w:r>
            <w:r>
              <w:rPr>
                <w:rFonts w:hint="eastAsia" w:ascii="Arial" w:hAnsi="Arial" w:cs="Arial"/>
                <w:color w:val="auto"/>
                <w:sz w:val="22"/>
                <w:szCs w:val="22"/>
                <w:lang w:val="en-US" w:eastAsia="zh-CN"/>
              </w:rPr>
              <w:t xml:space="preserve"> April 22, 2023</w:t>
            </w: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bookmarkStart w:id="0" w:name="_GoBack"/>
      <w:bookmarkEnd w:id="0"/>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jc w:val="both"/>
        <w:rPr>
          <w:rFonts w:ascii="Arial" w:hAnsi="Arial" w:cs="Arial"/>
          <w:sz w:val="22"/>
          <w:szCs w:val="22"/>
        </w:rPr>
      </w:pPr>
    </w:p>
    <w:sectPr>
      <w:headerReference r:id="rId3" w:type="default"/>
      <w:footerReference r:id="rId4" w:type="default"/>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5B" w:usb2="00000009" w:usb3="00000000" w:csb0="400001FF" w:csb1="FFFF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0"/>
    <w:family w:val="decorative"/>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4485C3A"/>
    <w:multiLevelType w:val="multilevel"/>
    <w:tmpl w:val="04485C3A"/>
    <w:lvl w:ilvl="0" w:tentative="0">
      <w:start w:val="2"/>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2EC62DBD"/>
    <w:multiLevelType w:val="multilevel"/>
    <w:tmpl w:val="2EC62DBD"/>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35BC275C"/>
    <w:multiLevelType w:val="multilevel"/>
    <w:tmpl w:val="35BC275C"/>
    <w:lvl w:ilvl="0" w:tentative="0">
      <w:start w:val="3"/>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40A95F6F"/>
    <w:multiLevelType w:val="multilevel"/>
    <w:tmpl w:val="40A95F6F"/>
    <w:lvl w:ilvl="0" w:tentative="0">
      <w:start w:val="7"/>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555E4579"/>
    <w:multiLevelType w:val="multilevel"/>
    <w:tmpl w:val="555E4579"/>
    <w:lvl w:ilvl="0" w:tentative="0">
      <w:start w:val="6"/>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5E1345EE"/>
    <w:multiLevelType w:val="multilevel"/>
    <w:tmpl w:val="5E1345EE"/>
    <w:lvl w:ilvl="0" w:tentative="0">
      <w:start w:val="8"/>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6">
    <w:nsid w:val="722A07F5"/>
    <w:multiLevelType w:val="multilevel"/>
    <w:tmpl w:val="722A07F5"/>
    <w:lvl w:ilvl="0" w:tentative="0">
      <w:start w:val="4"/>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7">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C4D6366"/>
    <w:multiLevelType w:val="multilevel"/>
    <w:tmpl w:val="7C4D6366"/>
    <w:lvl w:ilvl="0" w:tentative="0">
      <w:start w:val="5"/>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7"/>
  </w:num>
  <w:num w:numId="2">
    <w:abstractNumId w:val="1"/>
  </w:num>
  <w:num w:numId="3">
    <w:abstractNumId w:val="0"/>
  </w:num>
  <w:num w:numId="4">
    <w:abstractNumId w:val="2"/>
  </w:num>
  <w:num w:numId="5">
    <w:abstractNumId w:val="6"/>
  </w:num>
  <w:num w:numId="6">
    <w:abstractNumId w:val="8"/>
  </w:num>
  <w:num w:numId="7">
    <w:abstractNumId w:val="4"/>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 w:name="commondata" w:val="eyJoZGlkIjoiOTkxYTNlYzQxNzhjYTVjMjNkNGYxZDFjMGI1YzUzNTc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1DD7"/>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6573"/>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A1E"/>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7DED"/>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613F"/>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879"/>
    <w:rsid w:val="00FD436F"/>
    <w:rsid w:val="00FD5A26"/>
    <w:rsid w:val="00FE3EC4"/>
    <w:rsid w:val="00FE61CA"/>
    <w:rsid w:val="00FF3E46"/>
    <w:rsid w:val="00FF5A58"/>
    <w:rsid w:val="0DC8569A"/>
    <w:rsid w:val="104430E9"/>
    <w:rsid w:val="777A1F1D"/>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qFormat="1"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宋体" w:hAnsi="宋体" w:eastAsia="宋体" w:cs="宋体"/>
      <w:sz w:val="24"/>
      <w:szCs w:val="24"/>
      <w:lang w:val="en-US" w:eastAsia="zh-CN"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标题 1 字符"/>
    <w:link w:val="2"/>
    <w:qFormat/>
    <w:uiPriority w:val="99"/>
    <w:rPr>
      <w:rFonts w:ascii="Cambria" w:hAnsi="Cambria" w:cs="Cambria"/>
      <w:b/>
      <w:bCs/>
      <w:kern w:val="32"/>
      <w:sz w:val="32"/>
      <w:szCs w:val="32"/>
      <w:lang w:eastAsia="en-US"/>
    </w:rPr>
  </w:style>
  <w:style w:type="character" w:customStyle="1" w:styleId="20">
    <w:name w:val="标题 4 字符"/>
    <w:link w:val="3"/>
    <w:semiHidden/>
    <w:qFormat/>
    <w:uiPriority w:val="99"/>
    <w:rPr>
      <w:rFonts w:ascii="Calibri" w:hAnsi="Calibri" w:cs="Calibri"/>
      <w:b/>
      <w:bCs/>
      <w:sz w:val="28"/>
      <w:szCs w:val="28"/>
      <w:lang w:eastAsia="en-US"/>
    </w:rPr>
  </w:style>
  <w:style w:type="character" w:customStyle="1" w:styleId="21">
    <w:name w:val="正文文本 2 字符"/>
    <w:link w:val="8"/>
    <w:semiHidden/>
    <w:qFormat/>
    <w:uiPriority w:val="99"/>
    <w:rPr>
      <w:sz w:val="20"/>
      <w:szCs w:val="20"/>
      <w:lang w:eastAsia="en-US"/>
    </w:rPr>
  </w:style>
  <w:style w:type="paragraph" w:customStyle="1" w:styleId="22">
    <w:name w:val="deannah1"/>
    <w:basedOn w:val="1"/>
    <w:uiPriority w:val="99"/>
    <w:pPr>
      <w:keepNext/>
      <w:spacing w:after="240"/>
    </w:pPr>
    <w:rPr>
      <w:b/>
      <w:bCs/>
    </w:rPr>
  </w:style>
  <w:style w:type="character" w:customStyle="1" w:styleId="23">
    <w:name w:val="批注框文本 字符"/>
    <w:link w:val="5"/>
    <w:semiHidden/>
    <w:uiPriority w:val="99"/>
    <w:rPr>
      <w:sz w:val="2"/>
      <w:szCs w:val="2"/>
      <w:lang w:eastAsia="en-US"/>
    </w:rPr>
  </w:style>
  <w:style w:type="character" w:customStyle="1" w:styleId="24">
    <w:name w:val="页眉 字符"/>
    <w:link w:val="7"/>
    <w:semiHidden/>
    <w:uiPriority w:val="99"/>
    <w:rPr>
      <w:lang w:eastAsia="en-US"/>
    </w:rPr>
  </w:style>
  <w:style w:type="character" w:customStyle="1" w:styleId="25">
    <w:name w:val="页脚 字符"/>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lang w:eastAsia="en-GB"/>
    </w:rPr>
  </w:style>
  <w:style w:type="character" w:customStyle="1" w:styleId="28">
    <w:name w:val="批注文字 字符"/>
    <w:link w:val="4"/>
    <w:semiHidden/>
    <w:uiPriority w:val="99"/>
    <w:rPr>
      <w:lang w:eastAsia="en-US"/>
    </w:rPr>
  </w:style>
  <w:style w:type="character" w:customStyle="1" w:styleId="29">
    <w:name w:val="批注主题 字符"/>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0A8E8C-47B5-4B8F-BA9B-8E5866143434}">
  <ds:schemaRefs/>
</ds:datastoreItem>
</file>

<file path=customXml/itemProps2.xml><?xml version="1.0" encoding="utf-8"?>
<ds:datastoreItem xmlns:ds="http://schemas.openxmlformats.org/officeDocument/2006/customXml" ds:itemID="{5917E75E-CD8F-48CE-B751-4076DCAEC9A7}">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64ABFEDE-715A-47EF-A460-83602644F2E2}">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12</Pages>
  <Words>4320</Words>
  <Characters>23142</Characters>
  <Lines>208</Lines>
  <Paragraphs>58</Paragraphs>
  <TotalTime>11</TotalTime>
  <ScaleCrop>false</ScaleCrop>
  <LinksUpToDate>false</LinksUpToDate>
  <CharactersWithSpaces>26795</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2023-04-21T23:28:00Z</dcterms:created>
  <dc:creator>Kevin Brice</dc:creator>
  <cp:lastModifiedBy>琦</cp:lastModifiedBy>
  <cp:lastPrinted>2016-10-24T12:21:00Z</cp:lastPrinted>
  <dcterms:modified xsi:type="dcterms:W3CDTF">2023-04-22T00:47:33Z</dcterms:modified>
  <dc:title>PG2-E1</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KSOProductBuildVer">
    <vt:lpwstr>2052-11.1.0.14036</vt:lpwstr>
  </property>
  <property fmtid="{D5CDD505-2E9C-101B-9397-08002B2CF9AE}" pid="4" name="ICV">
    <vt:lpwstr>CE203FAA977042709AD342B3B53381B2_12</vt:lpwstr>
  </property>
</Properties>
</file>