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36AA78" w14:textId="5EFE4800" w:rsidR="00BA6A5C" w:rsidRDefault="008012FE" w:rsidP="00C91A82">
      <w:pPr>
        <w:spacing w:before="100" w:beforeAutospacing="1" w:after="100" w:afterAutospacing="1" w:line="240" w:lineRule="auto"/>
        <w:outlineLvl w:val="0"/>
        <w:rPr>
          <w:rFonts w:ascii="Arial" w:eastAsiaTheme="majorEastAsia" w:hAnsi="Arial" w:cs="Arial"/>
          <w:color w:val="000000"/>
          <w:kern w:val="24"/>
          <w:sz w:val="56"/>
          <w:szCs w:val="56"/>
        </w:rPr>
      </w:pPr>
      <w:r w:rsidRPr="00A775F6">
        <w:rPr>
          <w:rFonts w:ascii="Arial" w:eastAsiaTheme="majorEastAsia" w:hAnsi="Arial" w:cs="Arial"/>
          <w:b/>
          <w:bCs/>
          <w:color w:val="000000"/>
          <w:kern w:val="24"/>
          <w:sz w:val="56"/>
          <w:szCs w:val="56"/>
        </w:rPr>
        <w:t>Student Name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>: Shakan Pitters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br/>
      </w:r>
      <w:r w:rsidRPr="00A775F6">
        <w:rPr>
          <w:rFonts w:ascii="Arial" w:eastAsiaTheme="majorEastAsia" w:hAnsi="Arial" w:cs="Arial"/>
          <w:b/>
          <w:bCs/>
          <w:color w:val="000000"/>
          <w:kern w:val="24"/>
          <w:sz w:val="56"/>
          <w:szCs w:val="56"/>
        </w:rPr>
        <w:t>Student Number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>: 2319072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br/>
      </w:r>
      <w:r w:rsidRPr="00A775F6">
        <w:rPr>
          <w:rFonts w:ascii="Arial" w:eastAsiaTheme="majorEastAsia" w:hAnsi="Arial" w:cs="Arial"/>
          <w:b/>
          <w:bCs/>
          <w:color w:val="000000"/>
          <w:kern w:val="24"/>
          <w:sz w:val="56"/>
          <w:szCs w:val="56"/>
        </w:rPr>
        <w:t>Module Code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>: BMHP6027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br/>
      </w:r>
      <w:r w:rsidRPr="00A775F6">
        <w:rPr>
          <w:rFonts w:ascii="Arial" w:eastAsiaTheme="majorEastAsia" w:hAnsi="Arial" w:cs="Arial"/>
          <w:b/>
          <w:bCs/>
          <w:color w:val="000000"/>
          <w:kern w:val="24"/>
          <w:sz w:val="56"/>
          <w:szCs w:val="56"/>
        </w:rPr>
        <w:t>Lecturer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 xml:space="preserve">: Robert </w:t>
      </w:r>
      <w:proofErr w:type="spellStart"/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>Nartowski</w:t>
      </w:r>
      <w:proofErr w:type="spellEnd"/>
    </w:p>
    <w:p w14:paraId="63715D85" w14:textId="1489035C" w:rsidR="00BA6A5C" w:rsidRPr="00BA6A5C" w:rsidRDefault="00BA6A5C" w:rsidP="00C91A82">
      <w:pPr>
        <w:spacing w:before="100" w:beforeAutospacing="1" w:after="100" w:afterAutospacing="1" w:line="240" w:lineRule="auto"/>
        <w:outlineLvl w:val="0"/>
        <w:rPr>
          <w:rFonts w:ascii="Arial" w:eastAsiaTheme="majorEastAsia" w:hAnsi="Arial" w:cs="Arial"/>
          <w:color w:val="000000"/>
          <w:kern w:val="24"/>
          <w:sz w:val="56"/>
          <w:szCs w:val="56"/>
        </w:rPr>
      </w:pPr>
      <w:r w:rsidRPr="00A775F6">
        <w:rPr>
          <w:rFonts w:ascii="Arial" w:eastAsiaTheme="majorEastAsia" w:hAnsi="Arial" w:cs="Arial"/>
          <w:b/>
          <w:bCs/>
          <w:color w:val="000000"/>
          <w:kern w:val="24"/>
          <w:sz w:val="56"/>
          <w:szCs w:val="56"/>
        </w:rPr>
        <w:t>Module</w:t>
      </w:r>
      <w:r>
        <w:rPr>
          <w:rFonts w:ascii="Arial" w:eastAsiaTheme="majorEastAsia" w:hAnsi="Arial" w:cs="Arial"/>
          <w:color w:val="000000"/>
          <w:kern w:val="24"/>
          <w:sz w:val="56"/>
          <w:szCs w:val="56"/>
        </w:rPr>
        <w:t>: Empowering the</w:t>
      </w:r>
      <w:r w:rsidR="00A775F6">
        <w:rPr>
          <w:rFonts w:ascii="Arial" w:eastAsiaTheme="majorEastAsia" w:hAnsi="Arial" w:cs="Arial"/>
          <w:color w:val="000000"/>
          <w:kern w:val="24"/>
          <w:sz w:val="56"/>
          <w:szCs w:val="56"/>
        </w:rPr>
        <w:t xml:space="preserve"> older person</w:t>
      </w:r>
    </w:p>
    <w:p w14:paraId="50A82990" w14:textId="77777777" w:rsidR="008012FE" w:rsidRDefault="008012FE" w:rsidP="00C91A8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268E9A82" w14:textId="77777777" w:rsidR="009E4420" w:rsidRDefault="009E4420" w:rsidP="00C91A8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318BDD19" w14:textId="77777777" w:rsidR="009E4420" w:rsidRDefault="009E4420" w:rsidP="00C91A8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7EFA9BDC" w14:textId="7630FEB4" w:rsidR="00C91A82" w:rsidRPr="00C91A82" w:rsidRDefault="00C91A82" w:rsidP="00C91A82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C91A82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Reference List</w:t>
      </w:r>
    </w:p>
    <w:p w14:paraId="6F3A40AE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8D0337F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Age UK (2023) Later Life in the United Kingdom 2023. London: Age UK. Available at: https://www.ageuk.org.uk (Accessed: 11 July 2026).</w:t>
      </w:r>
    </w:p>
    <w:p w14:paraId="56545259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7BE7F78C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 xml:space="preserve">Beswick, A.D., Rees, K., Dieppe, P., </w:t>
      </w:r>
      <w:proofErr w:type="spellStart"/>
      <w:r w:rsidRPr="00C91A82">
        <w:rPr>
          <w:rFonts w:ascii="Arial" w:hAnsi="Arial" w:cs="Arial"/>
          <w:kern w:val="0"/>
          <w14:ligatures w14:val="none"/>
        </w:rPr>
        <w:t>Ayis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, S., </w:t>
      </w:r>
      <w:proofErr w:type="spellStart"/>
      <w:r w:rsidRPr="00C91A82">
        <w:rPr>
          <w:rFonts w:ascii="Arial" w:hAnsi="Arial" w:cs="Arial"/>
          <w:kern w:val="0"/>
          <w14:ligatures w14:val="none"/>
        </w:rPr>
        <w:t>Gooberman-Hill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, R., </w:t>
      </w:r>
      <w:proofErr w:type="spellStart"/>
      <w:r w:rsidRPr="00C91A82">
        <w:rPr>
          <w:rFonts w:ascii="Arial" w:hAnsi="Arial" w:cs="Arial"/>
          <w:kern w:val="0"/>
          <w14:ligatures w14:val="none"/>
        </w:rPr>
        <w:t>Horwood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, J. and </w:t>
      </w:r>
      <w:proofErr w:type="spellStart"/>
      <w:r w:rsidRPr="00C91A82">
        <w:rPr>
          <w:rFonts w:ascii="Arial" w:hAnsi="Arial" w:cs="Arial"/>
          <w:kern w:val="0"/>
          <w14:ligatures w14:val="none"/>
        </w:rPr>
        <w:t>Ebrahim</w:t>
      </w:r>
      <w:proofErr w:type="spellEnd"/>
      <w:r w:rsidRPr="00C91A82">
        <w:rPr>
          <w:rFonts w:ascii="Arial" w:hAnsi="Arial" w:cs="Arial"/>
          <w:kern w:val="0"/>
          <w14:ligatures w14:val="none"/>
        </w:rPr>
        <w:t>, S. (2008) ‘Complex interventions to improve physical function and maintain independent living in elderly people: A systematic review and meta-analysis’, The Lancet, 371(9614), pp. 725–735.</w:t>
      </w:r>
    </w:p>
    <w:p w14:paraId="0D10A030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51DDFB52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proofErr w:type="spellStart"/>
      <w:r w:rsidRPr="00C91A82">
        <w:rPr>
          <w:rFonts w:ascii="Arial" w:hAnsi="Arial" w:cs="Arial"/>
          <w:kern w:val="0"/>
          <w14:ligatures w14:val="none"/>
        </w:rPr>
        <w:t>Bickerdike</w:t>
      </w:r>
      <w:proofErr w:type="spellEnd"/>
      <w:r w:rsidRPr="00C91A82">
        <w:rPr>
          <w:rFonts w:ascii="Arial" w:hAnsi="Arial" w:cs="Arial"/>
          <w:kern w:val="0"/>
          <w14:ligatures w14:val="none"/>
        </w:rPr>
        <w:t>, L., Booth, A., Wilson, P.M., Farley, K. and Wright, K. (2017) ‘Social prescribing: Less rhetoric and more reality. A systematic review of the evidence’, BMJ Open, 7(4), e013384.</w:t>
      </w:r>
    </w:p>
    <w:p w14:paraId="4BFF673C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0283899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lastRenderedPageBreak/>
        <w:t>Department of Health and Social Care (2014) Care and Support Statutory Guidance: Issued under the Care Act 2014. London: Department of Health and Social Care. Available at: https://www.gov.uk (Accessed: 11 July 2026).</w:t>
      </w:r>
    </w:p>
    <w:p w14:paraId="42100A37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7C64C881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 xml:space="preserve">McCormack, B. and </w:t>
      </w:r>
      <w:proofErr w:type="spellStart"/>
      <w:r w:rsidRPr="00C91A82">
        <w:rPr>
          <w:rFonts w:ascii="Arial" w:hAnsi="Arial" w:cs="Arial"/>
          <w:kern w:val="0"/>
          <w14:ligatures w14:val="none"/>
        </w:rPr>
        <w:t>McCance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, T. (2017) Person-Centred Practice in Nursing and Health Care: Theory and Practice. 2nd </w:t>
      </w:r>
      <w:proofErr w:type="spellStart"/>
      <w:r w:rsidRPr="00C91A82">
        <w:rPr>
          <w:rFonts w:ascii="Arial" w:hAnsi="Arial" w:cs="Arial"/>
          <w:kern w:val="0"/>
          <w14:ligatures w14:val="none"/>
        </w:rPr>
        <w:t>edn</w:t>
      </w:r>
      <w:proofErr w:type="spellEnd"/>
      <w:r w:rsidRPr="00C91A82">
        <w:rPr>
          <w:rFonts w:ascii="Arial" w:hAnsi="Arial" w:cs="Arial"/>
          <w:kern w:val="0"/>
          <w14:ligatures w14:val="none"/>
        </w:rPr>
        <w:t>. Oxford: Wiley-Blackwell.</w:t>
      </w:r>
    </w:p>
    <w:p w14:paraId="416CE59D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09B18F55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NHS England (2019) The NHS Long Term Plan. London: NHS England. Available at: https://www.longtermplan.nhs.uk (Accessed: 11 July 2026).</w:t>
      </w:r>
    </w:p>
    <w:p w14:paraId="7BD45471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1BB86578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 xml:space="preserve">Marmot, M., Allen, J., Boyce, T., </w:t>
      </w:r>
      <w:proofErr w:type="spellStart"/>
      <w:r w:rsidRPr="00C91A82">
        <w:rPr>
          <w:rFonts w:ascii="Arial" w:hAnsi="Arial" w:cs="Arial"/>
          <w:kern w:val="0"/>
          <w14:ligatures w14:val="none"/>
        </w:rPr>
        <w:t>Goldblatt</w:t>
      </w:r>
      <w:proofErr w:type="spellEnd"/>
      <w:r w:rsidRPr="00C91A82">
        <w:rPr>
          <w:rFonts w:ascii="Arial" w:hAnsi="Arial" w:cs="Arial"/>
          <w:kern w:val="0"/>
          <w14:ligatures w14:val="none"/>
        </w:rPr>
        <w:t>, P. and Morrison, J. (2020) Health Equity in England: The Marmot Review 10 Years On. London: Institute of Health Equity.</w:t>
      </w:r>
    </w:p>
    <w:p w14:paraId="0C196E29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46A3CBE6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Office for National Statistics (2024) Living Longer: Older People’s Health and Care. Newport: Office for National Statistics. Available at: https://www.ons.gov.uk (Accessed: 11 July 2026).</w:t>
      </w:r>
    </w:p>
    <w:p w14:paraId="14D20874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589B1212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 xml:space="preserve">World Health </w:t>
      </w:r>
      <w:proofErr w:type="spellStart"/>
      <w:r w:rsidRPr="00C91A82">
        <w:rPr>
          <w:rFonts w:ascii="Arial" w:hAnsi="Arial" w:cs="Arial"/>
          <w:kern w:val="0"/>
          <w14:ligatures w14:val="none"/>
        </w:rPr>
        <w:t>Organization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 (2020) Decade of Healthy Ageing: Baseline Report. Geneva: World Health </w:t>
      </w:r>
      <w:proofErr w:type="spellStart"/>
      <w:r w:rsidRPr="00C91A82">
        <w:rPr>
          <w:rFonts w:ascii="Arial" w:hAnsi="Arial" w:cs="Arial"/>
          <w:kern w:val="0"/>
          <w14:ligatures w14:val="none"/>
        </w:rPr>
        <w:t>Organization</w:t>
      </w:r>
      <w:proofErr w:type="spellEnd"/>
      <w:r w:rsidRPr="00C91A82">
        <w:rPr>
          <w:rFonts w:ascii="Arial" w:hAnsi="Arial" w:cs="Arial"/>
          <w:kern w:val="0"/>
          <w14:ligatures w14:val="none"/>
        </w:rPr>
        <w:t>. Available at: https://www.who.int (Accessed: 11 July 2026).</w:t>
      </w:r>
    </w:p>
    <w:p w14:paraId="501124C3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3CBC4015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National Institute for Health and Care Excellence (2023) Older People: Independence and Mental Wellbeing (NG32). London: NICE. Available at: https://www.nice.org.uk (Accessed: 11 July 2026).</w:t>
      </w:r>
    </w:p>
    <w:p w14:paraId="1CF3270B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372D9A6D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Care Quality Commission (2023) The State of Health Care and Adult Social Care in England 2022/23. Newcastle upon Tyne: Care Quality Commission. Available at: https://www.cqc.org.uk (Accessed: 11 July 2026).</w:t>
      </w:r>
    </w:p>
    <w:p w14:paraId="6B8A21BC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D3D16D8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Digital Health and Care Wales (2023) Digital Strategy for Health and Social Care in Wales. Cardiff: Digital Health and Care Wales. Available at: https://dhcw.nhs.wales (Accessed: 11 July 2026).</w:t>
      </w:r>
    </w:p>
    <w:p w14:paraId="1BA22560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3680A399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lastRenderedPageBreak/>
        <w:t>Alzheimer’s Society (2023) Dementia UK: Update. London: Alzheimer’s Society. Available at: https://www.alzheimers.org.uk (Accessed: 11 July 2026).</w:t>
      </w:r>
    </w:p>
    <w:p w14:paraId="0011089E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8843552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Skills for Care (2023) The State of the Adult Social Care Sector and Workforce in England. Leeds: Skills for Care. Available at: https://www.skillsforcare.org.uk (Accessed: 11 July 2026).</w:t>
      </w:r>
    </w:p>
    <w:p w14:paraId="72FE4CCD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0D53CED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Social Care Institute for Excellence (2022) Digital Technology and Older People. London: Social Care Institute for Excellence. Available at: https://www.scie.org.uk (Accessed: 11 July 2026).</w:t>
      </w:r>
    </w:p>
    <w:p w14:paraId="2F8F0B84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1DB9A25E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NHS Digital (2023) Digital Inclusion for Health and Social Care. Leeds: NHS Digital. Available at: https://digital.nhs.uk (Accessed: 11 July 2026).</w:t>
      </w:r>
    </w:p>
    <w:p w14:paraId="7596BAB3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32855AF7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The King’s Fund (2024) The Future of Digital Health and Social Care. London: The King’s Fund. Available at: https://www.kingsfund.org.uk (Accessed: 11 July 2026).</w:t>
      </w:r>
    </w:p>
    <w:p w14:paraId="40FF8BD3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26A3EC2E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proofErr w:type="spellStart"/>
      <w:r w:rsidRPr="00C91A82">
        <w:rPr>
          <w:rFonts w:ascii="Arial" w:hAnsi="Arial" w:cs="Arial"/>
          <w:kern w:val="0"/>
          <w14:ligatures w14:val="none"/>
        </w:rPr>
        <w:t>Ofcom</w:t>
      </w:r>
      <w:proofErr w:type="spellEnd"/>
      <w:r w:rsidRPr="00C91A82">
        <w:rPr>
          <w:rFonts w:ascii="Arial" w:hAnsi="Arial" w:cs="Arial"/>
          <w:kern w:val="0"/>
          <w14:ligatures w14:val="none"/>
        </w:rPr>
        <w:t xml:space="preserve"> (2023) Adults’ Media Use and Attitudes Report 2023. London: </w:t>
      </w:r>
      <w:proofErr w:type="spellStart"/>
      <w:r w:rsidRPr="00C91A82">
        <w:rPr>
          <w:rFonts w:ascii="Arial" w:hAnsi="Arial" w:cs="Arial"/>
          <w:kern w:val="0"/>
          <w14:ligatures w14:val="none"/>
        </w:rPr>
        <w:t>Ofcom</w:t>
      </w:r>
      <w:proofErr w:type="spellEnd"/>
      <w:r w:rsidRPr="00C91A82">
        <w:rPr>
          <w:rFonts w:ascii="Arial" w:hAnsi="Arial" w:cs="Arial"/>
          <w:kern w:val="0"/>
          <w14:ligatures w14:val="none"/>
        </w:rPr>
        <w:t>. Available at: https://www.ofcom.org.uk (Accessed: 11 July 2026).</w:t>
      </w:r>
    </w:p>
    <w:p w14:paraId="79A861F8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4BC36F50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Public Health England (2021) Health Profile for England 2021. London: Public Health England. Available at: https://www.gov.uk (Accessed: 11 July 2026).</w:t>
      </w:r>
    </w:p>
    <w:p w14:paraId="23923272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</w:p>
    <w:p w14:paraId="3AA605D9" w14:textId="77777777" w:rsidR="00C91A82" w:rsidRPr="00C91A82" w:rsidRDefault="00C91A82" w:rsidP="00C91A82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C91A82">
        <w:rPr>
          <w:rFonts w:ascii="Arial" w:hAnsi="Arial" w:cs="Arial"/>
          <w:kern w:val="0"/>
          <w14:ligatures w14:val="none"/>
        </w:rPr>
        <w:t>British Geriatrics Society (2023) Fit for Frailty Part 1: Consensus Best Practice Guidance for the Care of Older People Living with Frailty in Community and Outpatient Settings. London: British Geriatrics Society. Available at: https://www.bgs.org.uk (Accessed: 11 July 2026).</w:t>
      </w:r>
    </w:p>
    <w:p w14:paraId="437CB926" w14:textId="77777777" w:rsidR="00C91A82" w:rsidRPr="00B15D92" w:rsidRDefault="00C91A82">
      <w:pPr>
        <w:rPr>
          <w:rFonts w:ascii="Arial" w:hAnsi="Arial" w:cs="Arial"/>
        </w:rPr>
      </w:pPr>
    </w:p>
    <w:sectPr w:rsidR="00C91A82" w:rsidRPr="00B15D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A82"/>
    <w:rsid w:val="0012521E"/>
    <w:rsid w:val="00653F56"/>
    <w:rsid w:val="0069647E"/>
    <w:rsid w:val="008012FE"/>
    <w:rsid w:val="00947860"/>
    <w:rsid w:val="00973D40"/>
    <w:rsid w:val="009E4420"/>
    <w:rsid w:val="00A775F6"/>
    <w:rsid w:val="00B15D92"/>
    <w:rsid w:val="00BA6A5C"/>
    <w:rsid w:val="00C91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4EFA37"/>
  <w15:chartTrackingRefBased/>
  <w15:docId w15:val="{B1DFAB33-564A-C049-911A-B2ECEA102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A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A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A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A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A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A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A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A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A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A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A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A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A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A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A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A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A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A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A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A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A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A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A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A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A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A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A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A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A82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C91A82"/>
  </w:style>
  <w:style w:type="paragraph" w:customStyle="1" w:styleId="p2">
    <w:name w:val="p2"/>
    <w:basedOn w:val="Normal"/>
    <w:rsid w:val="00C91A8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C91A82"/>
  </w:style>
  <w:style w:type="paragraph" w:customStyle="1" w:styleId="p3">
    <w:name w:val="p3"/>
    <w:basedOn w:val="Normal"/>
    <w:rsid w:val="00C91A8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C91A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567</Words>
  <Characters>3234</Characters>
  <Application>Microsoft Office Word</Application>
  <DocSecurity>0</DocSecurity>
  <Lines>26</Lines>
  <Paragraphs>7</Paragraphs>
  <ScaleCrop>false</ScaleCrop>
  <Company/>
  <LinksUpToDate>false</LinksUpToDate>
  <CharactersWithSpaces>3794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Shakan Pitters (2319072)</dc:creator>
  <cp:keywords/>
  <dc:description/>
  <cp:lastModifiedBy>Shakan Pitters (2319072)</cp:lastModifiedBy>
  <cp:revision>7</cp:revision>
  <dcterms:created xsi:type="dcterms:W3CDTF">2026-07-11T00:02:00Z</dcterms:created>
  <dcterms:modified xsi:type="dcterms:W3CDTF">2026-07-12T14:00:00Z</dcterms:modified>
</cp:coreProperties>
</file>