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703BB7" w14:textId="541F2C4B" w:rsidR="000B099C" w:rsidRPr="00636E2E" w:rsidRDefault="000B099C" w:rsidP="002A7B09">
      <w:pPr>
        <w:spacing w:line="480" w:lineRule="auto"/>
        <w:rPr>
          <w:rFonts w:asciiTheme="majorHAnsi" w:eastAsiaTheme="majorEastAsia" w:hAnsiTheme="majorHAnsi" w:cstheme="majorHAnsi"/>
          <w:color w:val="000000" w:themeColor="text1"/>
          <w:sz w:val="32"/>
          <w:szCs w:val="32"/>
          <w:lang w:val="en-GB"/>
        </w:rPr>
      </w:pPr>
      <w:r w:rsidRPr="00636E2E">
        <w:rPr>
          <w:noProof/>
          <w:lang w:val="en-GB"/>
        </w:rPr>
        <w:drawing>
          <wp:anchor distT="0" distB="0" distL="114300" distR="114300" simplePos="0" relativeHeight="251659264" behindDoc="0" locked="0" layoutInCell="1" allowOverlap="1" wp14:anchorId="59D93362" wp14:editId="7C951F6C">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636E2E">
        <w:rPr>
          <w:lang w:val="en-GB"/>
        </w:rPr>
        <w:t xml:space="preserve"> </w:t>
      </w:r>
      <w:r w:rsidRPr="00636E2E">
        <w:rPr>
          <w:lang w:val="en-GB"/>
        </w:rPr>
        <w:br w:type="textWrapping" w:clear="all"/>
        <w:t>APPENDIX GA36c</w:t>
      </w:r>
    </w:p>
    <w:p w14:paraId="1CAFC236" w14:textId="77777777" w:rsidR="000B099C" w:rsidRPr="00636E2E" w:rsidRDefault="000B099C" w:rsidP="002A7B09">
      <w:pPr>
        <w:spacing w:line="480" w:lineRule="auto"/>
        <w:rPr>
          <w:lang w:val="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0B099C" w:rsidRPr="00636E2E" w14:paraId="0E277953" w14:textId="77777777" w:rsidTr="004E29F7">
        <w:tc>
          <w:tcPr>
            <w:tcW w:w="9922" w:type="dxa"/>
            <w:shd w:val="clear" w:color="auto" w:fill="C0C0C0"/>
          </w:tcPr>
          <w:p w14:paraId="1DBA464B" w14:textId="77777777" w:rsidR="000B099C" w:rsidRPr="00636E2E" w:rsidRDefault="000B099C" w:rsidP="002A7B09">
            <w:pPr>
              <w:spacing w:line="480" w:lineRule="auto"/>
              <w:rPr>
                <w:lang w:val="en-GB"/>
              </w:rPr>
            </w:pPr>
            <w:r w:rsidRPr="00636E2E">
              <w:rPr>
                <w:lang w:val="en-GB"/>
              </w:rPr>
              <w:t xml:space="preserve">LEVEL 6 ASSESSMENT SPECIFICATION </w:t>
            </w:r>
          </w:p>
        </w:tc>
      </w:tr>
    </w:tbl>
    <w:p w14:paraId="1B6622F9" w14:textId="77777777" w:rsidR="000B099C" w:rsidRPr="00636E2E" w:rsidRDefault="000B099C" w:rsidP="002A7B09">
      <w:pPr>
        <w:spacing w:line="480" w:lineRule="auto"/>
        <w:rPr>
          <w:i/>
          <w:sz w:val="32"/>
          <w:lang w:val="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B099C" w:rsidRPr="00636E2E" w14:paraId="5A850F25" w14:textId="77777777" w:rsidTr="004E29F7">
        <w:tc>
          <w:tcPr>
            <w:tcW w:w="2093" w:type="dxa"/>
            <w:shd w:val="clear" w:color="auto" w:fill="auto"/>
          </w:tcPr>
          <w:p w14:paraId="38585850" w14:textId="77777777" w:rsidR="000B099C" w:rsidRPr="00636E2E" w:rsidRDefault="000B099C" w:rsidP="002A7B09">
            <w:pPr>
              <w:spacing w:line="480" w:lineRule="auto"/>
              <w:rPr>
                <w:lang w:val="en-GB"/>
              </w:rPr>
            </w:pPr>
            <w:r w:rsidRPr="00636E2E">
              <w:rPr>
                <w:lang w:val="en-GB"/>
              </w:rPr>
              <w:t>Student name:</w:t>
            </w:r>
          </w:p>
        </w:tc>
        <w:tc>
          <w:tcPr>
            <w:tcW w:w="3293" w:type="dxa"/>
          </w:tcPr>
          <w:p w14:paraId="3040D532" w14:textId="648BE85A" w:rsidR="000B099C" w:rsidRPr="00636E2E" w:rsidRDefault="000B099C" w:rsidP="002A7B09">
            <w:pPr>
              <w:spacing w:line="480" w:lineRule="auto"/>
              <w:rPr>
                <w:lang w:val="en-GB"/>
              </w:rPr>
            </w:pPr>
            <w:r w:rsidRPr="00636E2E">
              <w:rPr>
                <w:lang w:val="en-GB"/>
              </w:rPr>
              <w:t>Rebecca Pedrick-Case</w:t>
            </w:r>
          </w:p>
        </w:tc>
        <w:tc>
          <w:tcPr>
            <w:tcW w:w="2268" w:type="dxa"/>
            <w:shd w:val="clear" w:color="auto" w:fill="D9D9D9" w:themeFill="background1" w:themeFillShade="D9"/>
          </w:tcPr>
          <w:p w14:paraId="423FBABA" w14:textId="77777777" w:rsidR="000B099C" w:rsidRPr="00636E2E" w:rsidRDefault="000B099C" w:rsidP="002A7B09">
            <w:pPr>
              <w:spacing w:line="480" w:lineRule="auto"/>
              <w:rPr>
                <w:lang w:val="en-GB"/>
              </w:rPr>
            </w:pPr>
            <w:r w:rsidRPr="00636E2E">
              <w:rPr>
                <w:lang w:val="en-GB"/>
              </w:rPr>
              <w:t>Student ID number:</w:t>
            </w:r>
          </w:p>
        </w:tc>
        <w:tc>
          <w:tcPr>
            <w:tcW w:w="2268" w:type="dxa"/>
          </w:tcPr>
          <w:p w14:paraId="21EB4A10" w14:textId="1431653C" w:rsidR="000B099C" w:rsidRPr="00636E2E" w:rsidRDefault="000B099C" w:rsidP="002A7B09">
            <w:pPr>
              <w:spacing w:line="480" w:lineRule="auto"/>
              <w:rPr>
                <w:lang w:val="en-GB"/>
              </w:rPr>
            </w:pPr>
            <w:r w:rsidRPr="00636E2E">
              <w:rPr>
                <w:lang w:val="en-GB"/>
              </w:rPr>
              <w:t>1805668</w:t>
            </w:r>
          </w:p>
        </w:tc>
      </w:tr>
      <w:tr w:rsidR="000B099C" w:rsidRPr="00636E2E" w14:paraId="7F14F9C6" w14:textId="77777777" w:rsidTr="004E29F7">
        <w:tc>
          <w:tcPr>
            <w:tcW w:w="2093" w:type="dxa"/>
            <w:shd w:val="clear" w:color="auto" w:fill="auto"/>
          </w:tcPr>
          <w:p w14:paraId="3DA2D549" w14:textId="77777777" w:rsidR="000B099C" w:rsidRPr="00636E2E" w:rsidRDefault="000B099C" w:rsidP="002A7B09">
            <w:pPr>
              <w:spacing w:line="480" w:lineRule="auto"/>
              <w:rPr>
                <w:lang w:val="en-GB"/>
              </w:rPr>
            </w:pPr>
            <w:r w:rsidRPr="00636E2E">
              <w:rPr>
                <w:lang w:val="en-GB"/>
              </w:rPr>
              <w:t>Programme:</w:t>
            </w:r>
          </w:p>
        </w:tc>
        <w:tc>
          <w:tcPr>
            <w:tcW w:w="7829" w:type="dxa"/>
            <w:gridSpan w:val="3"/>
          </w:tcPr>
          <w:p w14:paraId="2ADD1901" w14:textId="77777777" w:rsidR="000B099C" w:rsidRPr="00636E2E" w:rsidRDefault="000B099C" w:rsidP="002A7B09">
            <w:pPr>
              <w:spacing w:line="480" w:lineRule="auto"/>
              <w:rPr>
                <w:lang w:val="en-GB"/>
              </w:rPr>
            </w:pPr>
            <w:r w:rsidRPr="00636E2E">
              <w:rPr>
                <w:lang w:val="en-GB"/>
              </w:rPr>
              <w:t>Secondary PGCE</w:t>
            </w:r>
          </w:p>
        </w:tc>
      </w:tr>
      <w:tr w:rsidR="000B099C" w:rsidRPr="00636E2E" w14:paraId="7CE89B66" w14:textId="77777777" w:rsidTr="004E29F7">
        <w:tc>
          <w:tcPr>
            <w:tcW w:w="2093" w:type="dxa"/>
            <w:shd w:val="clear" w:color="auto" w:fill="auto"/>
          </w:tcPr>
          <w:p w14:paraId="62BF2CE5" w14:textId="77777777" w:rsidR="000B099C" w:rsidRPr="00636E2E" w:rsidRDefault="000B099C" w:rsidP="002A7B09">
            <w:pPr>
              <w:spacing w:line="480" w:lineRule="auto"/>
              <w:rPr>
                <w:lang w:val="en-GB"/>
              </w:rPr>
            </w:pPr>
            <w:r w:rsidRPr="00636E2E">
              <w:rPr>
                <w:lang w:val="en-GB"/>
              </w:rPr>
              <w:t>Module:</w:t>
            </w:r>
          </w:p>
        </w:tc>
        <w:tc>
          <w:tcPr>
            <w:tcW w:w="7829" w:type="dxa"/>
            <w:gridSpan w:val="3"/>
            <w:shd w:val="clear" w:color="auto" w:fill="auto"/>
          </w:tcPr>
          <w:p w14:paraId="5B2A32B8" w14:textId="77777777" w:rsidR="000B099C" w:rsidRPr="00636E2E" w:rsidRDefault="000B099C" w:rsidP="002A7B09">
            <w:pPr>
              <w:spacing w:line="480" w:lineRule="auto"/>
              <w:rPr>
                <w:lang w:val="en-GB"/>
              </w:rPr>
            </w:pPr>
            <w:r w:rsidRPr="00636E2E">
              <w:rPr>
                <w:lang w:val="en-GB"/>
              </w:rPr>
              <w:t xml:space="preserve">Principles of Teaching, Learning and Pedagogy in the Secondary Sector </w:t>
            </w:r>
          </w:p>
        </w:tc>
      </w:tr>
      <w:tr w:rsidR="000B099C" w:rsidRPr="00636E2E" w14:paraId="013338A0" w14:textId="77777777" w:rsidTr="004E29F7">
        <w:tc>
          <w:tcPr>
            <w:tcW w:w="2093" w:type="dxa"/>
            <w:shd w:val="clear" w:color="auto" w:fill="auto"/>
          </w:tcPr>
          <w:p w14:paraId="029EA11A" w14:textId="77777777" w:rsidR="000B099C" w:rsidRPr="00636E2E" w:rsidRDefault="000B099C" w:rsidP="002A7B09">
            <w:pPr>
              <w:spacing w:line="480" w:lineRule="auto"/>
              <w:rPr>
                <w:lang w:val="en-GB"/>
              </w:rPr>
            </w:pPr>
            <w:r w:rsidRPr="00636E2E">
              <w:rPr>
                <w:lang w:val="en-GB"/>
              </w:rPr>
              <w:t>Module code:</w:t>
            </w:r>
          </w:p>
        </w:tc>
        <w:tc>
          <w:tcPr>
            <w:tcW w:w="3293" w:type="dxa"/>
          </w:tcPr>
          <w:p w14:paraId="1A971E77" w14:textId="77777777" w:rsidR="000B099C" w:rsidRPr="00636E2E" w:rsidRDefault="000B099C" w:rsidP="002A7B09">
            <w:pPr>
              <w:spacing w:line="480" w:lineRule="auto"/>
              <w:rPr>
                <w:lang w:val="en-GB"/>
              </w:rPr>
            </w:pPr>
            <w:r w:rsidRPr="00636E2E">
              <w:rPr>
                <w:lang w:val="en-GB"/>
              </w:rPr>
              <w:t>ECSP6001</w:t>
            </w:r>
          </w:p>
        </w:tc>
        <w:tc>
          <w:tcPr>
            <w:tcW w:w="2268" w:type="dxa"/>
            <w:shd w:val="clear" w:color="auto" w:fill="D9D9D9" w:themeFill="background1" w:themeFillShade="D9"/>
          </w:tcPr>
          <w:p w14:paraId="327881AB" w14:textId="77777777" w:rsidR="000B099C" w:rsidRPr="00636E2E" w:rsidRDefault="000B099C" w:rsidP="002A7B09">
            <w:pPr>
              <w:spacing w:line="480" w:lineRule="auto"/>
              <w:rPr>
                <w:lang w:val="en-GB"/>
              </w:rPr>
            </w:pPr>
            <w:r w:rsidRPr="00636E2E">
              <w:rPr>
                <w:lang w:val="en-GB"/>
              </w:rPr>
              <w:t>Contribution to Overall Module Assessment (%):</w:t>
            </w:r>
          </w:p>
        </w:tc>
        <w:tc>
          <w:tcPr>
            <w:tcW w:w="2268" w:type="dxa"/>
          </w:tcPr>
          <w:p w14:paraId="54133DB5" w14:textId="77777777" w:rsidR="000B099C" w:rsidRPr="00636E2E" w:rsidRDefault="000B099C" w:rsidP="002A7B09">
            <w:pPr>
              <w:spacing w:line="480" w:lineRule="auto"/>
              <w:rPr>
                <w:lang w:val="en-GB"/>
              </w:rPr>
            </w:pPr>
            <w:r w:rsidRPr="00636E2E">
              <w:rPr>
                <w:lang w:val="en-GB"/>
              </w:rPr>
              <w:t>50%</w:t>
            </w:r>
          </w:p>
        </w:tc>
      </w:tr>
      <w:tr w:rsidR="000B099C" w:rsidRPr="00636E2E" w14:paraId="6715605E" w14:textId="77777777" w:rsidTr="004E29F7">
        <w:tc>
          <w:tcPr>
            <w:tcW w:w="2093" w:type="dxa"/>
            <w:shd w:val="clear" w:color="auto" w:fill="auto"/>
          </w:tcPr>
          <w:p w14:paraId="25100CDF" w14:textId="77777777" w:rsidR="000B099C" w:rsidRPr="00636E2E" w:rsidRDefault="000B099C" w:rsidP="002A7B09">
            <w:pPr>
              <w:spacing w:line="480" w:lineRule="auto"/>
              <w:rPr>
                <w:lang w:val="en-GB"/>
              </w:rPr>
            </w:pPr>
            <w:r w:rsidRPr="00636E2E">
              <w:rPr>
                <w:lang w:val="en-GB"/>
              </w:rPr>
              <w:t>Lecturer:</w:t>
            </w:r>
          </w:p>
        </w:tc>
        <w:tc>
          <w:tcPr>
            <w:tcW w:w="3293" w:type="dxa"/>
          </w:tcPr>
          <w:p w14:paraId="73CA8A12" w14:textId="77777777" w:rsidR="000B099C" w:rsidRPr="00636E2E" w:rsidRDefault="000B099C" w:rsidP="002A7B09">
            <w:pPr>
              <w:spacing w:line="480" w:lineRule="auto"/>
              <w:rPr>
                <w:lang w:val="en-GB"/>
              </w:rPr>
            </w:pPr>
            <w:r w:rsidRPr="00636E2E">
              <w:rPr>
                <w:lang w:val="en-GB"/>
              </w:rPr>
              <w:t xml:space="preserve">Alison S Evans </w:t>
            </w:r>
          </w:p>
        </w:tc>
        <w:tc>
          <w:tcPr>
            <w:tcW w:w="2268" w:type="dxa"/>
            <w:shd w:val="clear" w:color="auto" w:fill="D9D9D9" w:themeFill="background1" w:themeFillShade="D9"/>
          </w:tcPr>
          <w:p w14:paraId="3C1FCFAF" w14:textId="77777777" w:rsidR="000B099C" w:rsidRPr="00636E2E" w:rsidRDefault="000B099C" w:rsidP="002A7B09">
            <w:pPr>
              <w:spacing w:line="480" w:lineRule="auto"/>
              <w:rPr>
                <w:lang w:val="en-GB"/>
              </w:rPr>
            </w:pPr>
            <w:r w:rsidRPr="00636E2E">
              <w:rPr>
                <w:lang w:val="en-GB"/>
              </w:rPr>
              <w:t>Internal Verifier:</w:t>
            </w:r>
          </w:p>
        </w:tc>
        <w:tc>
          <w:tcPr>
            <w:tcW w:w="2268" w:type="dxa"/>
          </w:tcPr>
          <w:p w14:paraId="2B6F4777" w14:textId="77777777" w:rsidR="000B099C" w:rsidRPr="00636E2E" w:rsidRDefault="000B099C" w:rsidP="002A7B09">
            <w:pPr>
              <w:spacing w:line="480" w:lineRule="auto"/>
              <w:rPr>
                <w:lang w:val="en-GB"/>
              </w:rPr>
            </w:pPr>
          </w:p>
        </w:tc>
      </w:tr>
      <w:tr w:rsidR="000B099C" w:rsidRPr="00636E2E" w14:paraId="0AA71F07" w14:textId="77777777" w:rsidTr="004E29F7">
        <w:tc>
          <w:tcPr>
            <w:tcW w:w="2093" w:type="dxa"/>
            <w:shd w:val="clear" w:color="auto" w:fill="auto"/>
          </w:tcPr>
          <w:p w14:paraId="3A1EE292" w14:textId="77777777" w:rsidR="000B099C" w:rsidRPr="00636E2E" w:rsidRDefault="000B099C" w:rsidP="002A7B09">
            <w:pPr>
              <w:spacing w:line="480" w:lineRule="auto"/>
              <w:rPr>
                <w:lang w:val="en-GB"/>
              </w:rPr>
            </w:pPr>
            <w:r w:rsidRPr="00636E2E">
              <w:rPr>
                <w:lang w:val="en-GB"/>
              </w:rPr>
              <w:t>Assignment Title:</w:t>
            </w:r>
          </w:p>
        </w:tc>
        <w:tc>
          <w:tcPr>
            <w:tcW w:w="3293" w:type="dxa"/>
          </w:tcPr>
          <w:p w14:paraId="4DE6CE82" w14:textId="77777777" w:rsidR="000B099C" w:rsidRPr="00636E2E" w:rsidRDefault="000B099C" w:rsidP="002A7B09">
            <w:pPr>
              <w:spacing w:line="480" w:lineRule="auto"/>
              <w:rPr>
                <w:lang w:val="en-GB"/>
              </w:rPr>
            </w:pPr>
            <w:r w:rsidRPr="00636E2E">
              <w:rPr>
                <w:lang w:val="en-GB"/>
              </w:rPr>
              <w:t xml:space="preserve">Part B, (i) and (ii) </w:t>
            </w:r>
          </w:p>
        </w:tc>
        <w:tc>
          <w:tcPr>
            <w:tcW w:w="2268" w:type="dxa"/>
            <w:shd w:val="clear" w:color="auto" w:fill="auto"/>
          </w:tcPr>
          <w:p w14:paraId="2A8D3868" w14:textId="77777777" w:rsidR="000B099C" w:rsidRPr="00636E2E" w:rsidRDefault="000B099C" w:rsidP="002A7B09">
            <w:pPr>
              <w:spacing w:line="480" w:lineRule="auto"/>
              <w:rPr>
                <w:lang w:val="en-GB"/>
              </w:rPr>
            </w:pPr>
            <w:r w:rsidRPr="00636E2E">
              <w:rPr>
                <w:lang w:val="en-GB"/>
              </w:rPr>
              <w:t>Word count (or equivalent):</w:t>
            </w:r>
          </w:p>
        </w:tc>
        <w:tc>
          <w:tcPr>
            <w:tcW w:w="2268" w:type="dxa"/>
          </w:tcPr>
          <w:p w14:paraId="06B9A5D5" w14:textId="77777777" w:rsidR="000B099C" w:rsidRPr="00636E2E" w:rsidRDefault="000B099C" w:rsidP="002A7B09">
            <w:pPr>
              <w:spacing w:line="480" w:lineRule="auto"/>
              <w:rPr>
                <w:lang w:val="en-GB"/>
              </w:rPr>
            </w:pPr>
            <w:r w:rsidRPr="00636E2E">
              <w:rPr>
                <w:lang w:val="en-GB"/>
              </w:rPr>
              <w:t>= 1,500</w:t>
            </w:r>
          </w:p>
          <w:p w14:paraId="1B1B8AC3" w14:textId="77777777" w:rsidR="000B099C" w:rsidRPr="00636E2E" w:rsidRDefault="000B099C" w:rsidP="002A7B09">
            <w:pPr>
              <w:spacing w:line="480" w:lineRule="auto"/>
              <w:rPr>
                <w:lang w:val="en-GB"/>
              </w:rPr>
            </w:pPr>
            <w:r w:rsidRPr="00636E2E">
              <w:rPr>
                <w:lang w:val="en-GB"/>
              </w:rPr>
              <w:t>= 2,000</w:t>
            </w:r>
          </w:p>
        </w:tc>
      </w:tr>
      <w:tr w:rsidR="000B099C" w:rsidRPr="00636E2E" w14:paraId="45A9FA21" w14:textId="77777777" w:rsidTr="004E29F7">
        <w:tc>
          <w:tcPr>
            <w:tcW w:w="2093" w:type="dxa"/>
            <w:shd w:val="clear" w:color="auto" w:fill="auto"/>
          </w:tcPr>
          <w:p w14:paraId="485E0E42" w14:textId="77777777" w:rsidR="000B099C" w:rsidRPr="00636E2E" w:rsidRDefault="000B099C" w:rsidP="002A7B09">
            <w:pPr>
              <w:spacing w:line="480" w:lineRule="auto"/>
              <w:rPr>
                <w:lang w:val="en-GB"/>
              </w:rPr>
            </w:pPr>
            <w:r w:rsidRPr="00636E2E">
              <w:rPr>
                <w:lang w:val="en-GB"/>
              </w:rPr>
              <w:t>Submission deadline:</w:t>
            </w:r>
          </w:p>
        </w:tc>
        <w:tc>
          <w:tcPr>
            <w:tcW w:w="3293" w:type="dxa"/>
            <w:shd w:val="clear" w:color="auto" w:fill="auto"/>
          </w:tcPr>
          <w:p w14:paraId="5B55D517" w14:textId="77777777" w:rsidR="000B099C" w:rsidRPr="00636E2E" w:rsidRDefault="000B099C" w:rsidP="002A7B09">
            <w:pPr>
              <w:spacing w:line="480" w:lineRule="auto"/>
              <w:rPr>
                <w:lang w:val="en-GB"/>
              </w:rPr>
            </w:pPr>
            <w:r w:rsidRPr="00636E2E">
              <w:rPr>
                <w:lang w:val="en-GB"/>
              </w:rPr>
              <w:t>26 November 2018</w:t>
            </w:r>
          </w:p>
        </w:tc>
        <w:tc>
          <w:tcPr>
            <w:tcW w:w="2268" w:type="dxa"/>
            <w:shd w:val="clear" w:color="auto" w:fill="auto"/>
          </w:tcPr>
          <w:p w14:paraId="06DCA867" w14:textId="77777777" w:rsidR="000B099C" w:rsidRPr="00636E2E" w:rsidRDefault="000B099C" w:rsidP="002A7B09">
            <w:pPr>
              <w:spacing w:line="480" w:lineRule="auto"/>
              <w:rPr>
                <w:lang w:val="en-GB"/>
              </w:rPr>
            </w:pPr>
            <w:r w:rsidRPr="00636E2E">
              <w:rPr>
                <w:lang w:val="en-GB"/>
              </w:rPr>
              <w:t>Return date of provisional marks &amp; written feedback:</w:t>
            </w:r>
          </w:p>
        </w:tc>
        <w:tc>
          <w:tcPr>
            <w:tcW w:w="2268" w:type="dxa"/>
          </w:tcPr>
          <w:p w14:paraId="5A35311D" w14:textId="77777777" w:rsidR="000B099C" w:rsidRPr="00636E2E" w:rsidRDefault="000B099C" w:rsidP="002A7B09">
            <w:pPr>
              <w:spacing w:line="480" w:lineRule="auto"/>
              <w:rPr>
                <w:lang w:val="en-GB"/>
              </w:rPr>
            </w:pPr>
            <w:r w:rsidRPr="00636E2E">
              <w:rPr>
                <w:lang w:val="en-GB"/>
              </w:rPr>
              <w:t>17 December 2018</w:t>
            </w:r>
          </w:p>
        </w:tc>
      </w:tr>
      <w:tr w:rsidR="000B099C" w:rsidRPr="00636E2E" w14:paraId="5A91956D" w14:textId="77777777" w:rsidTr="004E29F7">
        <w:tc>
          <w:tcPr>
            <w:tcW w:w="2093" w:type="dxa"/>
            <w:shd w:val="clear" w:color="auto" w:fill="auto"/>
          </w:tcPr>
          <w:p w14:paraId="24EDA09A" w14:textId="77777777" w:rsidR="000B099C" w:rsidRPr="00636E2E" w:rsidRDefault="000B099C" w:rsidP="002A7B09">
            <w:pPr>
              <w:spacing w:line="480" w:lineRule="auto"/>
              <w:rPr>
                <w:lang w:val="en-GB"/>
              </w:rPr>
            </w:pPr>
            <w:r w:rsidRPr="00636E2E">
              <w:rPr>
                <w:lang w:val="en-GB"/>
              </w:rPr>
              <w:lastRenderedPageBreak/>
              <w:t>Submission method:</w:t>
            </w:r>
          </w:p>
        </w:tc>
        <w:tc>
          <w:tcPr>
            <w:tcW w:w="7829" w:type="dxa"/>
            <w:gridSpan w:val="3"/>
            <w:shd w:val="clear" w:color="auto" w:fill="auto"/>
          </w:tcPr>
          <w:p w14:paraId="4B36FAE7" w14:textId="77777777" w:rsidR="000B099C" w:rsidRPr="00636E2E" w:rsidRDefault="000B099C" w:rsidP="002A7B09">
            <w:pPr>
              <w:spacing w:line="480" w:lineRule="auto"/>
              <w:rPr>
                <w:lang w:val="en-GB"/>
              </w:rPr>
            </w:pPr>
            <w:r w:rsidRPr="00636E2E">
              <w:rPr>
                <w:lang w:val="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444A49" w14:textId="77777777" w:rsidR="000B099C" w:rsidRPr="00636E2E" w:rsidRDefault="000B099C" w:rsidP="002A7B09">
            <w:pPr>
              <w:spacing w:line="480" w:lineRule="auto"/>
              <w:rPr>
                <w:lang w:val="en-GB"/>
              </w:rPr>
            </w:pPr>
            <w:r w:rsidRPr="00636E2E">
              <w:rPr>
                <w:lang w:val="en-GB"/>
              </w:rPr>
              <w:t xml:space="preserve">Alternative submission method (if applicable): </w:t>
            </w:r>
          </w:p>
          <w:p w14:paraId="31E2883F" w14:textId="77777777" w:rsidR="000B099C" w:rsidRPr="00636E2E" w:rsidRDefault="000B099C" w:rsidP="002A7B09">
            <w:pPr>
              <w:spacing w:line="480" w:lineRule="auto"/>
              <w:rPr>
                <w:lang w:val="en-GB"/>
              </w:rPr>
            </w:pPr>
            <w:r w:rsidRPr="00636E2E">
              <w:rPr>
                <w:lang w:val="en-GB"/>
              </w:rPr>
              <w:t>Late submission of the assessment will result in a late penalty mark.  Penalties for late submission: Up to one week late, maximum mark of 40%.  Over one week late, 0%.  Only the Extenuating Circumstances Panel may approve a change to submission dates.</w:t>
            </w:r>
          </w:p>
        </w:tc>
      </w:tr>
      <w:tr w:rsidR="000B099C" w:rsidRPr="00636E2E" w14:paraId="6C6689F3" w14:textId="77777777" w:rsidTr="004E29F7">
        <w:tc>
          <w:tcPr>
            <w:tcW w:w="2093" w:type="dxa"/>
            <w:shd w:val="clear" w:color="auto" w:fill="auto"/>
          </w:tcPr>
          <w:p w14:paraId="1E1E6DD0" w14:textId="77777777" w:rsidR="000B099C" w:rsidRPr="00636E2E" w:rsidRDefault="000B099C" w:rsidP="002A7B09">
            <w:pPr>
              <w:spacing w:line="480" w:lineRule="auto"/>
              <w:rPr>
                <w:lang w:val="en-GB"/>
              </w:rPr>
            </w:pPr>
            <w:r w:rsidRPr="00636E2E">
              <w:rPr>
                <w:lang w:val="en-GB"/>
              </w:rPr>
              <w:t>Academic honesty / referencing:</w:t>
            </w:r>
          </w:p>
        </w:tc>
        <w:tc>
          <w:tcPr>
            <w:tcW w:w="7829" w:type="dxa"/>
            <w:gridSpan w:val="3"/>
            <w:shd w:val="clear" w:color="auto" w:fill="auto"/>
          </w:tcPr>
          <w:p w14:paraId="106777AB" w14:textId="77777777" w:rsidR="000B099C" w:rsidRPr="00636E2E" w:rsidRDefault="000B099C" w:rsidP="002A7B09">
            <w:pPr>
              <w:spacing w:line="480" w:lineRule="auto"/>
              <w:rPr>
                <w:lang w:val="en-GB"/>
              </w:rPr>
            </w:pPr>
            <w:r w:rsidRPr="00636E2E">
              <w:rPr>
                <w:lang w:val="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4C71D46" w14:textId="4F31E352" w:rsidR="000B099C" w:rsidRDefault="000B099C" w:rsidP="002A7B09">
      <w:pPr>
        <w:spacing w:line="480" w:lineRule="auto"/>
        <w:rPr>
          <w:sz w:val="32"/>
          <w:lang w:val="en-GB"/>
        </w:rPr>
      </w:pPr>
    </w:p>
    <w:p w14:paraId="47EA954F" w14:textId="0D6ECD58" w:rsidR="00157132" w:rsidRDefault="00157132" w:rsidP="002A7B09">
      <w:pPr>
        <w:spacing w:line="480" w:lineRule="auto"/>
        <w:rPr>
          <w:sz w:val="32"/>
          <w:lang w:val="en-GB"/>
        </w:rPr>
      </w:pPr>
    </w:p>
    <w:p w14:paraId="6EC8740B" w14:textId="1B18CA5A" w:rsidR="00157132" w:rsidRDefault="00157132" w:rsidP="002A7B09">
      <w:pPr>
        <w:spacing w:line="480" w:lineRule="auto"/>
        <w:rPr>
          <w:sz w:val="32"/>
          <w:lang w:val="en-GB"/>
        </w:rPr>
      </w:pPr>
    </w:p>
    <w:p w14:paraId="21179805" w14:textId="77777777" w:rsidR="00157132" w:rsidRPr="00636E2E" w:rsidRDefault="00157132" w:rsidP="002A7B09">
      <w:pPr>
        <w:spacing w:line="480" w:lineRule="auto"/>
        <w:rPr>
          <w:sz w:val="32"/>
          <w:lang w:val="en-GB"/>
        </w:rPr>
      </w:pPr>
    </w:p>
    <w:p w14:paraId="3E75EB29" w14:textId="77777777" w:rsidR="00A41BFF" w:rsidRPr="00636E2E" w:rsidRDefault="00A41BFF" w:rsidP="002A7B09">
      <w:pPr>
        <w:spacing w:line="480" w:lineRule="auto"/>
        <w:rPr>
          <w:rFonts w:asciiTheme="majorHAnsi" w:hAnsiTheme="majorHAnsi" w:cstheme="majorHAnsi"/>
          <w:lang w:val="en-GB"/>
        </w:rPr>
      </w:pPr>
    </w:p>
    <w:p w14:paraId="2CDD199D" w14:textId="7159E646" w:rsidR="002A7B09" w:rsidRPr="00636E2E" w:rsidRDefault="00F0524B" w:rsidP="00157132">
      <w:pPr>
        <w:pStyle w:val="Heading1"/>
        <w:spacing w:line="480" w:lineRule="auto"/>
        <w:rPr>
          <w:lang w:val="en-GB"/>
        </w:rPr>
      </w:pPr>
      <w:bookmarkStart w:id="0" w:name="_Toc531031900"/>
      <w:r w:rsidRPr="00636E2E">
        <w:rPr>
          <w:lang w:val="en-GB"/>
        </w:rPr>
        <w:t>Introduction</w:t>
      </w:r>
      <w:bookmarkEnd w:id="0"/>
    </w:p>
    <w:p w14:paraId="070FF110" w14:textId="681F76C4" w:rsidR="00F0524B" w:rsidRPr="00636E2E" w:rsidRDefault="18F8DFA7" w:rsidP="002A7B09">
      <w:pPr>
        <w:spacing w:line="480" w:lineRule="auto"/>
        <w:jc w:val="both"/>
        <w:rPr>
          <w:rFonts w:asciiTheme="majorHAnsi" w:eastAsia="Calibri Light" w:hAnsiTheme="majorHAnsi" w:cstheme="majorHAnsi"/>
          <w:lang w:val="en-GB"/>
        </w:rPr>
      </w:pPr>
      <w:r w:rsidRPr="00636E2E">
        <w:rPr>
          <w:rFonts w:asciiTheme="majorHAnsi" w:eastAsia="Calibri Light" w:hAnsiTheme="majorHAnsi" w:cstheme="majorHAnsi"/>
          <w:lang w:val="en-GB"/>
        </w:rPr>
        <w:t>Following the lead of Gert Biesta (2015), this essay is written in the first person and deals with my personal</w:t>
      </w:r>
      <w:r w:rsidR="000E4727" w:rsidRPr="00636E2E">
        <w:rPr>
          <w:rFonts w:asciiTheme="majorHAnsi" w:eastAsia="Calibri Light" w:hAnsiTheme="majorHAnsi" w:cstheme="majorHAnsi"/>
          <w:lang w:val="en-GB"/>
        </w:rPr>
        <w:t>, and ongoing,</w:t>
      </w:r>
      <w:r w:rsidRPr="00636E2E">
        <w:rPr>
          <w:rFonts w:asciiTheme="majorHAnsi" w:eastAsia="Calibri Light" w:hAnsiTheme="majorHAnsi" w:cstheme="majorHAnsi"/>
          <w:lang w:val="en-GB"/>
        </w:rPr>
        <w:t xml:space="preserve"> transcendence from student to teacher. As Biesta relates the transition from an infantile to a grown-up conception of the world, this essay is split into two parts – the student view (Part B i) and the student-teacher view (Part B ii) of the microteaching episode (MTE), the scheme of work (SOW), lesson plan (LP) and the resource package. </w:t>
      </w:r>
      <w:r w:rsidR="00C86FE6" w:rsidRPr="00636E2E">
        <w:rPr>
          <w:rFonts w:asciiTheme="majorHAnsi" w:eastAsia="Calibri Light" w:hAnsiTheme="majorHAnsi" w:cstheme="majorHAnsi"/>
          <w:lang w:val="en-GB"/>
        </w:rPr>
        <w:t>I conclude with an appended action plan.</w:t>
      </w:r>
    </w:p>
    <w:p w14:paraId="47D7759D" w14:textId="71F7134F" w:rsidR="18F8DFA7" w:rsidRPr="00636E2E" w:rsidRDefault="18F8DFA7" w:rsidP="002A7B09">
      <w:pPr>
        <w:pStyle w:val="Heading1"/>
        <w:spacing w:line="480" w:lineRule="auto"/>
        <w:rPr>
          <w:lang w:val="en-GB"/>
        </w:rPr>
      </w:pPr>
      <w:bookmarkStart w:id="1" w:name="_Toc531031901"/>
      <w:r w:rsidRPr="00636E2E">
        <w:rPr>
          <w:lang w:val="en-GB"/>
        </w:rPr>
        <w:t>Part B I:   Learning principles that underpin the scheme of work, teaching session &amp; resources</w:t>
      </w:r>
      <w:bookmarkEnd w:id="1"/>
    </w:p>
    <w:p w14:paraId="2EACA720" w14:textId="77777777" w:rsidR="00AF572C" w:rsidRPr="00636E2E" w:rsidRDefault="00AF572C" w:rsidP="002A7B09">
      <w:pPr>
        <w:spacing w:line="480" w:lineRule="auto"/>
        <w:rPr>
          <w:rFonts w:asciiTheme="majorHAnsi" w:hAnsiTheme="majorHAnsi" w:cstheme="majorHAnsi"/>
          <w:lang w:val="en-GB"/>
        </w:rPr>
      </w:pPr>
    </w:p>
    <w:p w14:paraId="3A34F564" w14:textId="1E791314" w:rsidR="18F8DFA7" w:rsidRPr="00636E2E" w:rsidRDefault="18F8DFA7" w:rsidP="002A7B09">
      <w:pPr>
        <w:pStyle w:val="Heading2"/>
        <w:spacing w:line="480" w:lineRule="auto"/>
        <w:rPr>
          <w:rStyle w:val="Heading3Char"/>
          <w:rFonts w:cstheme="majorHAnsi"/>
          <w:lang w:val="en-GB"/>
        </w:rPr>
      </w:pPr>
      <w:bookmarkStart w:id="2" w:name="_Toc531031902"/>
      <w:r w:rsidRPr="00636E2E">
        <w:rPr>
          <w:rStyle w:val="Heading3Char"/>
          <w:rFonts w:cstheme="majorHAnsi"/>
          <w:lang w:val="en-GB"/>
        </w:rPr>
        <w:t>Subject Knowledge</w:t>
      </w:r>
      <w:bookmarkEnd w:id="2"/>
    </w:p>
    <w:p w14:paraId="7E8DEED1" w14:textId="7FF9828C" w:rsidR="18F8DFA7" w:rsidRPr="00636E2E" w:rsidRDefault="18F8DFA7" w:rsidP="002A7B09">
      <w:pPr>
        <w:spacing w:line="480" w:lineRule="auto"/>
        <w:jc w:val="both"/>
        <w:rPr>
          <w:rFonts w:asciiTheme="majorHAnsi" w:hAnsiTheme="majorHAnsi" w:cstheme="majorHAnsi"/>
          <w:lang w:val="en-GB"/>
        </w:rPr>
      </w:pPr>
      <w:r w:rsidRPr="00636E2E">
        <w:rPr>
          <w:rFonts w:asciiTheme="majorHAnsi" w:eastAsia="Calibri Light" w:hAnsiTheme="majorHAnsi" w:cstheme="majorHAnsi"/>
          <w:sz w:val="24"/>
          <w:szCs w:val="24"/>
          <w:lang w:val="en-GB"/>
        </w:rPr>
        <w:t>The overarching theme of the Scheme of Work is a challenge for students to come up with an answer to the following question:</w:t>
      </w:r>
      <w:r w:rsidR="00895174" w:rsidRPr="00636E2E">
        <w:rPr>
          <w:rFonts w:asciiTheme="majorHAnsi" w:eastAsia="Calibri Light" w:hAnsiTheme="majorHAnsi" w:cstheme="majorHAnsi"/>
          <w:sz w:val="24"/>
          <w:szCs w:val="24"/>
          <w:lang w:val="en-GB"/>
        </w:rPr>
        <w:t xml:space="preserve"> </w:t>
      </w:r>
      <w:r w:rsidRPr="00636E2E">
        <w:rPr>
          <w:rFonts w:asciiTheme="majorHAnsi" w:eastAsia="Calibri Light" w:hAnsiTheme="majorHAnsi" w:cstheme="majorHAnsi"/>
          <w:sz w:val="24"/>
          <w:szCs w:val="24"/>
          <w:lang w:val="en-GB"/>
        </w:rPr>
        <w:t xml:space="preserve">How can Wales meet its energy demand while reducing carbon emissions by 2030? </w:t>
      </w:r>
    </w:p>
    <w:p w14:paraId="741FDCCB" w14:textId="2212392F" w:rsidR="18F8DFA7" w:rsidRPr="00636E2E" w:rsidRDefault="18F8DFA7" w:rsidP="002A7B09">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 xml:space="preserve">My background is in environmental science and subject knowledge was the reason I chose to create a scheme of work on the topic of renewable energies. I decided to change the topic from cells after reading the Sutton Trust report (Coe et al., 2014), where it clearly states that subject knowledge is probably the biggest influence on learning. </w:t>
      </w:r>
    </w:p>
    <w:p w14:paraId="06C319A3" w14:textId="166C9BC2" w:rsidR="18F8DFA7" w:rsidRPr="00636E2E" w:rsidRDefault="18F8DFA7" w:rsidP="002A7B09">
      <w:pPr>
        <w:pStyle w:val="Heading2"/>
        <w:spacing w:line="480" w:lineRule="auto"/>
        <w:rPr>
          <w:rStyle w:val="Heading3Char"/>
          <w:color w:val="2F5496" w:themeColor="accent1" w:themeShade="BF"/>
          <w:sz w:val="26"/>
          <w:szCs w:val="26"/>
          <w:lang w:val="en-GB"/>
        </w:rPr>
      </w:pPr>
      <w:bookmarkStart w:id="3" w:name="_Toc531031903"/>
      <w:r w:rsidRPr="00636E2E">
        <w:rPr>
          <w:rStyle w:val="Heading3Char"/>
          <w:color w:val="2F5496" w:themeColor="accent1" w:themeShade="BF"/>
          <w:sz w:val="26"/>
          <w:szCs w:val="26"/>
          <w:lang w:val="en-GB"/>
        </w:rPr>
        <w:t>Sequence of Scheme of Work</w:t>
      </w:r>
      <w:bookmarkEnd w:id="3"/>
    </w:p>
    <w:p w14:paraId="0BB4C6AF" w14:textId="7C82DCAA" w:rsidR="00A41BFF" w:rsidRPr="00636E2E" w:rsidRDefault="18F8DFA7" w:rsidP="002A7B09">
      <w:pPr>
        <w:pStyle w:val="Heading3"/>
        <w:spacing w:line="480" w:lineRule="auto"/>
        <w:rPr>
          <w:lang w:val="en-GB"/>
        </w:rPr>
      </w:pPr>
      <w:bookmarkStart w:id="4" w:name="_Toc531031904"/>
      <w:r w:rsidRPr="00636E2E">
        <w:rPr>
          <w:rStyle w:val="Heading4Char"/>
          <w:i w:val="0"/>
          <w:iCs w:val="0"/>
          <w:color w:val="1F3763" w:themeColor="accent1" w:themeShade="7F"/>
          <w:lang w:val="en-GB"/>
        </w:rPr>
        <w:t>Lesson One</w:t>
      </w:r>
      <w:bookmarkEnd w:id="4"/>
    </w:p>
    <w:p w14:paraId="2BBD9768" w14:textId="61A4E49A" w:rsidR="00A41BFF" w:rsidRPr="002E34F6" w:rsidRDefault="00A41BFF" w:rsidP="002A7B09">
      <w:pPr>
        <w:spacing w:line="480" w:lineRule="auto"/>
        <w:jc w:val="both"/>
        <w:rPr>
          <w:rFonts w:ascii="Calibri Light" w:eastAsia="Calibri Light" w:hAnsi="Calibri Light" w:cs="Calibri Light"/>
          <w:lang w:val="en-GB"/>
        </w:rPr>
      </w:pPr>
      <w:r w:rsidRPr="002E34F6">
        <w:rPr>
          <w:rFonts w:ascii="Calibri Light" w:eastAsia="Calibri Light" w:hAnsi="Calibri Light" w:cs="Calibri Light"/>
          <w:lang w:val="en-GB"/>
        </w:rPr>
        <w:t xml:space="preserve">The scheme of work would sit well within the new successful futures curriculum (Donaldson, 2015), which will be implemented in Wales by 2022. It incorporates science and technology under the STEM umbrella and promotes students as independent and resilient learners. In the meantime, the scheme of work also includes many aspects of the current national curriculum for science in Wales (Welsh Assembly Government, 2008). </w:t>
      </w:r>
    </w:p>
    <w:p w14:paraId="358BADCF" w14:textId="58C99E76" w:rsidR="00DE75A3" w:rsidRPr="002E34F6" w:rsidRDefault="18F8DFA7" w:rsidP="002A7B09">
      <w:pPr>
        <w:spacing w:line="480" w:lineRule="auto"/>
        <w:jc w:val="both"/>
        <w:rPr>
          <w:rFonts w:ascii="Calibri Light" w:eastAsia="Calibri Light" w:hAnsi="Calibri Light" w:cs="Calibri Light"/>
          <w:lang w:val="en-GB"/>
        </w:rPr>
      </w:pPr>
      <w:r w:rsidRPr="002E34F6">
        <w:rPr>
          <w:rFonts w:ascii="Calibri Light" w:eastAsia="Calibri Light" w:hAnsi="Calibri Light" w:cs="Calibri Light"/>
          <w:lang w:val="en-GB"/>
        </w:rPr>
        <w:t xml:space="preserve">The first lesson involves finding out what students already know using assessment for learning strategies (Black &amp; Wiliam, 1998) and refreshing their memories of vocabulary and concepts. In theory it would have been the first time the group met, so expectations should be set, the scheme of work might be shared with students in some </w:t>
      </w:r>
      <w:r w:rsidR="00746159" w:rsidRPr="002E34F6">
        <w:rPr>
          <w:rFonts w:ascii="Calibri Light" w:eastAsia="Calibri Light" w:hAnsi="Calibri Light" w:cs="Calibri Light"/>
          <w:lang w:val="en-GB"/>
        </w:rPr>
        <w:t>format,</w:t>
      </w:r>
      <w:r w:rsidRPr="002E34F6">
        <w:rPr>
          <w:rFonts w:ascii="Calibri Light" w:eastAsia="Calibri Light" w:hAnsi="Calibri Light" w:cs="Calibri Light"/>
          <w:lang w:val="en-GB"/>
        </w:rPr>
        <w:t xml:space="preserve"> so they have an idea of the purpose of the lessons, and the growth mindset would be introduced (Dweck, 2012). </w:t>
      </w:r>
    </w:p>
    <w:p w14:paraId="70EF5B99" w14:textId="738B510C" w:rsidR="00A41BFF" w:rsidRPr="002E34F6" w:rsidRDefault="18F8DFA7" w:rsidP="002A7B09">
      <w:pPr>
        <w:spacing w:line="480" w:lineRule="auto"/>
        <w:jc w:val="both"/>
        <w:rPr>
          <w:rFonts w:ascii="Calibri Light" w:eastAsia="Calibri Light" w:hAnsi="Calibri Light" w:cs="Calibri Light"/>
          <w:lang w:val="en-GB"/>
        </w:rPr>
      </w:pPr>
      <w:r w:rsidRPr="002E34F6">
        <w:rPr>
          <w:rFonts w:ascii="Calibri Light" w:eastAsia="Calibri Light" w:hAnsi="Calibri Light" w:cs="Calibri Light"/>
          <w:lang w:val="en-GB"/>
        </w:rPr>
        <w:t xml:space="preserve">This </w:t>
      </w:r>
      <w:r w:rsidR="00DE75A3" w:rsidRPr="002E34F6">
        <w:rPr>
          <w:rFonts w:ascii="Calibri Light" w:eastAsia="Calibri Light" w:hAnsi="Calibri Light" w:cs="Calibri Light"/>
          <w:lang w:val="en-GB"/>
        </w:rPr>
        <w:t>formative assessment would</w:t>
      </w:r>
      <w:r w:rsidRPr="002E34F6">
        <w:rPr>
          <w:rFonts w:ascii="Calibri Light" w:eastAsia="Calibri Light" w:hAnsi="Calibri Light" w:cs="Calibri Light"/>
          <w:lang w:val="en-GB"/>
        </w:rPr>
        <w:t xml:space="preserve"> provide a baseline to work from when judging progress </w:t>
      </w:r>
      <w:r w:rsidR="00DE75A3" w:rsidRPr="002E34F6">
        <w:rPr>
          <w:rFonts w:ascii="Calibri Light" w:eastAsia="Calibri Light" w:hAnsi="Calibri Light" w:cs="Calibri Light"/>
          <w:lang w:val="en-GB"/>
        </w:rPr>
        <w:t>along</w:t>
      </w:r>
      <w:r w:rsidRPr="002E34F6">
        <w:rPr>
          <w:rFonts w:ascii="Calibri Light" w:eastAsia="Calibri Light" w:hAnsi="Calibri Light" w:cs="Calibri Light"/>
          <w:lang w:val="en-GB"/>
        </w:rPr>
        <w:t xml:space="preserve"> the Zone of Proximal Development (ZPD, Vygot</w:t>
      </w:r>
      <w:r w:rsidR="00CC0D95">
        <w:rPr>
          <w:rFonts w:ascii="Calibri Light" w:eastAsia="Calibri Light" w:hAnsi="Calibri Light" w:cs="Calibri Light"/>
          <w:lang w:val="en-GB"/>
        </w:rPr>
        <w:t>s</w:t>
      </w:r>
      <w:r w:rsidRPr="002E34F6">
        <w:rPr>
          <w:rFonts w:ascii="Calibri Light" w:eastAsia="Calibri Light" w:hAnsi="Calibri Light" w:cs="Calibri Light"/>
          <w:lang w:val="en-GB"/>
        </w:rPr>
        <w:t>ky, 1978</w:t>
      </w:r>
      <w:r w:rsidR="00BC6E29">
        <w:rPr>
          <w:rFonts w:ascii="Calibri Light" w:eastAsia="Calibri Light" w:hAnsi="Calibri Light" w:cs="Calibri Light"/>
          <w:lang w:val="en-GB"/>
        </w:rPr>
        <w:t>;</w:t>
      </w:r>
      <w:r w:rsidR="00BC6E29" w:rsidRPr="00BC6E29">
        <w:t xml:space="preserve"> </w:t>
      </w:r>
      <w:r w:rsidR="00BC6E29" w:rsidRPr="00BC6E29">
        <w:rPr>
          <w:rFonts w:ascii="Calibri Light" w:eastAsia="Calibri Light" w:hAnsi="Calibri Light" w:cs="Calibri Light"/>
          <w:lang w:val="en-GB"/>
        </w:rPr>
        <w:t>Wass &amp; Golding, 2014</w:t>
      </w:r>
      <w:r w:rsidRPr="002E34F6">
        <w:rPr>
          <w:rFonts w:ascii="Calibri Light" w:eastAsia="Calibri Light" w:hAnsi="Calibri Light" w:cs="Calibri Light"/>
          <w:lang w:val="en-GB"/>
        </w:rPr>
        <w:t xml:space="preserve">). In the new curriculum, Successful Futures, we might think of this as the learning journey that each student is moving along (Donaldson, 2015). Considering the context of delivering the Micro-Teaching Episode (MTE), which was to an audience of over a dozen science graduates, </w:t>
      </w:r>
      <w:r w:rsidR="00210CF7" w:rsidRPr="002E34F6">
        <w:rPr>
          <w:rFonts w:ascii="Calibri Light" w:eastAsia="Calibri Light" w:hAnsi="Calibri Light" w:cs="Calibri Light"/>
          <w:lang w:val="en-GB"/>
        </w:rPr>
        <w:t>a</w:t>
      </w:r>
      <w:r w:rsidRPr="002E34F6">
        <w:rPr>
          <w:rFonts w:ascii="Calibri Light" w:eastAsia="Calibri Light" w:hAnsi="Calibri Light" w:cs="Calibri Light"/>
          <w:lang w:val="en-GB"/>
        </w:rPr>
        <w:t xml:space="preserve"> high level of prior knowledge</w:t>
      </w:r>
      <w:r w:rsidR="00210CF7" w:rsidRPr="002E34F6">
        <w:rPr>
          <w:rFonts w:ascii="Calibri Light" w:eastAsia="Calibri Light" w:hAnsi="Calibri Light" w:cs="Calibri Light"/>
          <w:lang w:val="en-GB"/>
        </w:rPr>
        <w:t xml:space="preserve"> would be expected</w:t>
      </w:r>
      <w:r w:rsidRPr="002E34F6">
        <w:rPr>
          <w:rFonts w:ascii="Calibri Light" w:eastAsia="Calibri Light" w:hAnsi="Calibri Light" w:cs="Calibri Light"/>
          <w:lang w:val="en-GB"/>
        </w:rPr>
        <w:t>.</w:t>
      </w:r>
    </w:p>
    <w:p w14:paraId="151C9E36" w14:textId="365EB276" w:rsidR="009632D5" w:rsidRPr="00636E2E" w:rsidRDefault="00F0524B" w:rsidP="002A7B09">
      <w:pPr>
        <w:spacing w:line="480" w:lineRule="auto"/>
        <w:rPr>
          <w:rFonts w:ascii="Calibri Light" w:eastAsiaTheme="majorEastAsia" w:hAnsi="Calibri Light" w:cs="Calibri Light"/>
          <w:i/>
          <w:iCs/>
          <w:color w:val="2F5496" w:themeColor="accent1" w:themeShade="BF"/>
          <w:sz w:val="24"/>
          <w:szCs w:val="24"/>
          <w:lang w:val="en-GB"/>
        </w:rPr>
      </w:pPr>
      <w:r w:rsidRPr="00636E2E">
        <w:rPr>
          <w:rFonts w:eastAsia="Calibri Light"/>
          <w:lang w:val="en-GB"/>
        </w:rPr>
        <w:br/>
      </w:r>
      <w:r w:rsidR="00AF572C" w:rsidRPr="00636E2E">
        <w:rPr>
          <w:rStyle w:val="Heading4Char"/>
          <w:rFonts w:ascii="Calibri Light" w:hAnsi="Calibri Light" w:cs="Calibri Light"/>
          <w:sz w:val="24"/>
          <w:szCs w:val="24"/>
          <w:lang w:val="en-GB"/>
        </w:rPr>
        <w:t xml:space="preserve">Lesson Two - </w:t>
      </w:r>
      <w:r w:rsidR="18F8DFA7" w:rsidRPr="00636E2E">
        <w:rPr>
          <w:rStyle w:val="Heading4Char"/>
          <w:rFonts w:ascii="Calibri Light" w:hAnsi="Calibri Light" w:cs="Calibri Light"/>
          <w:sz w:val="24"/>
          <w:szCs w:val="24"/>
          <w:lang w:val="en-GB"/>
        </w:rPr>
        <w:t>The Micro-Teaching Episode (MTE)</w:t>
      </w:r>
      <w:r w:rsidRPr="00636E2E">
        <w:rPr>
          <w:rStyle w:val="Heading4Char"/>
          <w:rFonts w:ascii="Calibri Light" w:hAnsi="Calibri Light" w:cs="Calibri Light"/>
          <w:sz w:val="24"/>
          <w:szCs w:val="24"/>
          <w:lang w:val="en-GB"/>
        </w:rPr>
        <w:br/>
      </w:r>
      <w:r w:rsidR="18F8DFA7" w:rsidRPr="00636E2E">
        <w:rPr>
          <w:rFonts w:ascii="Calibri Light" w:hAnsi="Calibri Light" w:cs="Calibri Light"/>
          <w:sz w:val="24"/>
          <w:szCs w:val="24"/>
          <w:lang w:val="en-GB"/>
        </w:rPr>
        <w:t xml:space="preserve">I delivered a short </w:t>
      </w:r>
      <w:r w:rsidR="00210CF7" w:rsidRPr="00636E2E">
        <w:rPr>
          <w:rFonts w:ascii="Calibri Light" w:hAnsi="Calibri Light" w:cs="Calibri Light"/>
          <w:sz w:val="24"/>
          <w:szCs w:val="24"/>
          <w:lang w:val="en-GB"/>
        </w:rPr>
        <w:t xml:space="preserve">(recorded) </w:t>
      </w:r>
      <w:r w:rsidR="18F8DFA7" w:rsidRPr="00636E2E">
        <w:rPr>
          <w:rFonts w:ascii="Calibri Light" w:hAnsi="Calibri Light" w:cs="Calibri Light"/>
          <w:sz w:val="24"/>
          <w:szCs w:val="24"/>
          <w:lang w:val="en-GB"/>
        </w:rPr>
        <w:t>lesson on power stations around Wales, which would have been the second lesson in a scheme of work of four lessons on the topic of powering the future. The focus of this lesson gave explicit examples of power stations in Wales as part of ‘Y Cwricwlwm Cymreig’, which is the Welsh Government’s policy to promote Welsh culture and language among students in Welsh schools (ACCAC, 2003). Of course, the other aspects of teaching were no less important: the lesson plan (LP) abridges many subject areas and skills outlined in the national curriculum in science for Wales (Welsh Assembly Government, 2008); it considered aspects of literacy and numeracy with regards to the Literacy and Numeracy Framework (LNF, Welsh Government, 2013); it considered the needs of learners, as per the QTS standards (Welsh Government, YEAR); and the topic lent itself very well to the Education for Sustainable Development and Global Citizenship (ESDGC, Welsh Assembly Government,  2008a) as it allows for discussion on issues such as climate change.</w:t>
      </w:r>
    </w:p>
    <w:p w14:paraId="202203A2" w14:textId="76269E5E" w:rsidR="18F8DFA7" w:rsidRPr="00636E2E" w:rsidRDefault="18F8DFA7" w:rsidP="002A7B09">
      <w:pPr>
        <w:spacing w:line="480" w:lineRule="auto"/>
        <w:rPr>
          <w:rFonts w:asciiTheme="majorHAnsi" w:eastAsia="Calibri Light" w:hAnsiTheme="majorHAnsi" w:cstheme="majorHAnsi"/>
          <w:szCs w:val="24"/>
          <w:lang w:val="en-GB"/>
        </w:rPr>
      </w:pPr>
      <w:r w:rsidRPr="00636E2E">
        <w:rPr>
          <w:rStyle w:val="Heading4Char"/>
          <w:rFonts w:cstheme="majorHAnsi"/>
          <w:sz w:val="24"/>
          <w:lang w:val="en-GB"/>
        </w:rPr>
        <w:t>Lesson Three</w:t>
      </w:r>
      <w:r w:rsidR="002A7B09" w:rsidRPr="00636E2E">
        <w:rPr>
          <w:rFonts w:asciiTheme="majorHAnsi" w:eastAsia="Calibri Light" w:hAnsiTheme="majorHAnsi" w:cstheme="majorHAnsi"/>
          <w:szCs w:val="24"/>
          <w:lang w:val="en-GB"/>
        </w:rPr>
        <w:br/>
      </w:r>
      <w:r w:rsidRPr="00636E2E">
        <w:rPr>
          <w:rFonts w:asciiTheme="majorHAnsi" w:eastAsia="Calibri Light" w:hAnsiTheme="majorHAnsi" w:cstheme="majorHAnsi"/>
          <w:sz w:val="24"/>
          <w:szCs w:val="24"/>
          <w:lang w:val="en-GB"/>
        </w:rPr>
        <w:t xml:space="preserve">The third lesson allows students to apply their knowledge and skills to the planning of a practical experiment that could help them answer the challenge question. Different levels of support would be provided, students could choose from a range of options or create a completely new practical using the resources available. </w:t>
      </w:r>
    </w:p>
    <w:p w14:paraId="728CD9F4" w14:textId="60917378" w:rsidR="18F8DFA7" w:rsidRPr="00636E2E" w:rsidRDefault="18F8DFA7" w:rsidP="002A7B09">
      <w:pPr>
        <w:spacing w:line="480" w:lineRule="auto"/>
        <w:rPr>
          <w:rFonts w:asciiTheme="majorHAnsi" w:eastAsia="Calibri Light" w:hAnsiTheme="majorHAnsi" w:cstheme="majorHAnsi"/>
          <w:szCs w:val="24"/>
          <w:lang w:val="en-GB"/>
        </w:rPr>
      </w:pPr>
      <w:r w:rsidRPr="00636E2E">
        <w:rPr>
          <w:rStyle w:val="Heading4Char"/>
          <w:rFonts w:cstheme="majorHAnsi"/>
          <w:sz w:val="24"/>
          <w:lang w:val="en-GB"/>
        </w:rPr>
        <w:t>Lesson Four</w:t>
      </w:r>
      <w:r w:rsidR="002A7B09" w:rsidRPr="00636E2E">
        <w:rPr>
          <w:rFonts w:asciiTheme="majorHAnsi" w:eastAsia="Calibri Light" w:hAnsiTheme="majorHAnsi" w:cstheme="majorHAnsi"/>
          <w:szCs w:val="24"/>
          <w:lang w:val="en-GB"/>
        </w:rPr>
        <w:br/>
      </w:r>
      <w:r w:rsidRPr="00636E2E">
        <w:rPr>
          <w:rFonts w:asciiTheme="majorHAnsi" w:eastAsia="Calibri Light" w:hAnsiTheme="majorHAnsi" w:cstheme="majorHAnsi"/>
          <w:sz w:val="24"/>
          <w:szCs w:val="24"/>
          <w:lang w:val="en-GB"/>
        </w:rPr>
        <w:t>The fourth lesson would allow students to conduct a practical experiment. Students will be supported throughout, but the focus is on developing independent thinking and investigation skills.</w:t>
      </w:r>
    </w:p>
    <w:p w14:paraId="72D8CE4E" w14:textId="47A2F0CB" w:rsidR="18F8DFA7" w:rsidRPr="00636E2E" w:rsidRDefault="18F8DFA7" w:rsidP="002A7B09">
      <w:pPr>
        <w:spacing w:line="480" w:lineRule="auto"/>
        <w:rPr>
          <w:rStyle w:val="Heading3Char"/>
          <w:rFonts w:eastAsia="Calibri Light" w:cstheme="majorHAnsi"/>
          <w:color w:val="auto"/>
          <w:sz w:val="22"/>
          <w:lang w:val="en-GB"/>
        </w:rPr>
      </w:pPr>
      <w:r w:rsidRPr="00636E2E">
        <w:rPr>
          <w:rStyle w:val="Heading4Char"/>
          <w:rFonts w:cstheme="majorHAnsi"/>
          <w:sz w:val="24"/>
          <w:lang w:val="en-GB"/>
        </w:rPr>
        <w:t>Further Lessons</w:t>
      </w:r>
      <w:r w:rsidR="002A7B09" w:rsidRPr="00636E2E">
        <w:rPr>
          <w:rFonts w:asciiTheme="majorHAnsi" w:eastAsia="Calibri Light" w:hAnsiTheme="majorHAnsi" w:cstheme="majorHAnsi"/>
          <w:szCs w:val="24"/>
          <w:lang w:val="en-GB"/>
        </w:rPr>
        <w:br/>
      </w:r>
      <w:r w:rsidRPr="00636E2E">
        <w:rPr>
          <w:rFonts w:asciiTheme="majorHAnsi" w:eastAsia="Calibri Light" w:hAnsiTheme="majorHAnsi" w:cstheme="majorHAnsi"/>
          <w:sz w:val="24"/>
          <w:szCs w:val="24"/>
          <w:lang w:val="en-GB"/>
        </w:rPr>
        <w:t xml:space="preserve">Any further lessons on the topic might support students writing up the results of their experiment or allow them to re-draft their plan using their own, peers’ or teacher’s feedback and try again according to the model proposed by Allison &amp; Tharby (2015). </w:t>
      </w:r>
    </w:p>
    <w:p w14:paraId="7154CA33" w14:textId="43D17A27" w:rsidR="00A41BFF" w:rsidRPr="00636E2E" w:rsidRDefault="18F8DFA7" w:rsidP="002A7B09">
      <w:pPr>
        <w:spacing w:line="480" w:lineRule="auto"/>
        <w:rPr>
          <w:rStyle w:val="Heading3Char"/>
          <w:rFonts w:cstheme="majorHAnsi"/>
          <w:color w:val="auto"/>
          <w:lang w:val="en-GB"/>
        </w:rPr>
      </w:pPr>
      <w:bookmarkStart w:id="5" w:name="_Toc531031905"/>
      <w:r w:rsidRPr="00636E2E">
        <w:rPr>
          <w:rStyle w:val="Heading3Char"/>
          <w:rFonts w:cstheme="majorHAnsi"/>
          <w:lang w:val="en-GB"/>
        </w:rPr>
        <w:t>The Micro-Teaching Episode</w:t>
      </w:r>
      <w:bookmarkEnd w:id="5"/>
    </w:p>
    <w:p w14:paraId="5E2DEE06" w14:textId="35907150" w:rsidR="00A44C43" w:rsidRPr="00636E2E" w:rsidRDefault="00395344" w:rsidP="002A7B09">
      <w:pPr>
        <w:spacing w:line="480" w:lineRule="auto"/>
        <w:rPr>
          <w:rStyle w:val="Heading3Char"/>
          <w:rFonts w:cstheme="majorHAnsi"/>
          <w:lang w:val="en-GB"/>
        </w:rPr>
      </w:pPr>
      <w:bookmarkStart w:id="6" w:name="_Toc531031906"/>
      <w:r w:rsidRPr="00636E2E">
        <w:rPr>
          <w:rStyle w:val="Heading3Char"/>
          <w:rFonts w:cstheme="majorHAnsi"/>
          <w:lang w:val="en-GB"/>
        </w:rPr>
        <w:t>Theories of Teaching &amp; Learning</w:t>
      </w:r>
      <w:r w:rsidR="002A7B09" w:rsidRPr="00636E2E">
        <w:rPr>
          <w:rStyle w:val="Heading3Char"/>
          <w:rFonts w:cstheme="majorHAnsi"/>
          <w:lang w:val="en-GB"/>
        </w:rPr>
        <w:br/>
      </w:r>
      <w:r w:rsidR="00A44C43" w:rsidRPr="00636E2E">
        <w:rPr>
          <w:rStyle w:val="Heading3Char"/>
          <w:rFonts w:cstheme="majorHAnsi"/>
          <w:color w:val="000000" w:themeColor="text1"/>
          <w:lang w:val="en-GB"/>
        </w:rPr>
        <w:t>Some aspects of the lesson were behaviourist, more in line with the work of Skinner (</w:t>
      </w:r>
      <w:r w:rsidR="00CC2289" w:rsidRPr="00636E2E">
        <w:rPr>
          <w:rStyle w:val="Heading3Char"/>
          <w:rFonts w:cstheme="majorHAnsi"/>
          <w:color w:val="000000" w:themeColor="text1"/>
          <w:lang w:val="en-GB"/>
        </w:rPr>
        <w:t>195</w:t>
      </w:r>
      <w:r w:rsidR="00E47A72">
        <w:rPr>
          <w:rStyle w:val="Heading3Char"/>
          <w:rFonts w:cstheme="majorHAnsi"/>
          <w:color w:val="000000" w:themeColor="text1"/>
          <w:lang w:val="en-GB"/>
        </w:rPr>
        <w:t>7</w:t>
      </w:r>
      <w:r w:rsidR="00A44C43" w:rsidRPr="00636E2E">
        <w:rPr>
          <w:rStyle w:val="Heading3Char"/>
          <w:rFonts w:cstheme="majorHAnsi"/>
          <w:color w:val="000000" w:themeColor="text1"/>
          <w:lang w:val="en-GB"/>
        </w:rPr>
        <w:t xml:space="preserve">). For example, I used a Buddhist bell to gain everyone’s attention when I wanted to end the task. I found this to be effective as everyone wanted to know the source of the noise and promptly returned to their seats. </w:t>
      </w:r>
      <w:bookmarkEnd w:id="6"/>
    </w:p>
    <w:p w14:paraId="231148C1" w14:textId="696CBAB3" w:rsidR="00A44C43" w:rsidRPr="00636E2E" w:rsidRDefault="00A44C43" w:rsidP="002A7B09">
      <w:pPr>
        <w:spacing w:line="480" w:lineRule="auto"/>
        <w:jc w:val="both"/>
        <w:rPr>
          <w:rStyle w:val="Heading3Char"/>
          <w:rFonts w:cstheme="majorHAnsi"/>
          <w:color w:val="000000" w:themeColor="text1"/>
          <w:lang w:val="en-GB"/>
        </w:rPr>
      </w:pPr>
      <w:bookmarkStart w:id="7" w:name="_Toc531031907"/>
      <w:r w:rsidRPr="00636E2E">
        <w:rPr>
          <w:rStyle w:val="Heading3Char"/>
          <w:rFonts w:cstheme="majorHAnsi"/>
          <w:color w:val="000000" w:themeColor="text1"/>
          <w:lang w:val="en-GB"/>
        </w:rPr>
        <w:t xml:space="preserve">In terms of my own philosophy on learning, I am more aligned with the metaphor of gardening (Mintz, 2018). The role of the teacher is to ensure that child receives the inputs required, the teacher can’t learn for the child. </w:t>
      </w:r>
      <w:r w:rsidR="009C5EBC" w:rsidRPr="00636E2E">
        <w:rPr>
          <w:rStyle w:val="Heading3Char"/>
          <w:rFonts w:cstheme="majorHAnsi"/>
          <w:color w:val="000000" w:themeColor="text1"/>
          <w:lang w:val="en-GB"/>
        </w:rPr>
        <w:t xml:space="preserve">I am also sceptical about the </w:t>
      </w:r>
      <w:r w:rsidR="00FD1E53" w:rsidRPr="00636E2E">
        <w:rPr>
          <w:rStyle w:val="Heading3Char"/>
          <w:rFonts w:cstheme="majorHAnsi"/>
          <w:color w:val="000000" w:themeColor="text1"/>
          <w:lang w:val="en-GB"/>
        </w:rPr>
        <w:t>potential for learning at schools with a low teacher-student ratio. Bloom (</w:t>
      </w:r>
      <w:r w:rsidR="009318AD" w:rsidRPr="00636E2E">
        <w:rPr>
          <w:rStyle w:val="Heading3Char"/>
          <w:rFonts w:cstheme="majorHAnsi"/>
          <w:color w:val="000000" w:themeColor="text1"/>
          <w:lang w:val="en-GB"/>
        </w:rPr>
        <w:t xml:space="preserve">1984) highlighted this “2-sigma problem”, as </w:t>
      </w:r>
      <w:r w:rsidR="00506E1B">
        <w:rPr>
          <w:rStyle w:val="Heading3Char"/>
          <w:rFonts w:cstheme="majorHAnsi"/>
          <w:color w:val="000000" w:themeColor="text1"/>
          <w:lang w:val="en-GB"/>
        </w:rPr>
        <w:t>one-one</w:t>
      </w:r>
      <w:r w:rsidR="009318AD" w:rsidRPr="00636E2E">
        <w:rPr>
          <w:rStyle w:val="Heading3Char"/>
          <w:rFonts w:cstheme="majorHAnsi"/>
          <w:color w:val="000000" w:themeColor="text1"/>
          <w:lang w:val="en-GB"/>
        </w:rPr>
        <w:t xml:space="preserve"> instruction was much more effective than classroom teaching.</w:t>
      </w:r>
      <w:r w:rsidR="008A7F08" w:rsidRPr="00636E2E">
        <w:rPr>
          <w:rStyle w:val="Heading3Char"/>
          <w:rFonts w:cstheme="majorHAnsi"/>
          <w:color w:val="000000" w:themeColor="text1"/>
          <w:lang w:val="en-GB"/>
        </w:rPr>
        <w:t xml:space="preserve"> </w:t>
      </w:r>
      <w:r w:rsidR="008A7F08" w:rsidRPr="00636E2E">
        <w:rPr>
          <w:rStyle w:val="Heading3Char"/>
          <w:rFonts w:cstheme="majorHAnsi"/>
          <w:color w:val="000000" w:themeColor="text1"/>
          <w:lang w:val="en-GB"/>
        </w:rPr>
        <w:t>It has</w:t>
      </w:r>
      <w:r w:rsidR="008A7F08" w:rsidRPr="00636E2E">
        <w:rPr>
          <w:rStyle w:val="Heading3Char"/>
          <w:rFonts w:cstheme="majorHAnsi"/>
          <w:color w:val="000000" w:themeColor="text1"/>
          <w:lang w:val="en-GB"/>
        </w:rPr>
        <w:t xml:space="preserve"> also</w:t>
      </w:r>
      <w:r w:rsidR="008A7F08" w:rsidRPr="00636E2E">
        <w:rPr>
          <w:rStyle w:val="Heading3Char"/>
          <w:rFonts w:cstheme="majorHAnsi"/>
          <w:color w:val="000000" w:themeColor="text1"/>
          <w:lang w:val="en-GB"/>
        </w:rPr>
        <w:t xml:space="preserve"> been suggested that activities with limited guidance will result in minimal gains in student learning (Kirschner, Sweller &amp; Clark, 2006).</w:t>
      </w:r>
      <w:bookmarkEnd w:id="7"/>
    </w:p>
    <w:p w14:paraId="427F65C8" w14:textId="319EFE86" w:rsidR="006607C5" w:rsidRPr="00636E2E" w:rsidRDefault="006607C5" w:rsidP="002A7B09">
      <w:pPr>
        <w:pStyle w:val="Heading3"/>
        <w:spacing w:line="480" w:lineRule="auto"/>
        <w:rPr>
          <w:lang w:val="en-GB"/>
        </w:rPr>
      </w:pPr>
      <w:bookmarkStart w:id="8" w:name="_Toc531031909"/>
      <w:r w:rsidRPr="00636E2E">
        <w:rPr>
          <w:lang w:val="en-GB"/>
        </w:rPr>
        <w:t>Behaviour Management</w:t>
      </w:r>
      <w:bookmarkEnd w:id="8"/>
    </w:p>
    <w:p w14:paraId="3B9725D5" w14:textId="20E852C9" w:rsidR="006607C5" w:rsidRPr="00636E2E" w:rsidRDefault="006607C5" w:rsidP="002A7B09">
      <w:pPr>
        <w:spacing w:line="480" w:lineRule="auto"/>
        <w:jc w:val="both"/>
        <w:rPr>
          <w:rFonts w:ascii="Calibri Light" w:hAnsi="Calibri Light" w:cs="Calibri Light"/>
          <w:lang w:val="en-GB"/>
        </w:rPr>
      </w:pPr>
      <w:r w:rsidRPr="00636E2E">
        <w:rPr>
          <w:rFonts w:ascii="Calibri Light" w:hAnsi="Calibri Light" w:cs="Calibri Light"/>
          <w:lang w:val="en-GB"/>
        </w:rPr>
        <w:t>The main behaviour problem was disengagement from some members of the class, in part this was due to students not understanding the task, or unclear instructions on the part of the teacher.</w:t>
      </w:r>
    </w:p>
    <w:p w14:paraId="638B1192" w14:textId="3F5F34F5" w:rsidR="18F8DFA7" w:rsidRPr="00636E2E" w:rsidRDefault="18F8DFA7" w:rsidP="002A7B09">
      <w:pPr>
        <w:pStyle w:val="Heading3"/>
        <w:spacing w:line="480" w:lineRule="auto"/>
        <w:rPr>
          <w:lang w:val="en-GB"/>
        </w:rPr>
      </w:pPr>
      <w:bookmarkStart w:id="9" w:name="_Toc531031910"/>
      <w:r w:rsidRPr="00636E2E">
        <w:rPr>
          <w:lang w:val="en-GB"/>
        </w:rPr>
        <w:t>The Resource Package</w:t>
      </w:r>
      <w:bookmarkEnd w:id="9"/>
    </w:p>
    <w:p w14:paraId="63D40895" w14:textId="2660A3AD" w:rsidR="00273A89" w:rsidRPr="00636E2E" w:rsidRDefault="18F8DFA7" w:rsidP="002A7B09">
      <w:pPr>
        <w:spacing w:line="480" w:lineRule="auto"/>
        <w:jc w:val="both"/>
        <w:rPr>
          <w:rFonts w:ascii="Calibri Light" w:eastAsia="Calibri Light" w:hAnsi="Calibri Light" w:cs="Calibri Light"/>
          <w:lang w:val="en-GB"/>
        </w:rPr>
      </w:pPr>
      <w:r w:rsidRPr="00636E2E">
        <w:rPr>
          <w:rFonts w:ascii="Calibri Light" w:eastAsia="Calibri Light" w:hAnsi="Calibri Light" w:cs="Calibri Light"/>
          <w:lang w:val="en-GB"/>
        </w:rPr>
        <w:t xml:space="preserve">The resource package includes the PowerPoint presentation, the maps given to students, and the articles given to students to practice comprehension; I also accessed google maps during the plenary. The presentation was designed to support the whiteboard activity, providing images and questions, in addition to reviewing content in other national curriculum areas. The map was printed from google maps and should correspond to the map that was used on the board during the plenary. Text on the information sheets was gathered from a range of sources, from KS3 revision notes to newspaper articles. The challenge for the students was to pick out the key points to try and locate the power stations on the map of wales. </w:t>
      </w:r>
    </w:p>
    <w:p w14:paraId="5D20A028" w14:textId="24BDE4A8" w:rsidR="18F8DFA7" w:rsidRPr="004B6B75" w:rsidRDefault="00710BA7" w:rsidP="002A7B09">
      <w:pPr>
        <w:spacing w:line="480" w:lineRule="auto"/>
        <w:jc w:val="both"/>
        <w:rPr>
          <w:rFonts w:asciiTheme="majorHAnsi" w:eastAsia="Calibri Light" w:hAnsiTheme="majorHAnsi" w:cstheme="majorHAnsi"/>
          <w:lang w:val="en-GB"/>
        </w:rPr>
      </w:pPr>
      <w:r w:rsidRPr="00636E2E">
        <w:rPr>
          <w:rFonts w:ascii="Calibri Light" w:eastAsia="Calibri Light" w:hAnsi="Calibri Light" w:cs="Calibri Light"/>
          <w:lang w:val="en-GB"/>
        </w:rPr>
        <w:t>The task would have been quite challenging for students in Year 9. I found it difficult to pitch the micro-teaching lesson as I was teaching my peers, so I provided materials that were more difficult than I might</w:t>
      </w:r>
      <w:r w:rsidRPr="00636E2E">
        <w:rPr>
          <w:rFonts w:asciiTheme="majorHAnsi" w:eastAsia="Calibri Light" w:hAnsiTheme="majorHAnsi" w:cstheme="majorHAnsi"/>
          <w:lang w:val="en-GB"/>
        </w:rPr>
        <w:t xml:space="preserve"> have for a KS3 class. Having said that, I would probably keep the same materials again to maintain high expectations of pupils, and as discussed provide a mid-level document that requires lower comprehension ability to make sure the students pick out the key points.</w:t>
      </w:r>
      <w:r w:rsidR="00273A89" w:rsidRPr="00636E2E">
        <w:rPr>
          <w:rFonts w:asciiTheme="majorHAnsi" w:hAnsiTheme="majorHAnsi" w:cstheme="majorHAnsi"/>
          <w:lang w:val="en-GB"/>
        </w:rPr>
        <w:t xml:space="preserve"> </w:t>
      </w:r>
      <w:r w:rsidR="18F8DFA7" w:rsidRPr="00636E2E">
        <w:rPr>
          <w:rFonts w:asciiTheme="majorHAnsi" w:hAnsiTheme="majorHAnsi" w:cstheme="majorHAnsi"/>
          <w:noProof/>
          <w:lang w:val="en-GB"/>
        </w:rPr>
        <w:drawing>
          <wp:anchor distT="0" distB="0" distL="114300" distR="114300" simplePos="0" relativeHeight="251660288" behindDoc="0" locked="0" layoutInCell="1" allowOverlap="1" wp14:anchorId="09D81832" wp14:editId="785C7377">
            <wp:simplePos x="914400" y="2381250"/>
            <wp:positionH relativeFrom="margin">
              <wp:align>left</wp:align>
            </wp:positionH>
            <wp:positionV relativeFrom="margin">
              <wp:align>center</wp:align>
            </wp:positionV>
            <wp:extent cx="2338791" cy="3331216"/>
            <wp:effectExtent l="0" t="0" r="4445" b="2540"/>
            <wp:wrapSquare wrapText="bothSides"/>
            <wp:docPr id="52509657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tretch>
                      <a:fillRect/>
                    </a:stretch>
                  </pic:blipFill>
                  <pic:spPr>
                    <a:xfrm>
                      <a:off x="0" y="0"/>
                      <a:ext cx="2338791" cy="3331216"/>
                    </a:xfrm>
                    <a:prstGeom prst="rect">
                      <a:avLst/>
                    </a:prstGeom>
                  </pic:spPr>
                </pic:pic>
              </a:graphicData>
            </a:graphic>
          </wp:anchor>
        </w:drawing>
      </w:r>
    </w:p>
    <w:p w14:paraId="5C506483" w14:textId="23F9C37F" w:rsidR="00787E0B" w:rsidRPr="00636E2E" w:rsidRDefault="004B6B75" w:rsidP="002A7B09">
      <w:pPr>
        <w:spacing w:line="480" w:lineRule="auto"/>
        <w:jc w:val="both"/>
        <w:rPr>
          <w:rFonts w:asciiTheme="majorHAnsi" w:eastAsia="Calibri Light" w:hAnsiTheme="majorHAnsi" w:cstheme="majorHAnsi"/>
          <w:sz w:val="24"/>
          <w:szCs w:val="24"/>
          <w:lang w:val="en-GB"/>
        </w:rPr>
      </w:pPr>
      <w:r w:rsidRPr="00636E2E">
        <w:rPr>
          <w:noProof/>
          <w:lang w:val="en-GB"/>
        </w:rPr>
        <mc:AlternateContent>
          <mc:Choice Requires="wps">
            <w:drawing>
              <wp:anchor distT="0" distB="0" distL="114300" distR="114300" simplePos="0" relativeHeight="251662336" behindDoc="0" locked="0" layoutInCell="1" allowOverlap="1" wp14:anchorId="4B344BB4" wp14:editId="3FCD9709">
                <wp:simplePos x="0" y="0"/>
                <wp:positionH relativeFrom="margin">
                  <wp:align>left</wp:align>
                </wp:positionH>
                <wp:positionV relativeFrom="paragraph">
                  <wp:posOffset>1517308</wp:posOffset>
                </wp:positionV>
                <wp:extent cx="2338705" cy="635"/>
                <wp:effectExtent l="0" t="0" r="4445" b="0"/>
                <wp:wrapSquare wrapText="bothSides"/>
                <wp:docPr id="2" name="Text Box 2"/>
                <wp:cNvGraphicFramePr/>
                <a:graphic xmlns:a="http://schemas.openxmlformats.org/drawingml/2006/main">
                  <a:graphicData uri="http://schemas.microsoft.com/office/word/2010/wordprocessingShape">
                    <wps:wsp>
                      <wps:cNvSpPr txBox="1"/>
                      <wps:spPr>
                        <a:xfrm>
                          <a:off x="0" y="0"/>
                          <a:ext cx="2338705" cy="635"/>
                        </a:xfrm>
                        <a:prstGeom prst="rect">
                          <a:avLst/>
                        </a:prstGeom>
                        <a:solidFill>
                          <a:prstClr val="white"/>
                        </a:solidFill>
                        <a:ln>
                          <a:noFill/>
                        </a:ln>
                      </wps:spPr>
                      <wps:txbx>
                        <w:txbxContent>
                          <w:p w14:paraId="45244BC6" w14:textId="21DF20C3" w:rsidR="00A41BFF" w:rsidRPr="00297C89" w:rsidRDefault="00A41BFF" w:rsidP="00A41BFF">
                            <w:pPr>
                              <w:pStyle w:val="Caption"/>
                              <w:rPr>
                                <w:rFonts w:asciiTheme="majorHAnsi" w:hAnsiTheme="majorHAnsi" w:cstheme="majorHAnsi"/>
                                <w:noProof/>
                              </w:rPr>
                            </w:pPr>
                            <w:r>
                              <w:t xml:space="preserve">Figure </w:t>
                            </w:r>
                            <w:r>
                              <w:fldChar w:fldCharType="begin"/>
                            </w:r>
                            <w:r>
                              <w:instrText xml:space="preserve"> SEQ Figure \* ARABIC </w:instrText>
                            </w:r>
                            <w:r>
                              <w:fldChar w:fldCharType="separate"/>
                            </w:r>
                            <w:r>
                              <w:rPr>
                                <w:noProof/>
                              </w:rPr>
                              <w:t>1</w:t>
                            </w:r>
                            <w:r>
                              <w:fldChar w:fldCharType="end"/>
                            </w:r>
                            <w:r>
                              <w:t>: Example of pupil 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B344BB4" id="_x0000_t202" coordsize="21600,21600" o:spt="202" path="m,l,21600r21600,l21600,xe">
                <v:stroke joinstyle="miter"/>
                <v:path gradientshapeok="t" o:connecttype="rect"/>
              </v:shapetype>
              <v:shape id="Text Box 2" o:spid="_x0000_s1026" type="#_x0000_t202" style="position:absolute;left:0;text-align:left;margin-left:0;margin-top:119.45pt;width:184.15pt;height:.05pt;z-index:2516623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" stroked="f">
                <v:textbox style="mso-fit-shape-to-text:t" inset="0,0,0,0">
                  <w:txbxContent>
                    <w:p w14:paraId="45244BC6" w14:textId="21DF20C3" w:rsidR="00A41BFF" w:rsidRPr="00297C89" w:rsidRDefault="00A41BFF" w:rsidP="00A41BFF">
                      <w:pPr>
                        <w:pStyle w:val="Caption"/>
                        <w:rPr>
                          <w:rFonts w:asciiTheme="majorHAnsi" w:hAnsiTheme="majorHAnsi" w:cstheme="majorHAnsi"/>
                          <w:noProof/>
                        </w:rPr>
                      </w:pPr>
                      <w:r>
                        <w:t xml:space="preserve">Figure </w:t>
                      </w:r>
                      <w:r>
                        <w:fldChar w:fldCharType="begin"/>
                      </w:r>
                      <w:r>
                        <w:instrText xml:space="preserve"> SEQ Figure \* ARABIC </w:instrText>
                      </w:r>
                      <w:r>
                        <w:fldChar w:fldCharType="separate"/>
                      </w:r>
                      <w:r>
                        <w:rPr>
                          <w:noProof/>
                        </w:rPr>
                        <w:t>1</w:t>
                      </w:r>
                      <w:r>
                        <w:fldChar w:fldCharType="end"/>
                      </w:r>
                      <w:r>
                        <w:t>: Example of pupil work.</w:t>
                      </w:r>
                    </w:p>
                  </w:txbxContent>
                </v:textbox>
                <w10:wrap type="square" anchorx="margin"/>
              </v:shape>
            </w:pict>
          </mc:Fallback>
        </mc:AlternateContent>
      </w:r>
      <w:r w:rsidR="18F8DFA7" w:rsidRPr="00636E2E">
        <w:rPr>
          <w:rFonts w:asciiTheme="majorHAnsi" w:eastAsia="Calibri Light" w:hAnsiTheme="majorHAnsi" w:cstheme="majorHAnsi"/>
          <w:sz w:val="24"/>
          <w:szCs w:val="24"/>
          <w:lang w:val="en-GB"/>
        </w:rPr>
        <w:t>Figure 1 shows an example of pupil work generated during the MTE. The student has located several power stations on the map of Wales and has noted some key information which may indicate new learning for that student. A comment received by many students during the MTE was confusion with regards to the instructions given, despite leaving the instructions on the board. This may indicate that more support should be provided, for example, modifying the map to include instructions at the top, and clearly indicating the location of the power stations in the materials of the resource package</w:t>
      </w:r>
      <w:r w:rsidR="00787E0B" w:rsidRPr="00636E2E">
        <w:rPr>
          <w:rFonts w:asciiTheme="majorHAnsi" w:eastAsia="Calibri Light" w:hAnsiTheme="majorHAnsi" w:cstheme="majorHAnsi"/>
          <w:sz w:val="24"/>
          <w:szCs w:val="24"/>
          <w:lang w:val="en-GB"/>
        </w:rPr>
        <w:t>.</w:t>
      </w:r>
    </w:p>
    <w:p w14:paraId="16BE42CE" w14:textId="63AF9312" w:rsidR="18F8DFA7" w:rsidRPr="00636E2E" w:rsidRDefault="18F8DFA7" w:rsidP="00506E1B">
      <w:pPr>
        <w:pStyle w:val="Heading2"/>
        <w:rPr>
          <w:rFonts w:eastAsia="Calibri Light"/>
          <w:lang w:val="en-GB"/>
        </w:rPr>
      </w:pPr>
      <w:r w:rsidRPr="00636E2E">
        <w:rPr>
          <w:rFonts w:eastAsia="Calibri Light"/>
          <w:lang w:val="en-GB"/>
        </w:rPr>
        <w:t>Teaching and Learning</w:t>
      </w:r>
    </w:p>
    <w:p w14:paraId="61A9F94C" w14:textId="199F67D6" w:rsidR="009632D5" w:rsidRPr="00636E2E" w:rsidRDefault="009632D5" w:rsidP="002A7B09">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The group task was designed so that students</w:t>
      </w:r>
      <w:r w:rsidR="00BD605C" w:rsidRPr="00636E2E">
        <w:rPr>
          <w:rFonts w:asciiTheme="majorHAnsi" w:eastAsia="Calibri Light" w:hAnsiTheme="majorHAnsi" w:cstheme="majorHAnsi"/>
          <w:sz w:val="24"/>
          <w:szCs w:val="24"/>
          <w:lang w:val="en-GB"/>
        </w:rPr>
        <w:t>, as peers,</w:t>
      </w:r>
      <w:r w:rsidRPr="00636E2E">
        <w:rPr>
          <w:rFonts w:asciiTheme="majorHAnsi" w:eastAsia="Calibri Light" w:hAnsiTheme="majorHAnsi" w:cstheme="majorHAnsi"/>
          <w:sz w:val="24"/>
          <w:szCs w:val="24"/>
          <w:lang w:val="en-GB"/>
        </w:rPr>
        <w:t xml:space="preserve"> would help each other </w:t>
      </w:r>
      <w:r w:rsidR="00BD605C" w:rsidRPr="00636E2E">
        <w:rPr>
          <w:rFonts w:asciiTheme="majorHAnsi" w:eastAsia="Calibri Light" w:hAnsiTheme="majorHAnsi" w:cstheme="majorHAnsi"/>
          <w:sz w:val="24"/>
          <w:szCs w:val="24"/>
          <w:lang w:val="en-GB"/>
        </w:rPr>
        <w:t>move through the zone of proximal development</w:t>
      </w:r>
      <w:r w:rsidRPr="00636E2E">
        <w:rPr>
          <w:rFonts w:asciiTheme="majorHAnsi" w:eastAsia="Calibri Light" w:hAnsiTheme="majorHAnsi" w:cstheme="majorHAnsi"/>
          <w:sz w:val="24"/>
          <w:szCs w:val="24"/>
          <w:lang w:val="en-GB"/>
        </w:rPr>
        <w:t xml:space="preserve"> </w:t>
      </w:r>
      <w:r w:rsidRPr="00636E2E">
        <w:rPr>
          <w:rFonts w:asciiTheme="majorHAnsi" w:eastAsia="Calibri Light" w:hAnsiTheme="majorHAnsi" w:cstheme="majorHAnsi"/>
          <w:sz w:val="24"/>
          <w:szCs w:val="24"/>
          <w:lang w:val="en-GB"/>
        </w:rPr>
        <w:t>(Fernández, Manual et al.</w:t>
      </w:r>
      <w:r w:rsidR="004B6B75">
        <w:rPr>
          <w:rFonts w:asciiTheme="majorHAnsi" w:eastAsia="Calibri Light" w:hAnsiTheme="majorHAnsi" w:cstheme="majorHAnsi"/>
          <w:sz w:val="24"/>
          <w:szCs w:val="24"/>
          <w:lang w:val="en-GB"/>
        </w:rPr>
        <w:t xml:space="preserve">, </w:t>
      </w:r>
      <w:r w:rsidRPr="00636E2E">
        <w:rPr>
          <w:rFonts w:asciiTheme="majorHAnsi" w:eastAsia="Calibri Light" w:hAnsiTheme="majorHAnsi" w:cstheme="majorHAnsi"/>
          <w:sz w:val="24"/>
          <w:szCs w:val="24"/>
          <w:lang w:val="en-GB"/>
        </w:rPr>
        <w:t>2015)</w:t>
      </w:r>
      <w:r w:rsidRPr="00636E2E">
        <w:rPr>
          <w:rFonts w:asciiTheme="majorHAnsi" w:eastAsia="Calibri Light" w:hAnsiTheme="majorHAnsi" w:cstheme="majorHAnsi"/>
          <w:sz w:val="24"/>
          <w:szCs w:val="24"/>
          <w:lang w:val="en-GB"/>
        </w:rPr>
        <w:t xml:space="preserve">. </w:t>
      </w:r>
    </w:p>
    <w:p w14:paraId="3467D9F1" w14:textId="3E4B23F7" w:rsidR="00573787" w:rsidRPr="00636E2E" w:rsidRDefault="005141AB" w:rsidP="002A7B09">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During the group task I walked around the room and talked to all the students. My goal was to use each of the student’s names. I think I was just short of missing this goal, but I did talk to each student individually to make sure they were on task and to ask them what they thought were the key points.</w:t>
      </w:r>
      <w:r w:rsidR="00573787" w:rsidRPr="00636E2E">
        <w:rPr>
          <w:rFonts w:asciiTheme="majorHAnsi" w:eastAsia="Calibri Light" w:hAnsiTheme="majorHAnsi" w:cstheme="majorHAnsi"/>
          <w:sz w:val="24"/>
          <w:szCs w:val="24"/>
          <w:lang w:val="en-GB"/>
        </w:rPr>
        <w:t xml:space="preserve"> I would have liked to interact with the pupils more during the group task, but I was trying to sort out the IT issue. Having abandoned the digital mapping task, I then dedicated my time to walking around the room</w:t>
      </w:r>
    </w:p>
    <w:p w14:paraId="333989D8" w14:textId="5C4A1084" w:rsidR="00A86866" w:rsidRPr="00636E2E" w:rsidRDefault="00A86866" w:rsidP="002A7B09">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I did not give any written feedback, and verbal feedback was limited. In general, I noted that the learning objectives would be extended to next lesson to look at the issues in more depth.</w:t>
      </w:r>
    </w:p>
    <w:p w14:paraId="103BF175" w14:textId="072358C4" w:rsidR="003F75BB" w:rsidRPr="00636E2E" w:rsidRDefault="004B6B75" w:rsidP="002A7B09">
      <w:pPr>
        <w:spacing w:line="480" w:lineRule="auto"/>
        <w:jc w:val="both"/>
        <w:rPr>
          <w:rFonts w:asciiTheme="majorHAnsi" w:eastAsia="Calibri Light" w:hAnsiTheme="majorHAnsi" w:cstheme="majorHAnsi"/>
          <w:sz w:val="24"/>
          <w:szCs w:val="24"/>
          <w:lang w:val="en-GB"/>
        </w:rPr>
      </w:pPr>
      <w:r>
        <w:rPr>
          <w:rFonts w:asciiTheme="majorHAnsi" w:eastAsia="Calibri Light" w:hAnsiTheme="majorHAnsi" w:cstheme="majorHAnsi"/>
          <w:sz w:val="24"/>
          <w:szCs w:val="24"/>
          <w:lang w:val="en-GB"/>
        </w:rPr>
        <w:t xml:space="preserve">I </w:t>
      </w:r>
      <w:r w:rsidR="003F75BB" w:rsidRPr="00636E2E">
        <w:rPr>
          <w:rFonts w:asciiTheme="majorHAnsi" w:eastAsia="Calibri Light" w:hAnsiTheme="majorHAnsi" w:cstheme="majorHAnsi"/>
          <w:sz w:val="24"/>
          <w:szCs w:val="24"/>
          <w:lang w:val="en-GB"/>
        </w:rPr>
        <w:t>thought that I had overrun on time so by the end I was rushing, and that meant that the plenary was not as effective as it should have been. I need to work on pace, and not worrying about time – because that makes me talk faster and then it is more difficult for students to understand me.</w:t>
      </w:r>
    </w:p>
    <w:p w14:paraId="32CF7249" w14:textId="2C566305" w:rsidR="00AF572C" w:rsidRPr="00636E2E" w:rsidRDefault="00AF572C" w:rsidP="002A7B09">
      <w:pPr>
        <w:pStyle w:val="Heading3"/>
        <w:spacing w:line="480" w:lineRule="auto"/>
        <w:rPr>
          <w:rFonts w:eastAsia="Calibri Light"/>
          <w:lang w:val="en-GB"/>
        </w:rPr>
      </w:pPr>
      <w:bookmarkStart w:id="10" w:name="_Toc531031911"/>
      <w:r w:rsidRPr="00636E2E">
        <w:rPr>
          <w:rFonts w:eastAsia="Calibri Light"/>
          <w:lang w:val="en-GB"/>
        </w:rPr>
        <w:t>Assessment for Learning</w:t>
      </w:r>
      <w:bookmarkEnd w:id="10"/>
    </w:p>
    <w:p w14:paraId="0FD4DE27" w14:textId="6002243A" w:rsidR="18F8DFA7" w:rsidRPr="00636E2E" w:rsidRDefault="18F8DFA7" w:rsidP="002A7B09">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 xml:space="preserve">Black and Wiliam’s 1998 paper ‘Inside the black box’ asserted that the application of AFL techniques can increase attainment at GCSE by one or two grades. It does this by involving students in their own learning, thus increasing their self-esteem and motivation. The starter activity in the MTE is considered an AFL activity. Using mini-whiteboards allows the teacher to see the potential misconceptions of students in real-time. Many different strategies for AFL exist, and can be adapted to the subject and the students. </w:t>
      </w:r>
    </w:p>
    <w:p w14:paraId="53ECAC79" w14:textId="6898C014" w:rsidR="18F8DFA7" w:rsidRPr="00636E2E" w:rsidRDefault="18F8DFA7" w:rsidP="002A7B09">
      <w:pPr>
        <w:spacing w:line="480" w:lineRule="auto"/>
        <w:jc w:val="both"/>
        <w:rPr>
          <w:rFonts w:asciiTheme="majorHAnsi" w:hAnsiTheme="majorHAnsi" w:cstheme="majorHAnsi"/>
          <w:lang w:val="en-GB"/>
        </w:rPr>
      </w:pPr>
      <w:r w:rsidRPr="00636E2E">
        <w:rPr>
          <w:rFonts w:asciiTheme="majorHAnsi" w:eastAsia="Calibri Light" w:hAnsiTheme="majorHAnsi" w:cstheme="majorHAnsi"/>
          <w:sz w:val="24"/>
          <w:szCs w:val="24"/>
          <w:lang w:val="en-GB"/>
        </w:rPr>
        <w:t>The activity was also designed to allow students some physical movement around the room after hours of sitting in one place, an aspect which was positively commented on after the session. The task also allowed students to work in groups, and therefore might be classed as a social constructivist pedagogy (</w:t>
      </w:r>
      <w:bookmarkStart w:id="11" w:name="_GoBack"/>
      <w:r w:rsidRPr="00636E2E">
        <w:rPr>
          <w:rFonts w:asciiTheme="majorHAnsi" w:eastAsia="Calibri Light" w:hAnsiTheme="majorHAnsi" w:cstheme="majorHAnsi"/>
          <w:sz w:val="24"/>
          <w:szCs w:val="24"/>
          <w:lang w:val="en-GB"/>
        </w:rPr>
        <w:t>Vyg</w:t>
      </w:r>
      <w:bookmarkEnd w:id="11"/>
      <w:r w:rsidRPr="00636E2E">
        <w:rPr>
          <w:rFonts w:asciiTheme="majorHAnsi" w:eastAsia="Calibri Light" w:hAnsiTheme="majorHAnsi" w:cstheme="majorHAnsi"/>
          <w:sz w:val="24"/>
          <w:szCs w:val="24"/>
          <w:lang w:val="en-GB"/>
        </w:rPr>
        <w:t xml:space="preserve">otsky, 1948). This builds upon the work of theorists such as Piaget, who responded to Vygotsky’s criticisms many years later (2000). Piaget believed that learning happens on a continuum according to age and that a child is like a scientist discovering for the first time, he also extended his theory to adolescence and adulthood (Piaget, 2008). </w:t>
      </w:r>
    </w:p>
    <w:p w14:paraId="4E8EB239" w14:textId="5E5DC86F" w:rsidR="00D07D7C" w:rsidRPr="00636E2E" w:rsidRDefault="18F8DFA7" w:rsidP="00D07D7C">
      <w:pPr>
        <w:pStyle w:val="Heading1"/>
        <w:spacing w:line="480" w:lineRule="auto"/>
        <w:rPr>
          <w:lang w:val="en-GB"/>
        </w:rPr>
      </w:pPr>
      <w:bookmarkStart w:id="12" w:name="_Toc531031912"/>
      <w:r w:rsidRPr="00636E2E">
        <w:rPr>
          <w:lang w:val="en-GB"/>
        </w:rPr>
        <w:t xml:space="preserve">Part B II:  Critical evaluation </w:t>
      </w:r>
      <w:proofErr w:type="gramStart"/>
      <w:r w:rsidRPr="00636E2E">
        <w:rPr>
          <w:lang w:val="en-GB"/>
        </w:rPr>
        <w:t>in light of</w:t>
      </w:r>
      <w:proofErr w:type="gramEnd"/>
      <w:r w:rsidRPr="00636E2E">
        <w:rPr>
          <w:lang w:val="en-GB"/>
        </w:rPr>
        <w:t xml:space="preserve"> first Professional Teaching Experience (PTE1)</w:t>
      </w:r>
      <w:bookmarkEnd w:id="12"/>
    </w:p>
    <w:p w14:paraId="1383D1A7" w14:textId="77777777" w:rsidR="00CC5FEB" w:rsidRDefault="00E72743"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For years I was too afraid to become a secondary school teacher. I told everyone I knew that I could not handle a class of thirty or more teenagers. They would walk all over me. I did not know enough, I did not have the confidence, and I did not want to have a negative impact on somebody else’s life through accident or design.</w:t>
      </w:r>
      <w:r w:rsidR="00D07D7C" w:rsidRPr="00636E2E">
        <w:rPr>
          <w:rFonts w:asciiTheme="majorHAnsi" w:hAnsiTheme="majorHAnsi" w:cstheme="majorHAnsi"/>
          <w:lang w:val="en-GB"/>
        </w:rPr>
        <w:t xml:space="preserve"> </w:t>
      </w:r>
    </w:p>
    <w:p w14:paraId="5655B21F" w14:textId="6205CC84" w:rsidR="00E72743" w:rsidRPr="00636E2E" w:rsidRDefault="00E72743"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Now I am facing my fears, but in my own way. I still find it difficult to give consequences to students as I am afraid of the repercussions. I am keenly aware that there are many influences on behaviour. My focus in the classroom is on the learning, although my nerves often make me flustered and I lose sight of the learning objectives.</w:t>
      </w:r>
      <w:r w:rsidR="00FB4850" w:rsidRPr="00636E2E">
        <w:rPr>
          <w:rFonts w:asciiTheme="majorHAnsi" w:hAnsiTheme="majorHAnsi" w:cstheme="majorHAnsi"/>
          <w:lang w:val="en-GB"/>
        </w:rPr>
        <w:t xml:space="preserve"> </w:t>
      </w:r>
    </w:p>
    <w:p w14:paraId="5D4A1F03" w14:textId="66294E68" w:rsidR="00EF0374" w:rsidRPr="00636E2E" w:rsidRDefault="00E72743"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The first exercise in teaching on the PGCE course is the micro-teaching exercise. The micro-teaching episode was a purely theoretical exercise. Very little bared any relation to real life. We had weeks to prepare for one lesson delivered to a class of science graduates. Fast-forward to professional practice where I am planning lessons within minutes of delivery and teaching classes with a whole range of ability, all aged between 11 and 16.</w:t>
      </w:r>
    </w:p>
    <w:p w14:paraId="59B1DCB2" w14:textId="26DD80C4" w:rsidR="00E72743" w:rsidRPr="00636E2E" w:rsidRDefault="00E72743" w:rsidP="002A7B09">
      <w:pPr>
        <w:spacing w:line="480" w:lineRule="auto"/>
        <w:rPr>
          <w:rFonts w:asciiTheme="majorHAnsi" w:hAnsiTheme="majorHAnsi" w:cstheme="majorHAnsi"/>
          <w:lang w:val="en-GB"/>
        </w:rPr>
      </w:pPr>
      <w:r w:rsidRPr="00636E2E">
        <w:rPr>
          <w:rFonts w:asciiTheme="majorHAnsi" w:hAnsiTheme="majorHAnsi" w:cstheme="majorHAnsi"/>
          <w:lang w:val="en-GB"/>
        </w:rPr>
        <w:t xml:space="preserve">In this essay I will critically evaluate the micro teaching episode (MTE) </w:t>
      </w:r>
      <w:proofErr w:type="gramStart"/>
      <w:r w:rsidRPr="00636E2E">
        <w:rPr>
          <w:rFonts w:asciiTheme="majorHAnsi" w:hAnsiTheme="majorHAnsi" w:cstheme="majorHAnsi"/>
          <w:lang w:val="en-GB"/>
        </w:rPr>
        <w:t>in light of</w:t>
      </w:r>
      <w:proofErr w:type="gramEnd"/>
      <w:r w:rsidRPr="00636E2E">
        <w:rPr>
          <w:rFonts w:asciiTheme="majorHAnsi" w:hAnsiTheme="majorHAnsi" w:cstheme="majorHAnsi"/>
          <w:lang w:val="en-GB"/>
        </w:rPr>
        <w:t xml:space="preserve"> my professional teaching practice.</w:t>
      </w:r>
    </w:p>
    <w:p w14:paraId="2A2A2323" w14:textId="77777777" w:rsidR="00A76AC0" w:rsidRPr="00636E2E" w:rsidRDefault="00A76AC0" w:rsidP="00636E2E">
      <w:pPr>
        <w:pStyle w:val="Heading2"/>
        <w:rPr>
          <w:lang w:val="en-GB"/>
        </w:rPr>
      </w:pPr>
      <w:bookmarkStart w:id="13" w:name="_Toc531031913"/>
      <w:r w:rsidRPr="00636E2E">
        <w:rPr>
          <w:lang w:val="en-GB"/>
        </w:rPr>
        <w:t>PTE 1 - Context</w:t>
      </w:r>
      <w:bookmarkEnd w:id="13"/>
    </w:p>
    <w:p w14:paraId="09303D50" w14:textId="2BB20580" w:rsidR="00F76A7D"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I am currently training to teach at a School where approximately 50% of the students receive free school meals. Many at the students have an Additional Learning Need (ALN), and many students are below the national average in terms of reading age (</w:t>
      </w:r>
      <w:r w:rsidR="00A95AA0">
        <w:rPr>
          <w:rFonts w:asciiTheme="majorHAnsi" w:hAnsiTheme="majorHAnsi" w:cstheme="majorHAnsi"/>
          <w:lang w:val="en-GB"/>
        </w:rPr>
        <w:t>Welsh Government</w:t>
      </w:r>
      <w:r w:rsidRPr="00636E2E">
        <w:rPr>
          <w:rFonts w:asciiTheme="majorHAnsi" w:hAnsiTheme="majorHAnsi" w:cstheme="majorHAnsi"/>
          <w:lang w:val="en-GB"/>
        </w:rPr>
        <w:t xml:space="preserve">). The students live in an area of relatively high deprivation. Often, issues that occur outside of school will have an impact on attendance and/or attainment. Behaviour management can be </w:t>
      </w:r>
      <w:r w:rsidR="00A95AA0" w:rsidRPr="00636E2E">
        <w:rPr>
          <w:rFonts w:asciiTheme="majorHAnsi" w:hAnsiTheme="majorHAnsi" w:cstheme="majorHAnsi"/>
          <w:lang w:val="en-GB"/>
        </w:rPr>
        <w:t>challenging,</w:t>
      </w:r>
      <w:r w:rsidRPr="00636E2E">
        <w:rPr>
          <w:rFonts w:asciiTheme="majorHAnsi" w:hAnsiTheme="majorHAnsi" w:cstheme="majorHAnsi"/>
          <w:lang w:val="en-GB"/>
        </w:rPr>
        <w:t xml:space="preserve"> and the school has recently implemented the Pivotal Behaviour Management (PBM) approach (Dix, </w:t>
      </w:r>
      <w:r w:rsidR="00FF7DA8">
        <w:rPr>
          <w:rFonts w:asciiTheme="majorHAnsi" w:hAnsiTheme="majorHAnsi" w:cstheme="majorHAnsi"/>
          <w:lang w:val="en-GB"/>
        </w:rPr>
        <w:t>2017</w:t>
      </w:r>
      <w:r w:rsidRPr="00636E2E">
        <w:rPr>
          <w:rFonts w:asciiTheme="majorHAnsi" w:hAnsiTheme="majorHAnsi" w:cstheme="majorHAnsi"/>
          <w:lang w:val="en-GB"/>
        </w:rPr>
        <w:t>).</w:t>
      </w:r>
    </w:p>
    <w:p w14:paraId="35F912F7" w14:textId="6AEC601E" w:rsidR="00A76AC0" w:rsidRPr="00636E2E" w:rsidRDefault="00A76AC0" w:rsidP="00F76A7D">
      <w:pPr>
        <w:pStyle w:val="Heading2"/>
        <w:rPr>
          <w:lang w:val="en-GB"/>
        </w:rPr>
      </w:pPr>
      <w:bookmarkStart w:id="14" w:name="_Toc531031914"/>
      <w:r w:rsidRPr="00636E2E">
        <w:rPr>
          <w:lang w:val="en-GB"/>
        </w:rPr>
        <w:t>Applying the SOW to PTE 1</w:t>
      </w:r>
      <w:bookmarkEnd w:id="14"/>
    </w:p>
    <w:p w14:paraId="2F5956C9" w14:textId="77777777" w:rsidR="00A76AC0" w:rsidRPr="00636E2E" w:rsidRDefault="00A76AC0" w:rsidP="00F76A7D">
      <w:pPr>
        <w:pStyle w:val="Heading3"/>
        <w:rPr>
          <w:lang w:val="en-GB"/>
        </w:rPr>
      </w:pPr>
      <w:bookmarkStart w:id="15" w:name="_Toc531031915"/>
      <w:r w:rsidRPr="00636E2E">
        <w:rPr>
          <w:lang w:val="en-GB"/>
        </w:rPr>
        <w:t>Differentiation and Learning</w:t>
      </w:r>
      <w:bookmarkEnd w:id="15"/>
    </w:p>
    <w:p w14:paraId="11633AAF" w14:textId="7DB54AA0" w:rsidR="00A76AC0" w:rsidRPr="00636E2E"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 xml:space="preserve">In this section I will consider how my SOW could be adapted to each of my current classes. </w:t>
      </w:r>
    </w:p>
    <w:p w14:paraId="37B9BBF3" w14:textId="39E3B8BE" w:rsidR="00F76A7D" w:rsidRDefault="00F76A7D" w:rsidP="00F76A7D">
      <w:pPr>
        <w:pStyle w:val="Heading4"/>
        <w:rPr>
          <w:lang w:val="en-GB"/>
        </w:rPr>
      </w:pPr>
      <w:r>
        <w:rPr>
          <w:lang w:val="en-GB"/>
        </w:rPr>
        <w:t>Year 7</w:t>
      </w:r>
    </w:p>
    <w:p w14:paraId="26CF0100" w14:textId="2EFCEA6A" w:rsidR="00A76AC0" w:rsidRPr="00636E2E"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 xml:space="preserve">My year 7 class of 29 students aged 11-12 has a higher proportion of boys than girls, and a few of those boys present with difficulties managing emotions and behaviour. It could be argued that only a small percentage of the students have been assessed for such issues, and that </w:t>
      </w:r>
      <w:proofErr w:type="gramStart"/>
      <w:r w:rsidRPr="00636E2E">
        <w:rPr>
          <w:rFonts w:asciiTheme="majorHAnsi" w:hAnsiTheme="majorHAnsi" w:cstheme="majorHAnsi"/>
          <w:lang w:val="en-GB"/>
        </w:rPr>
        <w:t>a large number of</w:t>
      </w:r>
      <w:proofErr w:type="gramEnd"/>
      <w:r w:rsidRPr="00636E2E">
        <w:rPr>
          <w:rFonts w:asciiTheme="majorHAnsi" w:hAnsiTheme="majorHAnsi" w:cstheme="majorHAnsi"/>
          <w:lang w:val="en-GB"/>
        </w:rPr>
        <w:t xml:space="preserve"> the class would benefit from extra support. Indeed, some of the students receive literacy and/or numeracy intervention. In the case of literacy intervention, students are removed from one class per week to focus on literacy in an accelerated learning program. These students will typically have a reading age far below what is expected for their age group, some are six years below the average.</w:t>
      </w:r>
    </w:p>
    <w:p w14:paraId="5F81283D" w14:textId="234CABCE" w:rsidR="00A76AC0" w:rsidRPr="00636E2E" w:rsidRDefault="00A76AC0" w:rsidP="00F76A7D">
      <w:pPr>
        <w:pStyle w:val="Heading4"/>
        <w:rPr>
          <w:lang w:val="en-GB"/>
        </w:rPr>
      </w:pPr>
      <w:r w:rsidRPr="00636E2E">
        <w:rPr>
          <w:lang w:val="en-GB"/>
        </w:rPr>
        <w:t>Year 8</w:t>
      </w:r>
    </w:p>
    <w:p w14:paraId="78F18433" w14:textId="77777777" w:rsidR="00A76AC0" w:rsidRPr="00636E2E"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My year 8 class is very small, only 14 students. Often students are on trips, so the class is even smaller. And sometimes there are more staff members in the room than students, as many of the students are accompanied by a teaching assistant. The additional learning needs of the group range from behavioural and emotional, autism, to dyslexia. Some of the students may be considered illiterate. Two of the students have English as an Additional Language (EAL), and struggle to say words like ‘ruler’.</w:t>
      </w:r>
    </w:p>
    <w:p w14:paraId="646982C6" w14:textId="77777777" w:rsidR="00A76AC0" w:rsidRPr="00636E2E" w:rsidRDefault="00A76AC0" w:rsidP="00F76A7D">
      <w:pPr>
        <w:pStyle w:val="Heading4"/>
        <w:rPr>
          <w:lang w:val="en-GB"/>
        </w:rPr>
      </w:pPr>
      <w:r w:rsidRPr="00636E2E">
        <w:rPr>
          <w:lang w:val="en-GB"/>
        </w:rPr>
        <w:t>Year 9</w:t>
      </w:r>
    </w:p>
    <w:p w14:paraId="3ECAD5A6" w14:textId="77777777" w:rsidR="00A76AC0" w:rsidRPr="00636E2E"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 xml:space="preserve">My year 9 class </w:t>
      </w:r>
      <w:proofErr w:type="gramStart"/>
      <w:r w:rsidRPr="00636E2E">
        <w:rPr>
          <w:rFonts w:asciiTheme="majorHAnsi" w:hAnsiTheme="majorHAnsi" w:cstheme="majorHAnsi"/>
          <w:lang w:val="en-GB"/>
        </w:rPr>
        <w:t>is considered to be</w:t>
      </w:r>
      <w:proofErr w:type="gramEnd"/>
      <w:r w:rsidRPr="00636E2E">
        <w:rPr>
          <w:rFonts w:asciiTheme="majorHAnsi" w:hAnsiTheme="majorHAnsi" w:cstheme="majorHAnsi"/>
          <w:lang w:val="en-GB"/>
        </w:rPr>
        <w:t xml:space="preserve"> the top set at the school out of that year group, but still require a lot of support. </w:t>
      </w:r>
      <w:proofErr w:type="gramStart"/>
      <w:r w:rsidRPr="00636E2E">
        <w:rPr>
          <w:rFonts w:asciiTheme="majorHAnsi" w:hAnsiTheme="majorHAnsi" w:cstheme="majorHAnsi"/>
          <w:lang w:val="en-GB"/>
        </w:rPr>
        <w:t>The majority of</w:t>
      </w:r>
      <w:proofErr w:type="gramEnd"/>
      <w:r w:rsidRPr="00636E2E">
        <w:rPr>
          <w:rFonts w:asciiTheme="majorHAnsi" w:hAnsiTheme="majorHAnsi" w:cstheme="majorHAnsi"/>
          <w:lang w:val="en-GB"/>
        </w:rPr>
        <w:t xml:space="preserve"> the class are still below the average attainment for their age group. Despite being a year 9 group, they are currently studying at KS4.</w:t>
      </w:r>
    </w:p>
    <w:p w14:paraId="0673147B" w14:textId="77777777" w:rsidR="00A76AC0" w:rsidRPr="00636E2E" w:rsidRDefault="00A76AC0" w:rsidP="00F76A7D">
      <w:pPr>
        <w:pStyle w:val="Heading4"/>
        <w:rPr>
          <w:lang w:val="en-GB"/>
        </w:rPr>
      </w:pPr>
      <w:r w:rsidRPr="00636E2E">
        <w:rPr>
          <w:lang w:val="en-GB"/>
        </w:rPr>
        <w:t>Year 10</w:t>
      </w:r>
    </w:p>
    <w:p w14:paraId="07E557A1" w14:textId="77777777" w:rsidR="00A76AC0" w:rsidRPr="00636E2E"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My form group is in year 10, the majority have an ALN. Several students also have EAL.</w:t>
      </w:r>
    </w:p>
    <w:p w14:paraId="045F5DA9" w14:textId="5065CC12" w:rsidR="00A76AC0"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 xml:space="preserve">Clearly, </w:t>
      </w:r>
      <w:r w:rsidR="00F76A7D" w:rsidRPr="00636E2E">
        <w:rPr>
          <w:rFonts w:asciiTheme="majorHAnsi" w:hAnsiTheme="majorHAnsi" w:cstheme="majorHAnsi"/>
          <w:lang w:val="en-GB"/>
        </w:rPr>
        <w:t>all</w:t>
      </w:r>
      <w:r w:rsidRPr="00636E2E">
        <w:rPr>
          <w:rFonts w:asciiTheme="majorHAnsi" w:hAnsiTheme="majorHAnsi" w:cstheme="majorHAnsi"/>
          <w:lang w:val="en-GB"/>
        </w:rPr>
        <w:t xml:space="preserve"> the above classes would need a good deal of support in order to access the SOW. None of the classes would currently be able to create their own practical as suggested in lessons 3 and 4 of the scheme of work. They may be able to choose a practical but would need help understanding the instructions and steps required in order to carry out the practical. This is not a criticism of the students, but a criticism of the scheme of work. The SOW now seems ludicrously out of reach to the students. If implemented without changes, it would fall flat and potentially alienate the students and cause behaviour issues to arise.</w:t>
      </w:r>
    </w:p>
    <w:p w14:paraId="66801E99" w14:textId="77777777" w:rsidR="00CC5FEB" w:rsidRPr="00636E2E" w:rsidRDefault="00CC5FEB" w:rsidP="00CC5FEB">
      <w:pPr>
        <w:pStyle w:val="Heading4"/>
        <w:rPr>
          <w:lang w:val="en-GB"/>
        </w:rPr>
      </w:pPr>
      <w:r w:rsidRPr="00636E2E">
        <w:rPr>
          <w:lang w:val="en-GB"/>
        </w:rPr>
        <w:t>The Resource Package</w:t>
      </w:r>
    </w:p>
    <w:p w14:paraId="6C52AC32" w14:textId="5F2B3033" w:rsidR="00CC5FEB" w:rsidRPr="00CC5FEB" w:rsidRDefault="00CC5FEB" w:rsidP="002A7B09">
      <w:pPr>
        <w:spacing w:line="480" w:lineRule="auto"/>
        <w:jc w:val="both"/>
        <w:rPr>
          <w:rFonts w:asciiTheme="majorHAnsi" w:eastAsia="Calibri Light" w:hAnsiTheme="majorHAnsi" w:cstheme="majorHAnsi"/>
          <w:lang w:val="en-GB"/>
        </w:rPr>
      </w:pPr>
      <w:r w:rsidRPr="00636E2E">
        <w:rPr>
          <w:rFonts w:asciiTheme="majorHAnsi" w:eastAsia="Calibri Light" w:hAnsiTheme="majorHAnsi" w:cstheme="majorHAnsi"/>
          <w:lang w:val="en-GB"/>
        </w:rPr>
        <w:t xml:space="preserve">The resources provided to a room full of science graduates would not be the same resources I would present to the pupils at my PTE1 school. Some students may be able to access the newspaper articles, especially MAT students, but the vast majority would not. Therefore, I need to spend more time on scaffolding (Bruner, 1978), I.e. providing support to students, and differentiation I.e. giving students work that they can access (Tomlinson, 2014). </w:t>
      </w:r>
    </w:p>
    <w:p w14:paraId="5998C946" w14:textId="00935001" w:rsidR="00A76AC0" w:rsidRDefault="00A76AC0" w:rsidP="00CC5FEB">
      <w:pPr>
        <w:pStyle w:val="Heading4"/>
        <w:rPr>
          <w:lang w:val="en-GB"/>
        </w:rPr>
      </w:pPr>
      <w:r w:rsidRPr="00636E2E">
        <w:rPr>
          <w:lang w:val="en-GB"/>
        </w:rPr>
        <w:t>Adapting the MTE</w:t>
      </w:r>
    </w:p>
    <w:p w14:paraId="2E70ECB0" w14:textId="576E51E1" w:rsidR="00EC7A50" w:rsidRDefault="00EC7A50" w:rsidP="00EC7A50">
      <w:pPr>
        <w:spacing w:line="480" w:lineRule="auto"/>
        <w:rPr>
          <w:rStyle w:val="Heading3Char"/>
          <w:rFonts w:cstheme="majorHAnsi"/>
          <w:color w:val="auto"/>
          <w:lang w:val="en-GB"/>
        </w:rPr>
      </w:pPr>
      <w:r w:rsidRPr="00636E2E">
        <w:rPr>
          <w:rStyle w:val="Heading3Char"/>
          <w:rFonts w:cstheme="majorHAnsi"/>
          <w:color w:val="auto"/>
          <w:lang w:val="en-GB"/>
        </w:rPr>
        <w:t>A study by Fernández (2010) found that student teachers tend to focus too much on content, and not enough on the learning processes that allow students to understand content. Microteaching Lesson Study, including recording the lesson and peer discussion, was proposed to counteract this to give trainee teachers and opportunity to put theory into practice.</w:t>
      </w:r>
      <w:r w:rsidR="00E47A72">
        <w:rPr>
          <w:rStyle w:val="Heading3Char"/>
          <w:rFonts w:cstheme="majorHAnsi"/>
          <w:color w:val="auto"/>
          <w:lang w:val="en-GB"/>
        </w:rPr>
        <w:t xml:space="preserve"> </w:t>
      </w:r>
    </w:p>
    <w:p w14:paraId="3E4805B2" w14:textId="1A262120" w:rsidR="00E47A72" w:rsidRPr="00EC7A50" w:rsidRDefault="00E47A72" w:rsidP="00EC7A50">
      <w:pPr>
        <w:spacing w:line="480" w:lineRule="auto"/>
        <w:rPr>
          <w:rFonts w:asciiTheme="majorHAnsi" w:eastAsiaTheme="majorEastAsia" w:hAnsiTheme="majorHAnsi" w:cstheme="majorHAnsi"/>
          <w:sz w:val="24"/>
          <w:szCs w:val="24"/>
          <w:lang w:val="en-GB"/>
        </w:rPr>
      </w:pPr>
      <w:r>
        <w:rPr>
          <w:rFonts w:asciiTheme="majorHAnsi" w:eastAsiaTheme="majorEastAsia" w:hAnsiTheme="majorHAnsi" w:cstheme="majorHAnsi"/>
          <w:sz w:val="24"/>
          <w:szCs w:val="24"/>
          <w:lang w:val="en-GB"/>
        </w:rPr>
        <w:t>Indeed, some of the strategies that I have been introduced to, such as shared reading, help make the most of the resources during the lesson, rather than just covering content.</w:t>
      </w:r>
    </w:p>
    <w:p w14:paraId="0A73FF97" w14:textId="77777777" w:rsidR="00A76AC0" w:rsidRPr="00636E2E" w:rsidRDefault="00A76AC0" w:rsidP="00F76A7D">
      <w:pPr>
        <w:spacing w:line="480" w:lineRule="auto"/>
        <w:jc w:val="both"/>
        <w:rPr>
          <w:rFonts w:asciiTheme="majorHAnsi" w:hAnsiTheme="majorHAnsi" w:cstheme="majorHAnsi"/>
          <w:lang w:val="en-GB"/>
        </w:rPr>
      </w:pPr>
      <w:r w:rsidRPr="00636E2E">
        <w:rPr>
          <w:rFonts w:asciiTheme="majorHAnsi" w:hAnsiTheme="majorHAnsi" w:cstheme="majorHAnsi"/>
          <w:lang w:val="en-GB"/>
        </w:rPr>
        <w:t>Starting with Year 7, the students would enjoy the opportunity to get out of their seats, as some students find it very difficult to stay still for the entirety of a lesson. The resources would have to be re-designed and made much shorter. The keywords should be underlined for students to easily pick out. The names of the locations should be prominent, and instructions should be improved so that students know they are supposed to write the place name and the power station on the map.</w:t>
      </w:r>
    </w:p>
    <w:p w14:paraId="1F20F11D" w14:textId="77777777" w:rsidR="00A76AC0" w:rsidRPr="00636E2E" w:rsidRDefault="00A76AC0" w:rsidP="00A31D8B">
      <w:pPr>
        <w:spacing w:line="480" w:lineRule="auto"/>
        <w:jc w:val="both"/>
        <w:rPr>
          <w:rFonts w:asciiTheme="majorHAnsi" w:hAnsiTheme="majorHAnsi" w:cstheme="majorHAnsi"/>
          <w:lang w:val="en-GB"/>
        </w:rPr>
      </w:pPr>
      <w:r w:rsidRPr="00636E2E">
        <w:rPr>
          <w:rFonts w:asciiTheme="majorHAnsi" w:hAnsiTheme="majorHAnsi" w:cstheme="majorHAnsi"/>
          <w:lang w:val="en-GB"/>
        </w:rPr>
        <w:t>Further, in my year 8 class I have used different strategies, such as showing excellent pupil work on the board using a visualiser. I would do this with one or more of the maps produced and allow students to self-assess their map, adding in any more information.</w:t>
      </w:r>
    </w:p>
    <w:p w14:paraId="4DCEB449" w14:textId="77777777" w:rsidR="00A76AC0" w:rsidRPr="00636E2E" w:rsidRDefault="00A76AC0" w:rsidP="002A7B09">
      <w:pPr>
        <w:spacing w:line="480" w:lineRule="auto"/>
        <w:rPr>
          <w:rFonts w:asciiTheme="majorHAnsi" w:hAnsiTheme="majorHAnsi" w:cstheme="majorHAnsi"/>
          <w:lang w:val="en-GB"/>
        </w:rPr>
      </w:pPr>
      <w:r w:rsidRPr="00636E2E">
        <w:rPr>
          <w:rFonts w:asciiTheme="majorHAnsi" w:hAnsiTheme="majorHAnsi" w:cstheme="majorHAnsi"/>
          <w:lang w:val="en-GB"/>
        </w:rPr>
        <w:t>Again, in Year 9, I would make the above changes but provide more information.</w:t>
      </w:r>
    </w:p>
    <w:p w14:paraId="34BB9A77" w14:textId="3AE4C8F4" w:rsidR="00A76AC0" w:rsidRPr="00636E2E" w:rsidRDefault="00A76AC0" w:rsidP="00B01414">
      <w:pPr>
        <w:spacing w:line="480" w:lineRule="auto"/>
        <w:jc w:val="both"/>
        <w:rPr>
          <w:rFonts w:asciiTheme="majorHAnsi" w:hAnsiTheme="majorHAnsi" w:cstheme="majorHAnsi"/>
          <w:lang w:val="en-GB"/>
        </w:rPr>
      </w:pPr>
      <w:r w:rsidRPr="00636E2E">
        <w:rPr>
          <w:rFonts w:asciiTheme="majorHAnsi" w:hAnsiTheme="majorHAnsi" w:cstheme="majorHAnsi"/>
          <w:lang w:val="en-GB"/>
        </w:rPr>
        <w:t>I have conducted a whiteboard activity with all three of my science classes. I have found that it improves each time, and students enjoy it when it is framed as a game, even though they are intended as formative assessment (</w:t>
      </w:r>
      <w:r w:rsidR="00D608CE">
        <w:rPr>
          <w:rFonts w:asciiTheme="majorHAnsi" w:hAnsiTheme="majorHAnsi" w:cstheme="majorHAnsi"/>
          <w:lang w:val="en-GB"/>
        </w:rPr>
        <w:t xml:space="preserve">Black &amp; </w:t>
      </w:r>
      <w:r w:rsidRPr="00636E2E">
        <w:rPr>
          <w:rFonts w:asciiTheme="majorHAnsi" w:hAnsiTheme="majorHAnsi" w:cstheme="majorHAnsi"/>
          <w:lang w:val="en-GB"/>
        </w:rPr>
        <w:t xml:space="preserve">Wiliam, </w:t>
      </w:r>
      <w:r w:rsidR="00D608CE">
        <w:rPr>
          <w:rFonts w:asciiTheme="majorHAnsi" w:hAnsiTheme="majorHAnsi" w:cstheme="majorHAnsi"/>
          <w:lang w:val="en-GB"/>
        </w:rPr>
        <w:t>2009</w:t>
      </w:r>
      <w:r w:rsidRPr="00636E2E">
        <w:rPr>
          <w:rFonts w:asciiTheme="majorHAnsi" w:hAnsiTheme="majorHAnsi" w:cstheme="majorHAnsi"/>
          <w:lang w:val="en-GB"/>
        </w:rPr>
        <w:t xml:space="preserve">). I would add the caveat that it works best when using multiple choice questions, and students only </w:t>
      </w:r>
      <w:proofErr w:type="gramStart"/>
      <w:r w:rsidRPr="00636E2E">
        <w:rPr>
          <w:rFonts w:asciiTheme="majorHAnsi" w:hAnsiTheme="majorHAnsi" w:cstheme="majorHAnsi"/>
          <w:lang w:val="en-GB"/>
        </w:rPr>
        <w:t>have to</w:t>
      </w:r>
      <w:proofErr w:type="gramEnd"/>
      <w:r w:rsidRPr="00636E2E">
        <w:rPr>
          <w:rFonts w:asciiTheme="majorHAnsi" w:hAnsiTheme="majorHAnsi" w:cstheme="majorHAnsi"/>
          <w:lang w:val="en-GB"/>
        </w:rPr>
        <w:t xml:space="preserve"> write a simple answer, e.g. a letter or a number. Students seem to lose interest if they </w:t>
      </w:r>
      <w:proofErr w:type="gramStart"/>
      <w:r w:rsidRPr="00636E2E">
        <w:rPr>
          <w:rFonts w:asciiTheme="majorHAnsi" w:hAnsiTheme="majorHAnsi" w:cstheme="majorHAnsi"/>
          <w:lang w:val="en-GB"/>
        </w:rPr>
        <w:t>have to</w:t>
      </w:r>
      <w:proofErr w:type="gramEnd"/>
      <w:r w:rsidRPr="00636E2E">
        <w:rPr>
          <w:rFonts w:asciiTheme="majorHAnsi" w:hAnsiTheme="majorHAnsi" w:cstheme="majorHAnsi"/>
          <w:lang w:val="en-GB"/>
        </w:rPr>
        <w:t xml:space="preserve"> write words or a sentence. With the Year 9 class I used the whiteboards alongside a fill-in-the-blanks paragraph. It allowed them to complete extended writing with support. They later drew a diagram and filled in the blanks with less support, and in a future lesson</w:t>
      </w:r>
      <w:r w:rsidR="00B01414">
        <w:rPr>
          <w:rFonts w:asciiTheme="majorHAnsi" w:hAnsiTheme="majorHAnsi" w:cstheme="majorHAnsi"/>
          <w:lang w:val="en-GB"/>
        </w:rPr>
        <w:t xml:space="preserve"> </w:t>
      </w:r>
      <w:r w:rsidRPr="00636E2E">
        <w:rPr>
          <w:rFonts w:asciiTheme="majorHAnsi" w:hAnsiTheme="majorHAnsi" w:cstheme="majorHAnsi"/>
          <w:lang w:val="en-GB"/>
        </w:rPr>
        <w:t>they will be asked to answer an exam-style question without support. This is reflecting the work of Bruner (</w:t>
      </w:r>
      <w:r w:rsidR="009329E4">
        <w:rPr>
          <w:rFonts w:asciiTheme="majorHAnsi" w:hAnsiTheme="majorHAnsi" w:cstheme="majorHAnsi"/>
          <w:lang w:val="en-GB"/>
        </w:rPr>
        <w:t>1978</w:t>
      </w:r>
      <w:r w:rsidRPr="00636E2E">
        <w:rPr>
          <w:rFonts w:asciiTheme="majorHAnsi" w:hAnsiTheme="majorHAnsi" w:cstheme="majorHAnsi"/>
          <w:lang w:val="en-GB"/>
        </w:rPr>
        <w:t>), who stated that for scaffolding to be effective it must be gradually removed until the student can stand on their own so to speak.</w:t>
      </w:r>
    </w:p>
    <w:p w14:paraId="1C21A977" w14:textId="48E3B46A" w:rsidR="00A76AC0" w:rsidRPr="00636E2E" w:rsidRDefault="00A76AC0" w:rsidP="009329E4">
      <w:pPr>
        <w:spacing w:line="480" w:lineRule="auto"/>
        <w:jc w:val="both"/>
        <w:rPr>
          <w:rFonts w:asciiTheme="majorHAnsi" w:hAnsiTheme="majorHAnsi" w:cstheme="majorHAnsi"/>
          <w:lang w:val="en-GB"/>
        </w:rPr>
      </w:pPr>
      <w:r w:rsidRPr="00636E2E">
        <w:rPr>
          <w:rFonts w:asciiTheme="majorHAnsi" w:hAnsiTheme="majorHAnsi" w:cstheme="majorHAnsi"/>
          <w:lang w:val="en-GB"/>
        </w:rPr>
        <w:t>With regards to the literacy and numeracy framework</w:t>
      </w:r>
      <w:r w:rsidR="009329E4">
        <w:rPr>
          <w:rFonts w:asciiTheme="majorHAnsi" w:hAnsiTheme="majorHAnsi" w:cstheme="majorHAnsi"/>
          <w:lang w:val="en-GB"/>
        </w:rPr>
        <w:t xml:space="preserve"> (Welsh Government</w:t>
      </w:r>
      <w:r w:rsidR="001F6D2B">
        <w:rPr>
          <w:rFonts w:asciiTheme="majorHAnsi" w:hAnsiTheme="majorHAnsi" w:cstheme="majorHAnsi"/>
          <w:lang w:val="en-GB"/>
        </w:rPr>
        <w:t>, 2013)</w:t>
      </w:r>
      <w:r w:rsidRPr="00636E2E">
        <w:rPr>
          <w:rFonts w:asciiTheme="majorHAnsi" w:hAnsiTheme="majorHAnsi" w:cstheme="majorHAnsi"/>
          <w:lang w:val="en-GB"/>
        </w:rPr>
        <w:t xml:space="preserve"> the activity was designed to test </w:t>
      </w:r>
      <w:r w:rsidR="002B30D9">
        <w:rPr>
          <w:rFonts w:asciiTheme="majorHAnsi" w:hAnsiTheme="majorHAnsi" w:cstheme="majorHAnsi"/>
          <w:lang w:val="en-GB"/>
        </w:rPr>
        <w:t>s</w:t>
      </w:r>
      <w:r w:rsidRPr="00636E2E">
        <w:rPr>
          <w:rFonts w:asciiTheme="majorHAnsi" w:hAnsiTheme="majorHAnsi" w:cstheme="majorHAnsi"/>
          <w:lang w:val="en-GB"/>
        </w:rPr>
        <w:t>tudents’ ability to comprehend a text and to extract the relevant information to complete the task. In the MTE, many students found that there was too much information. Equally, the students at my school in PTE1 would be overwhelmed with the amount of information provided. Therefore, new resources would have to be produced and tested to ensure the reading age is appropriate for the class, whilst providing challenge for the more able students.</w:t>
      </w:r>
    </w:p>
    <w:p w14:paraId="412434ED" w14:textId="54312BD8" w:rsidR="001F6D2B" w:rsidRPr="00636E2E" w:rsidRDefault="00A76AC0" w:rsidP="002A7B09">
      <w:pPr>
        <w:spacing w:line="480" w:lineRule="auto"/>
        <w:rPr>
          <w:rFonts w:asciiTheme="majorHAnsi" w:hAnsiTheme="majorHAnsi" w:cstheme="majorHAnsi"/>
          <w:lang w:val="en-GB"/>
        </w:rPr>
      </w:pPr>
      <w:r w:rsidRPr="00636E2E">
        <w:rPr>
          <w:rFonts w:asciiTheme="majorHAnsi" w:hAnsiTheme="majorHAnsi" w:cstheme="majorHAnsi"/>
          <w:lang w:val="en-GB"/>
        </w:rPr>
        <w:t xml:space="preserve">MAT students at my PTE1 school might not be considered MAT if they were at another school, at least this is what the MAT coordinator at the school asserted. </w:t>
      </w:r>
      <w:r w:rsidR="00346386">
        <w:rPr>
          <w:rFonts w:asciiTheme="majorHAnsi" w:hAnsiTheme="majorHAnsi" w:cstheme="majorHAnsi"/>
          <w:lang w:val="en-GB"/>
        </w:rPr>
        <w:t>The school is promoting the growth</w:t>
      </w:r>
      <w:r w:rsidRPr="00636E2E">
        <w:rPr>
          <w:rFonts w:asciiTheme="majorHAnsi" w:hAnsiTheme="majorHAnsi" w:cstheme="majorHAnsi"/>
          <w:lang w:val="en-GB"/>
        </w:rPr>
        <w:t xml:space="preserve"> mindset </w:t>
      </w:r>
      <w:r w:rsidR="00F52A02">
        <w:rPr>
          <w:rFonts w:asciiTheme="majorHAnsi" w:hAnsiTheme="majorHAnsi" w:cstheme="majorHAnsi"/>
          <w:lang w:val="en-GB"/>
        </w:rPr>
        <w:t xml:space="preserve">among its teachers </w:t>
      </w:r>
      <w:r w:rsidRPr="00636E2E">
        <w:rPr>
          <w:rFonts w:asciiTheme="majorHAnsi" w:hAnsiTheme="majorHAnsi" w:cstheme="majorHAnsi"/>
          <w:lang w:val="en-GB"/>
        </w:rPr>
        <w:t xml:space="preserve">(Dweck, </w:t>
      </w:r>
      <w:r w:rsidR="001F6D2B">
        <w:rPr>
          <w:rFonts w:asciiTheme="majorHAnsi" w:hAnsiTheme="majorHAnsi" w:cstheme="majorHAnsi"/>
          <w:lang w:val="en-GB"/>
        </w:rPr>
        <w:t>2012</w:t>
      </w:r>
      <w:r w:rsidRPr="00636E2E">
        <w:rPr>
          <w:rFonts w:asciiTheme="majorHAnsi" w:hAnsiTheme="majorHAnsi" w:cstheme="majorHAnsi"/>
          <w:lang w:val="en-GB"/>
        </w:rPr>
        <w:t xml:space="preserve">). Praise is also key to positive behaviour management under the Pivotal framework (Dix, </w:t>
      </w:r>
      <w:r w:rsidR="001F6D2B">
        <w:rPr>
          <w:rFonts w:asciiTheme="majorHAnsi" w:hAnsiTheme="majorHAnsi" w:cstheme="majorHAnsi"/>
          <w:lang w:val="en-GB"/>
        </w:rPr>
        <w:t>2017</w:t>
      </w:r>
      <w:r w:rsidRPr="00636E2E">
        <w:rPr>
          <w:rFonts w:asciiTheme="majorHAnsi" w:hAnsiTheme="majorHAnsi" w:cstheme="majorHAnsi"/>
          <w:lang w:val="en-GB"/>
        </w:rPr>
        <w:t>), which is being implemented by the school. I did not praise my students enough during the MTE, and it is a target of mine to praise students at the school</w:t>
      </w:r>
      <w:r w:rsidR="001F6D2B">
        <w:rPr>
          <w:rFonts w:asciiTheme="majorHAnsi" w:hAnsiTheme="majorHAnsi" w:cstheme="majorHAnsi"/>
          <w:lang w:val="en-GB"/>
        </w:rPr>
        <w:t xml:space="preserve"> (</w:t>
      </w:r>
      <w:r w:rsidR="00F52A02">
        <w:rPr>
          <w:rFonts w:asciiTheme="majorHAnsi" w:hAnsiTheme="majorHAnsi" w:cstheme="majorHAnsi"/>
          <w:lang w:val="en-GB"/>
        </w:rPr>
        <w:t>s</w:t>
      </w:r>
      <w:r w:rsidR="001F6D2B">
        <w:rPr>
          <w:rFonts w:asciiTheme="majorHAnsi" w:hAnsiTheme="majorHAnsi" w:cstheme="majorHAnsi"/>
          <w:lang w:val="en-GB"/>
        </w:rPr>
        <w:t>ee action plan)</w:t>
      </w:r>
      <w:r w:rsidRPr="00636E2E">
        <w:rPr>
          <w:rFonts w:asciiTheme="majorHAnsi" w:hAnsiTheme="majorHAnsi" w:cstheme="majorHAnsi"/>
          <w:lang w:val="en-GB"/>
        </w:rPr>
        <w:t>.</w:t>
      </w:r>
    </w:p>
    <w:p w14:paraId="42B67D42" w14:textId="1FD1E956" w:rsidR="00FB4850" w:rsidRPr="00636E2E" w:rsidRDefault="00FB485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 xml:space="preserve">A study of trainee teachers in Finland found that student teachers focus more on the academic aspect of their teaching practice, and less on the implications of social incidents, despite recognizing the importance of the teacher-student relationship in learning (Heikonen et al., 2017). </w:t>
      </w:r>
    </w:p>
    <w:p w14:paraId="4433CBBD" w14:textId="68B0E4E8" w:rsidR="00EE0EDB" w:rsidRPr="00636E2E" w:rsidRDefault="00EE0EDB"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Hetherington &amp; Wegerif (2018) emphasize the importance of material objects in science teaching and discussions. The authors discuss how scientific knowledge is often interlinked with artefacts and the fact that student teachers often do not consider the implications of the materials they use when delivering or planning lessons.</w:t>
      </w:r>
      <w:r w:rsidR="00413FC7" w:rsidRPr="00636E2E">
        <w:rPr>
          <w:rFonts w:asciiTheme="majorHAnsi" w:hAnsiTheme="majorHAnsi" w:cstheme="majorHAnsi"/>
          <w:lang w:val="en-GB"/>
        </w:rPr>
        <w:t xml:space="preserve"> </w:t>
      </w:r>
      <w:r w:rsidR="00411CF8" w:rsidRPr="00636E2E">
        <w:rPr>
          <w:rFonts w:asciiTheme="majorHAnsi" w:hAnsiTheme="majorHAnsi" w:cstheme="majorHAnsi"/>
          <w:lang w:val="en-GB"/>
        </w:rPr>
        <w:t>Certainly,</w:t>
      </w:r>
      <w:r w:rsidR="00413FC7" w:rsidRPr="00636E2E">
        <w:rPr>
          <w:rFonts w:asciiTheme="majorHAnsi" w:hAnsiTheme="majorHAnsi" w:cstheme="majorHAnsi"/>
          <w:lang w:val="en-GB"/>
        </w:rPr>
        <w:t xml:space="preserve"> in my own lessons, the understanding of concepts is greatly improved when students have a tangible model.</w:t>
      </w:r>
    </w:p>
    <w:p w14:paraId="6A2355C4" w14:textId="32069104" w:rsidR="00A76AC0" w:rsidRPr="00636E2E" w:rsidRDefault="00A76AC0"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 xml:space="preserve">According to Allison and Tharby (2015), students should be challenged. </w:t>
      </w:r>
      <w:r w:rsidR="005047CD" w:rsidRPr="005047CD">
        <w:rPr>
          <w:rFonts w:ascii="Calibri Light" w:hAnsi="Calibri Light" w:cs="Calibri Light"/>
          <w:lang w:val="en-GB"/>
        </w:rPr>
        <w:t>T</w:t>
      </w:r>
      <w:r w:rsidRPr="005047CD">
        <w:rPr>
          <w:rFonts w:ascii="Calibri Light" w:hAnsi="Calibri Light" w:cs="Calibri Light"/>
          <w:lang w:val="en-GB"/>
        </w:rPr>
        <w:t>he QTS standards</w:t>
      </w:r>
      <w:r w:rsidR="005047CD" w:rsidRPr="005047CD">
        <w:rPr>
          <w:rFonts w:ascii="Calibri Light" w:hAnsi="Calibri Light" w:cs="Calibri Light"/>
          <w:lang w:val="en-GB"/>
        </w:rPr>
        <w:t xml:space="preserve"> (</w:t>
      </w:r>
      <w:r w:rsidR="005047CD" w:rsidRPr="005047CD">
        <w:rPr>
          <w:rFonts w:ascii="Calibri Light" w:hAnsi="Calibri Light" w:cs="Calibri Light"/>
          <w:bCs/>
          <w:color w:val="000000"/>
        </w:rPr>
        <w:t>S3.1.1</w:t>
      </w:r>
      <w:r w:rsidR="005047CD" w:rsidRPr="005047CD">
        <w:rPr>
          <w:rFonts w:ascii="Calibri Light" w:hAnsi="Calibri Light" w:cs="Calibri Light"/>
          <w:bCs/>
          <w:color w:val="000000"/>
        </w:rPr>
        <w:t>)</w:t>
      </w:r>
      <w:r w:rsidRPr="005047CD">
        <w:rPr>
          <w:rFonts w:ascii="Calibri Light" w:hAnsi="Calibri Light" w:cs="Calibri Light"/>
          <w:lang w:val="en-GB"/>
        </w:rPr>
        <w:t xml:space="preserve"> reflect</w:t>
      </w:r>
      <w:r w:rsidRPr="00636E2E">
        <w:rPr>
          <w:rFonts w:asciiTheme="majorHAnsi" w:hAnsiTheme="majorHAnsi" w:cstheme="majorHAnsi"/>
          <w:lang w:val="en-GB"/>
        </w:rPr>
        <w:t xml:space="preserve"> this by stating that teachers must set challenging objectives. Students need to be challenged to be able to move on in their zone of proximal development (Vygotsky, 1978). The zone of proximal development encompasses the space between current knowledge or ability, and what you could know or do with support. Scaffolding (Bruner, </w:t>
      </w:r>
      <w:r w:rsidR="00636E2E" w:rsidRPr="00636E2E">
        <w:rPr>
          <w:rFonts w:asciiTheme="majorHAnsi" w:hAnsiTheme="majorHAnsi" w:cstheme="majorHAnsi"/>
          <w:lang w:val="en-GB"/>
        </w:rPr>
        <w:t>1978</w:t>
      </w:r>
      <w:r w:rsidRPr="00636E2E">
        <w:rPr>
          <w:rFonts w:asciiTheme="majorHAnsi" w:hAnsiTheme="majorHAnsi" w:cstheme="majorHAnsi"/>
          <w:lang w:val="en-GB"/>
        </w:rPr>
        <w:t>) is provided by the instructor to help students reach the next stage of</w:t>
      </w:r>
      <w:r w:rsidR="00413FC7" w:rsidRPr="00636E2E">
        <w:rPr>
          <w:rFonts w:asciiTheme="majorHAnsi" w:hAnsiTheme="majorHAnsi" w:cstheme="majorHAnsi"/>
          <w:lang w:val="en-GB"/>
        </w:rPr>
        <w:t xml:space="preserve"> </w:t>
      </w:r>
      <w:r w:rsidRPr="00636E2E">
        <w:rPr>
          <w:rFonts w:asciiTheme="majorHAnsi" w:hAnsiTheme="majorHAnsi" w:cstheme="majorHAnsi"/>
          <w:lang w:val="en-GB"/>
        </w:rPr>
        <w:t xml:space="preserve">the ZPD. In the new curriculum planned for Wales, each learner will be on their own learning journey. Differentiation is tailored learning to each student in the classroom. </w:t>
      </w:r>
    </w:p>
    <w:p w14:paraId="41F454EA" w14:textId="3C10A5BE" w:rsidR="00A620C6" w:rsidRDefault="00A620C6" w:rsidP="00A620C6">
      <w:pPr>
        <w:pStyle w:val="Heading2"/>
        <w:rPr>
          <w:lang w:val="en-GB"/>
        </w:rPr>
      </w:pPr>
      <w:bookmarkStart w:id="16" w:name="_Toc531031916"/>
      <w:r>
        <w:rPr>
          <w:lang w:val="en-GB"/>
        </w:rPr>
        <w:t>Teaching Persona</w:t>
      </w:r>
      <w:bookmarkEnd w:id="16"/>
    </w:p>
    <w:p w14:paraId="65B34668" w14:textId="51D00CD6" w:rsidR="00A620C6" w:rsidRDefault="00A620C6" w:rsidP="00550EDF">
      <w:pPr>
        <w:spacing w:line="480" w:lineRule="auto"/>
        <w:rPr>
          <w:rFonts w:asciiTheme="majorHAnsi" w:hAnsiTheme="majorHAnsi" w:cstheme="majorHAnsi"/>
          <w:lang w:val="en-GB"/>
        </w:rPr>
      </w:pPr>
      <w:r>
        <w:rPr>
          <w:rFonts w:asciiTheme="majorHAnsi" w:hAnsiTheme="majorHAnsi" w:cstheme="majorHAnsi"/>
          <w:lang w:val="en-GB"/>
        </w:rPr>
        <w:t xml:space="preserve">A major criticism I have received is my lack of presence in the classroom and the need to develop a teaching persona. </w:t>
      </w:r>
      <w:r w:rsidR="00F3268C">
        <w:rPr>
          <w:rFonts w:asciiTheme="majorHAnsi" w:hAnsiTheme="majorHAnsi" w:cstheme="majorHAnsi"/>
          <w:lang w:val="en-GB"/>
        </w:rPr>
        <w:t xml:space="preserve">Bandura </w:t>
      </w:r>
      <w:r w:rsidR="00346386">
        <w:rPr>
          <w:rFonts w:asciiTheme="majorHAnsi" w:hAnsiTheme="majorHAnsi" w:cstheme="majorHAnsi"/>
          <w:lang w:val="en-GB"/>
        </w:rPr>
        <w:t xml:space="preserve">(1997) </w:t>
      </w:r>
      <w:r w:rsidR="00F3268C">
        <w:rPr>
          <w:rFonts w:asciiTheme="majorHAnsi" w:hAnsiTheme="majorHAnsi" w:cstheme="majorHAnsi"/>
          <w:lang w:val="en-GB"/>
        </w:rPr>
        <w:t>indicated that the sense of self-efficacy of a teacher is linked to his or her effectiveness in the classroom</w:t>
      </w:r>
      <w:r w:rsidR="00346386">
        <w:rPr>
          <w:rFonts w:asciiTheme="majorHAnsi" w:hAnsiTheme="majorHAnsi" w:cstheme="majorHAnsi"/>
          <w:lang w:val="en-GB"/>
        </w:rPr>
        <w:t xml:space="preserve">. I am struggling to see myself as a teacher, and this is having negative consequences on my performance in the classroom. </w:t>
      </w:r>
    </w:p>
    <w:p w14:paraId="6FE8FD8C" w14:textId="7A5C4C9E" w:rsidR="00550EDF" w:rsidRDefault="005248DD" w:rsidP="00550EDF">
      <w:pPr>
        <w:spacing w:line="480" w:lineRule="auto"/>
        <w:rPr>
          <w:rStyle w:val="Heading3Char"/>
          <w:rFonts w:cstheme="majorHAnsi"/>
          <w:lang w:val="en-GB"/>
        </w:rPr>
      </w:pPr>
      <w:bookmarkStart w:id="17" w:name="_Toc531031917"/>
      <w:r>
        <w:rPr>
          <w:rStyle w:val="Heading3Char"/>
          <w:rFonts w:cstheme="majorHAnsi"/>
          <w:lang w:val="en-GB"/>
        </w:rPr>
        <w:t>Seating plan</w:t>
      </w:r>
      <w:bookmarkEnd w:id="17"/>
    </w:p>
    <w:p w14:paraId="20CC4054" w14:textId="62DF5B10" w:rsidR="00550EDF" w:rsidRPr="00CC5FEB" w:rsidRDefault="007A34F1" w:rsidP="00CC5FEB">
      <w:pPr>
        <w:spacing w:line="480" w:lineRule="auto"/>
        <w:rPr>
          <w:rStyle w:val="eop"/>
          <w:rFonts w:asciiTheme="majorHAnsi" w:eastAsiaTheme="majorEastAsia" w:hAnsiTheme="majorHAnsi" w:cstheme="majorHAnsi"/>
          <w:color w:val="1F3763" w:themeColor="accent1" w:themeShade="7F"/>
          <w:sz w:val="24"/>
          <w:szCs w:val="24"/>
          <w:lang w:val="en-GB"/>
        </w:rPr>
      </w:pPr>
      <w:r>
        <w:rPr>
          <w:rFonts w:asciiTheme="majorHAnsi" w:eastAsia="Calibri Light" w:hAnsiTheme="majorHAnsi" w:cstheme="majorHAnsi"/>
          <w:sz w:val="24"/>
          <w:szCs w:val="24"/>
          <w:lang w:val="en-GB"/>
        </w:rPr>
        <w:t>In general, there were no real behaviour management issues in the MTE. It did not prepare me for the reality of teaching in a classroom, to around 30 children who are practically forced to be there. One device that has been useful is the implementation of a seating plan.</w:t>
      </w:r>
    </w:p>
    <w:p w14:paraId="7C6FC4B8" w14:textId="3C14D22C" w:rsidR="0098259C" w:rsidRPr="005248DD" w:rsidRDefault="0098259C" w:rsidP="005248DD">
      <w:pPr>
        <w:spacing w:line="480" w:lineRule="auto"/>
        <w:jc w:val="both"/>
        <w:rPr>
          <w:rStyle w:val="Heading3Char"/>
          <w:rFonts w:ascii="Calibri Light" w:hAnsi="Calibri Light" w:cs="Calibri Light"/>
          <w:sz w:val="28"/>
          <w:lang w:val="en-GB"/>
        </w:rPr>
      </w:pPr>
      <w:r w:rsidRPr="005248DD">
        <w:rPr>
          <w:rStyle w:val="normaltextrun"/>
          <w:rFonts w:ascii="Calibri Light" w:hAnsi="Calibri Light" w:cs="Calibri Light"/>
          <w:color w:val="000000"/>
          <w:sz w:val="24"/>
          <w:bdr w:val="none" w:sz="0" w:space="0" w:color="auto" w:frame="1"/>
        </w:rPr>
        <w:t xml:space="preserve">In terms of the physical arrangement of tables and its effect on learning, </w:t>
      </w:r>
      <w:proofErr w:type="spellStart"/>
      <w:r w:rsidRPr="005248DD">
        <w:rPr>
          <w:rStyle w:val="normaltextrun"/>
          <w:rFonts w:ascii="Calibri Light" w:hAnsi="Calibri Light" w:cs="Calibri Light"/>
          <w:color w:val="000000"/>
          <w:sz w:val="24"/>
          <w:bdr w:val="none" w:sz="0" w:space="0" w:color="auto" w:frame="1"/>
        </w:rPr>
        <w:t>Wannarka</w:t>
      </w:r>
      <w:proofErr w:type="spellEnd"/>
      <w:r w:rsidRPr="005248DD">
        <w:rPr>
          <w:rStyle w:val="normaltextrun"/>
          <w:rFonts w:ascii="Calibri Light" w:hAnsi="Calibri Light" w:cs="Calibri Light"/>
          <w:color w:val="000000"/>
          <w:sz w:val="24"/>
          <w:bdr w:val="none" w:sz="0" w:space="0" w:color="auto" w:frame="1"/>
        </w:rPr>
        <w:t xml:space="preserve"> and Ruhl (2008) found that rows are better for individual tasks, and moving desks together is better for group tasks. The authors indicated that this was especially true for students with additional learning needs.</w:t>
      </w:r>
    </w:p>
    <w:p w14:paraId="56CC89EA" w14:textId="77777777" w:rsidR="00550EDF" w:rsidRPr="00636E2E" w:rsidRDefault="00550EDF" w:rsidP="00550EDF">
      <w:pPr>
        <w:spacing w:line="480" w:lineRule="auto"/>
        <w:rPr>
          <w:rStyle w:val="Heading3Char"/>
          <w:rFonts w:cstheme="majorHAnsi"/>
          <w:lang w:val="en-GB"/>
        </w:rPr>
      </w:pPr>
      <w:bookmarkStart w:id="18" w:name="_Toc531031918"/>
      <w:r w:rsidRPr="00636E2E">
        <w:rPr>
          <w:rStyle w:val="Heading3Char"/>
          <w:rFonts w:cstheme="majorHAnsi"/>
          <w:lang w:val="en-GB"/>
        </w:rPr>
        <w:t>Subject Knowledge</w:t>
      </w:r>
      <w:bookmarkEnd w:id="18"/>
    </w:p>
    <w:p w14:paraId="7FD3C712" w14:textId="77777777" w:rsidR="00550EDF" w:rsidRPr="00636E2E" w:rsidRDefault="00550EDF" w:rsidP="00550EDF">
      <w:pPr>
        <w:spacing w:line="480" w:lineRule="auto"/>
        <w:jc w:val="both"/>
        <w:rPr>
          <w:rFonts w:asciiTheme="majorHAnsi" w:eastAsia="Calibri" w:hAnsiTheme="majorHAnsi" w:cstheme="majorHAnsi"/>
          <w:sz w:val="24"/>
          <w:szCs w:val="24"/>
          <w:lang w:val="en-GB"/>
        </w:rPr>
      </w:pPr>
      <w:r w:rsidRPr="00636E2E">
        <w:rPr>
          <w:rFonts w:asciiTheme="majorHAnsi" w:eastAsia="Calibri Light" w:hAnsiTheme="majorHAnsi" w:cstheme="majorHAnsi"/>
          <w:sz w:val="24"/>
          <w:szCs w:val="24"/>
          <w:lang w:val="en-GB"/>
        </w:rPr>
        <w:t xml:space="preserve">In a study on the effect of subject knowledge on learning in fifth-grade mathematics, academics at the University of Cypress expected to find diminished returns on subject knowledge (Agathangelou, Charalambous &amp; Koutselini, 2016). The curvilinear findings of the study suggest that teacher knowledge does not explain learning and that more research needs to focus on the interactions between teacher and student. Indeed, this is supported by personal experience of many teachers. One tutor mentioned that when he started teaching, he was all about the subject, until he realised how little teaching had to do with subject knowledge. </w:t>
      </w:r>
    </w:p>
    <w:p w14:paraId="7A890169" w14:textId="10EF5948" w:rsidR="00550EDF" w:rsidRPr="00550EDF" w:rsidRDefault="00550EDF" w:rsidP="00550EDF">
      <w:pPr>
        <w:spacing w:line="480" w:lineRule="auto"/>
        <w:jc w:val="both"/>
        <w:rPr>
          <w:rStyle w:val="Heading3Char"/>
          <w:rFonts w:eastAsia="Calibri Light" w:cstheme="majorHAnsi"/>
          <w:color w:val="auto"/>
          <w:lang w:val="en-GB"/>
        </w:rPr>
      </w:pPr>
      <w:r w:rsidRPr="00636E2E">
        <w:rPr>
          <w:rFonts w:asciiTheme="majorHAnsi" w:eastAsia="Calibri Light" w:hAnsiTheme="majorHAnsi" w:cstheme="majorHAnsi"/>
          <w:sz w:val="24"/>
          <w:szCs w:val="24"/>
          <w:lang w:val="en-GB"/>
        </w:rPr>
        <w:t>A major criticism could be time management, I spent a lot of time producing a scheme of work that I never used, and then created another one in much less time</w:t>
      </w:r>
      <w:r w:rsidR="00A97588">
        <w:rPr>
          <w:rFonts w:asciiTheme="majorHAnsi" w:eastAsia="Calibri Light" w:hAnsiTheme="majorHAnsi" w:cstheme="majorHAnsi"/>
          <w:sz w:val="24"/>
          <w:szCs w:val="24"/>
          <w:lang w:val="en-GB"/>
        </w:rPr>
        <w:t>.</w:t>
      </w:r>
    </w:p>
    <w:p w14:paraId="6ACFEE8F" w14:textId="77777777" w:rsidR="00550EDF" w:rsidRPr="00636E2E" w:rsidRDefault="00550EDF" w:rsidP="00550EDF">
      <w:pPr>
        <w:spacing w:line="480" w:lineRule="auto"/>
        <w:rPr>
          <w:rFonts w:asciiTheme="majorHAnsi" w:eastAsia="Calibri Light" w:hAnsiTheme="majorHAnsi" w:cstheme="majorHAnsi"/>
          <w:sz w:val="24"/>
          <w:szCs w:val="24"/>
          <w:lang w:val="en-GB"/>
        </w:rPr>
      </w:pPr>
      <w:bookmarkStart w:id="19" w:name="_Toc531031919"/>
      <w:r w:rsidRPr="00636E2E">
        <w:rPr>
          <w:rStyle w:val="Heading2Char"/>
          <w:rFonts w:cstheme="majorHAnsi"/>
          <w:lang w:val="en-GB"/>
        </w:rPr>
        <w:t>Assessment for Learning</w:t>
      </w:r>
      <w:bookmarkEnd w:id="19"/>
    </w:p>
    <w:p w14:paraId="45FFDEAF" w14:textId="77777777" w:rsidR="00550EDF" w:rsidRPr="00636E2E" w:rsidRDefault="00550EDF" w:rsidP="00550EDF">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 xml:space="preserve">Further development of the theory of AFL by Black and Wiliam (2009) resulted in a 5-step model: 1. Making learning criteria and intentions explicit to students; 2. Implementing activities that offer evidence of current understanding; 3. Give feedback to move students along; 4. Allow peers to teach one another; 5. Make students responsible for, or have ownership of own learning. </w:t>
      </w:r>
    </w:p>
    <w:p w14:paraId="040EA76F" w14:textId="77777777" w:rsidR="00550EDF" w:rsidRPr="00636E2E" w:rsidRDefault="00550EDF" w:rsidP="00550EDF">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 xml:space="preserve">In future iterations of the MTE in practice I would apply the peer assessment model (Reinholz, 2016). Students would mark and give feedback on each other’s work, allowing the student to later self-assess and make any improvements. </w:t>
      </w:r>
    </w:p>
    <w:p w14:paraId="413A0838" w14:textId="02A2823E" w:rsidR="00550EDF" w:rsidRPr="00636E2E" w:rsidRDefault="00550EDF" w:rsidP="00550EDF">
      <w:pPr>
        <w:spacing w:line="480" w:lineRule="auto"/>
        <w:jc w:val="both"/>
        <w:rPr>
          <w:rFonts w:asciiTheme="majorHAnsi" w:eastAsia="Calibri Light" w:hAnsiTheme="majorHAnsi" w:cstheme="majorHAnsi"/>
          <w:sz w:val="24"/>
          <w:szCs w:val="24"/>
          <w:lang w:val="en-GB"/>
        </w:rPr>
      </w:pPr>
      <w:r w:rsidRPr="00636E2E">
        <w:rPr>
          <w:rFonts w:asciiTheme="majorHAnsi" w:eastAsia="Calibri Light" w:hAnsiTheme="majorHAnsi" w:cstheme="majorHAnsi"/>
          <w:sz w:val="24"/>
          <w:szCs w:val="24"/>
          <w:lang w:val="en-GB"/>
        </w:rPr>
        <w:t xml:space="preserve">One criticism of AFL within a lesson might be that learning is not linear. A student may not have learned any one thing within a single lesson but might over a longer period.  </w:t>
      </w:r>
    </w:p>
    <w:p w14:paraId="7151F320" w14:textId="77777777" w:rsidR="00550EDF" w:rsidRPr="00636E2E" w:rsidRDefault="00550EDF" w:rsidP="002A7B09">
      <w:pPr>
        <w:spacing w:line="480" w:lineRule="auto"/>
        <w:jc w:val="both"/>
        <w:rPr>
          <w:rFonts w:asciiTheme="majorHAnsi" w:hAnsiTheme="majorHAnsi" w:cstheme="majorHAnsi"/>
          <w:lang w:val="en-GB"/>
        </w:rPr>
      </w:pPr>
    </w:p>
    <w:p w14:paraId="645F2649" w14:textId="77777777" w:rsidR="00A76AC0" w:rsidRPr="00636E2E" w:rsidRDefault="00A76AC0" w:rsidP="00CC5FEB">
      <w:pPr>
        <w:pStyle w:val="Heading2"/>
        <w:rPr>
          <w:lang w:val="en-GB"/>
        </w:rPr>
      </w:pPr>
      <w:bookmarkStart w:id="20" w:name="_Toc531031920"/>
      <w:r w:rsidRPr="00636E2E">
        <w:rPr>
          <w:lang w:val="en-GB"/>
        </w:rPr>
        <w:t>Conclusion</w:t>
      </w:r>
      <w:bookmarkEnd w:id="20"/>
    </w:p>
    <w:p w14:paraId="13A1593D" w14:textId="4425D910" w:rsidR="00C25FC9" w:rsidRPr="00636E2E" w:rsidRDefault="00C25FC9" w:rsidP="002A7B09">
      <w:pPr>
        <w:spacing w:line="480" w:lineRule="auto"/>
        <w:jc w:val="both"/>
        <w:rPr>
          <w:rFonts w:asciiTheme="majorHAnsi" w:hAnsiTheme="majorHAnsi" w:cstheme="majorHAnsi"/>
          <w:lang w:val="en-GB"/>
        </w:rPr>
      </w:pPr>
      <w:r w:rsidRPr="00636E2E">
        <w:rPr>
          <w:rFonts w:asciiTheme="majorHAnsi" w:hAnsiTheme="majorHAnsi" w:cstheme="majorHAnsi"/>
          <w:lang w:val="en-GB"/>
        </w:rPr>
        <w:t xml:space="preserve">Overall, the experience of PTE1 has so far been positive and has allowed me to critically reflect upon the MTE. </w:t>
      </w:r>
      <w:r w:rsidR="00630F7E">
        <w:rPr>
          <w:rFonts w:asciiTheme="majorHAnsi" w:hAnsiTheme="majorHAnsi" w:cstheme="majorHAnsi"/>
          <w:lang w:val="en-GB"/>
        </w:rPr>
        <w:t>There</w:t>
      </w:r>
      <w:r w:rsidRPr="00636E2E">
        <w:rPr>
          <w:rFonts w:asciiTheme="majorHAnsi" w:hAnsiTheme="majorHAnsi" w:cstheme="majorHAnsi"/>
          <w:lang w:val="en-GB"/>
        </w:rPr>
        <w:t xml:space="preserve"> are aspects of the original SOW that have value for students at PTE1, but they need more support.</w:t>
      </w:r>
      <w:r w:rsidR="00630F7E">
        <w:rPr>
          <w:rFonts w:asciiTheme="majorHAnsi" w:hAnsiTheme="majorHAnsi" w:cstheme="majorHAnsi"/>
          <w:lang w:val="en-GB"/>
        </w:rPr>
        <w:t xml:space="preserve"> </w:t>
      </w:r>
      <w:r w:rsidRPr="00636E2E">
        <w:rPr>
          <w:rFonts w:asciiTheme="majorHAnsi" w:hAnsiTheme="majorHAnsi" w:cstheme="majorHAnsi"/>
          <w:lang w:val="en-GB"/>
        </w:rPr>
        <w:t>Becoming a teacher is a process, behaviour management does not ‘happen by magic’ as my tutor says, and it will take time to develop a teaching persona that is true to me.</w:t>
      </w:r>
    </w:p>
    <w:p w14:paraId="7C1BF3DF" w14:textId="77777777" w:rsidR="00357A55" w:rsidRPr="00636E2E" w:rsidRDefault="00357A55" w:rsidP="002A7B09">
      <w:pPr>
        <w:spacing w:after="0" w:line="480" w:lineRule="auto"/>
        <w:jc w:val="center"/>
        <w:rPr>
          <w:rFonts w:ascii="Calibri" w:eastAsia="Times New Roman" w:hAnsi="Calibri" w:cs="Calibri"/>
          <w:b/>
          <w:sz w:val="24"/>
          <w:szCs w:val="24"/>
          <w:lang w:val="en-GB"/>
        </w:rPr>
      </w:pPr>
    </w:p>
    <w:p w14:paraId="7EB46E10" w14:textId="77777777" w:rsidR="00357A55" w:rsidRPr="00636E2E" w:rsidRDefault="00357A55" w:rsidP="002A7B09">
      <w:pPr>
        <w:spacing w:after="0" w:line="480" w:lineRule="auto"/>
        <w:rPr>
          <w:rFonts w:ascii="Arial" w:eastAsia="Times New Roman" w:hAnsi="Arial" w:cs="Times New Roman"/>
          <w:sz w:val="24"/>
          <w:szCs w:val="20"/>
          <w:lang w:val="en-GB"/>
        </w:rPr>
        <w:sectPr w:rsidR="00357A55" w:rsidRPr="00636E2E">
          <w:headerReference w:type="default" r:id="rId11"/>
          <w:footerReference w:type="default" r:id="rId12"/>
          <w:pgSz w:w="12240" w:h="15840"/>
          <w:pgMar w:top="1440" w:right="1440" w:bottom="1440" w:left="1440" w:header="720" w:footer="720" w:gutter="0"/>
          <w:cols w:space="720"/>
          <w:docGrid w:linePitch="360"/>
        </w:sect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357A55" w:rsidRPr="00636E2E" w14:paraId="44A8E789" w14:textId="77777777" w:rsidTr="004E29F7">
        <w:trPr>
          <w:gridBefore w:val="1"/>
          <w:wBefore w:w="108" w:type="dxa"/>
          <w:trHeight w:val="536"/>
        </w:trPr>
        <w:tc>
          <w:tcPr>
            <w:tcW w:w="284" w:type="dxa"/>
            <w:tcBorders>
              <w:right w:val="single" w:sz="4" w:space="0" w:color="auto"/>
            </w:tcBorders>
          </w:tcPr>
          <w:p w14:paraId="5767B06A" w14:textId="6C6BCD6B" w:rsidR="00357A55" w:rsidRPr="00636E2E" w:rsidRDefault="00357A55" w:rsidP="002A7B09">
            <w:pPr>
              <w:spacing w:after="0" w:line="480" w:lineRule="auto"/>
              <w:rPr>
                <w:rFonts w:ascii="Arial" w:eastAsia="Times New Roman" w:hAnsi="Arial" w:cs="Times New Roman"/>
                <w:sz w:val="24"/>
                <w:szCs w:val="20"/>
                <w:lang w:val="en-GB"/>
              </w:rPr>
            </w:pPr>
          </w:p>
          <w:p w14:paraId="3FE7BCD5" w14:textId="77777777" w:rsidR="00357A55" w:rsidRPr="00636E2E" w:rsidRDefault="00357A55" w:rsidP="002A7B09">
            <w:pPr>
              <w:spacing w:after="19" w:line="480" w:lineRule="auto"/>
              <w:rPr>
                <w:rFonts w:ascii="Arial" w:eastAsia="Times New Roman" w:hAnsi="Arial" w:cs="Times New Roman"/>
                <w:szCs w:val="24"/>
                <w:lang w:val="en-GB"/>
              </w:rPr>
            </w:pPr>
          </w:p>
        </w:tc>
        <w:tc>
          <w:tcPr>
            <w:tcW w:w="14175" w:type="dxa"/>
            <w:gridSpan w:val="3"/>
            <w:tcBorders>
              <w:top w:val="single" w:sz="4" w:space="0" w:color="auto"/>
              <w:left w:val="single" w:sz="4" w:space="0" w:color="auto"/>
              <w:bottom w:val="single" w:sz="4" w:space="0" w:color="auto"/>
              <w:right w:val="single" w:sz="4" w:space="0" w:color="auto"/>
            </w:tcBorders>
          </w:tcPr>
          <w:p w14:paraId="3844078E" w14:textId="77777777" w:rsidR="00357A55" w:rsidRPr="00636E2E" w:rsidRDefault="00357A55" w:rsidP="002A7B09">
            <w:pPr>
              <w:spacing w:after="0" w:line="480" w:lineRule="auto"/>
              <w:jc w:val="center"/>
              <w:rPr>
                <w:rFonts w:ascii="Arial" w:eastAsia="Times New Roman" w:hAnsi="Arial" w:cs="Times New Roman"/>
                <w:b/>
                <w:szCs w:val="24"/>
                <w:lang w:val="en-GB"/>
              </w:rPr>
            </w:pPr>
          </w:p>
          <w:p w14:paraId="24E293B3" w14:textId="77777777" w:rsidR="00357A55" w:rsidRPr="00636E2E" w:rsidRDefault="00357A55" w:rsidP="002A7B09">
            <w:pPr>
              <w:spacing w:line="480" w:lineRule="auto"/>
              <w:jc w:val="center"/>
              <w:rPr>
                <w:rFonts w:eastAsia="Times New Roman"/>
                <w:b/>
                <w:sz w:val="28"/>
                <w:szCs w:val="28"/>
                <w:lang w:val="en-GB"/>
              </w:rPr>
            </w:pPr>
            <w:bookmarkStart w:id="21" w:name="_Toc334522047"/>
            <w:r w:rsidRPr="00636E2E">
              <w:rPr>
                <w:rFonts w:eastAsia="Times New Roman"/>
                <w:b/>
                <w:sz w:val="28"/>
                <w:szCs w:val="28"/>
                <w:lang w:val="en-GB"/>
              </w:rPr>
              <w:t xml:space="preserve">ACTION </w:t>
            </w:r>
            <w:proofErr w:type="gramStart"/>
            <w:r w:rsidRPr="00636E2E">
              <w:rPr>
                <w:rFonts w:eastAsia="Times New Roman"/>
                <w:b/>
                <w:sz w:val="28"/>
                <w:szCs w:val="28"/>
                <w:lang w:val="en-GB"/>
              </w:rPr>
              <w:t>PLAN  -</w:t>
            </w:r>
            <w:proofErr w:type="gramEnd"/>
            <w:r w:rsidRPr="00636E2E">
              <w:rPr>
                <w:rFonts w:eastAsia="Times New Roman"/>
                <w:b/>
                <w:sz w:val="28"/>
                <w:szCs w:val="28"/>
                <w:lang w:val="en-GB"/>
              </w:rPr>
              <w:t xml:space="preserve">  Objectives and programme for Term</w:t>
            </w:r>
            <w:bookmarkEnd w:id="21"/>
            <w:r w:rsidRPr="00636E2E">
              <w:rPr>
                <w:rFonts w:eastAsia="Times New Roman"/>
                <w:b/>
                <w:sz w:val="28"/>
                <w:szCs w:val="28"/>
                <w:lang w:val="en-GB"/>
              </w:rPr>
              <w:t xml:space="preserve"> 1</w:t>
            </w:r>
          </w:p>
        </w:tc>
        <w:tc>
          <w:tcPr>
            <w:tcW w:w="604" w:type="dxa"/>
            <w:tcBorders>
              <w:left w:val="single" w:sz="4" w:space="0" w:color="auto"/>
            </w:tcBorders>
          </w:tcPr>
          <w:p w14:paraId="23490DF3" w14:textId="77777777" w:rsidR="00357A55" w:rsidRPr="00636E2E" w:rsidRDefault="00357A55" w:rsidP="002A7B09">
            <w:pPr>
              <w:tabs>
                <w:tab w:val="right" w:leader="dot" w:pos="3898"/>
              </w:tabs>
              <w:spacing w:after="19" w:line="480" w:lineRule="auto"/>
              <w:ind w:left="720"/>
              <w:rPr>
                <w:rFonts w:ascii="Arial" w:eastAsia="Times New Roman" w:hAnsi="Arial" w:cs="Times New Roman"/>
                <w:sz w:val="20"/>
                <w:szCs w:val="24"/>
                <w:lang w:val="en-GB"/>
              </w:rPr>
            </w:pPr>
          </w:p>
        </w:tc>
      </w:tr>
      <w:tr w:rsidR="00357A55" w:rsidRPr="00636E2E" w14:paraId="1F39F3B2" w14:textId="77777777" w:rsidTr="004E29F7">
        <w:tblPrEx>
          <w:tblCellMar>
            <w:left w:w="108" w:type="dxa"/>
            <w:right w:w="108" w:type="dxa"/>
          </w:tblCellMar>
        </w:tblPrEx>
        <w:trPr>
          <w:gridAfter w:val="2"/>
          <w:wAfter w:w="610" w:type="dxa"/>
          <w:trHeight w:val="414"/>
        </w:trPr>
        <w:tc>
          <w:tcPr>
            <w:tcW w:w="5562" w:type="dxa"/>
            <w:gridSpan w:val="3"/>
          </w:tcPr>
          <w:p w14:paraId="1EC75ED2"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0" w:line="480" w:lineRule="auto"/>
              <w:rPr>
                <w:rFonts w:ascii="Arial" w:eastAsia="Times New Roman" w:hAnsi="Arial" w:cs="Times New Roman"/>
                <w:b/>
                <w:sz w:val="20"/>
                <w:szCs w:val="24"/>
                <w:lang w:val="en-GB"/>
              </w:rPr>
            </w:pPr>
          </w:p>
          <w:p w14:paraId="618D4EEA" w14:textId="77777777" w:rsidR="00357A55" w:rsidRPr="00636E2E" w:rsidRDefault="00357A55" w:rsidP="002A7B09">
            <w:pPr>
              <w:tabs>
                <w:tab w:val="left" w:pos="-720"/>
                <w:tab w:val="left" w:pos="360"/>
                <w:tab w:val="left" w:pos="720"/>
                <w:tab w:val="left" w:pos="1440"/>
                <w:tab w:val="left" w:pos="2160"/>
                <w:tab w:val="left" w:pos="2880"/>
                <w:tab w:val="left" w:pos="3330"/>
                <w:tab w:val="left" w:pos="4320"/>
              </w:tabs>
              <w:spacing w:after="0" w:line="480" w:lineRule="auto"/>
              <w:ind w:firstLine="360"/>
              <w:rPr>
                <w:rFonts w:ascii="Arial" w:eastAsia="Times New Roman" w:hAnsi="Arial" w:cs="Times New Roman"/>
                <w:b/>
                <w:sz w:val="20"/>
                <w:szCs w:val="24"/>
                <w:lang w:val="en-GB"/>
              </w:rPr>
            </w:pPr>
            <w:r w:rsidRPr="00636E2E">
              <w:rPr>
                <w:rFonts w:ascii="Arial" w:eastAsia="Times New Roman" w:hAnsi="Arial" w:cs="Times New Roman"/>
                <w:b/>
                <w:noProof/>
                <w:sz w:val="20"/>
                <w:szCs w:val="24"/>
                <w:lang w:val="en-GB"/>
              </w:rPr>
              <mc:AlternateContent>
                <mc:Choice Requires="wps">
                  <w:drawing>
                    <wp:anchor distT="0" distB="0" distL="114300" distR="114300" simplePos="0" relativeHeight="251664384" behindDoc="0" locked="0" layoutInCell="1" allowOverlap="1" wp14:anchorId="122A7A90" wp14:editId="02ACB105">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43923917" w14:textId="339354CD" w:rsidR="00357A55" w:rsidRPr="002D4D50" w:rsidRDefault="00357A55" w:rsidP="00357A55">
                                  <w:pPr>
                                    <w:rPr>
                                      <w:b/>
                                      <w:sz w:val="20"/>
                                    </w:rPr>
                                  </w:pPr>
                                  <w:r w:rsidRPr="002D4D50">
                                    <w:rPr>
                                      <w:b/>
                                      <w:sz w:val="20"/>
                                    </w:rPr>
                                    <w:t>Name</w:t>
                                  </w:r>
                                  <w:r w:rsidR="003D650A">
                                    <w:rPr>
                                      <w:b/>
                                      <w:sz w:val="20"/>
                                    </w:rPr>
                                    <w:t xml:space="preserve"> Rebecca Pedrick-Case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2A7A90" id="Text Box 50" o:spid="_x0000_s1027" type="#_x0000_t202" style="position:absolute;left:0;text-align:left;margin-left:15.05pt;margin-top:1.05pt;width:225pt;height:2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">
                      <v:textbox>
                        <w:txbxContent>
                          <w:p w14:paraId="43923917" w14:textId="339354CD" w:rsidR="00357A55" w:rsidRPr="002D4D50" w:rsidRDefault="00357A55" w:rsidP="00357A55">
                            <w:pPr>
                              <w:rPr>
                                <w:b/>
                                <w:sz w:val="20"/>
                              </w:rPr>
                            </w:pPr>
                            <w:r w:rsidRPr="002D4D50">
                              <w:rPr>
                                <w:b/>
                                <w:sz w:val="20"/>
                              </w:rPr>
                              <w:t>Name</w:t>
                            </w:r>
                            <w:r w:rsidR="003D650A">
                              <w:rPr>
                                <w:b/>
                                <w:sz w:val="20"/>
                              </w:rPr>
                              <w:t xml:space="preserve"> Rebecca Pedrick-Case</w:t>
                            </w:r>
                          </w:p>
                        </w:txbxContent>
                      </v:textbox>
                    </v:shape>
                  </w:pict>
                </mc:Fallback>
              </mc:AlternateContent>
            </w:r>
          </w:p>
        </w:tc>
        <w:tc>
          <w:tcPr>
            <w:tcW w:w="8999" w:type="dxa"/>
          </w:tcPr>
          <w:p w14:paraId="051962CB" w14:textId="1D6A88A8"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0" w:line="480" w:lineRule="auto"/>
              <w:jc w:val="right"/>
              <w:rPr>
                <w:rFonts w:ascii="Arial" w:eastAsia="Times New Roman" w:hAnsi="Arial" w:cs="Times New Roman"/>
                <w:b/>
                <w:sz w:val="20"/>
                <w:szCs w:val="24"/>
                <w:lang w:val="en-GB"/>
              </w:rPr>
            </w:pPr>
          </w:p>
          <w:p w14:paraId="39EFBBEC" w14:textId="7A95787D"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0" w:line="480" w:lineRule="auto"/>
              <w:jc w:val="right"/>
              <w:rPr>
                <w:rFonts w:ascii="Arial" w:eastAsia="Times New Roman" w:hAnsi="Arial" w:cs="Times New Roman"/>
                <w:b/>
                <w:sz w:val="20"/>
                <w:szCs w:val="24"/>
                <w:lang w:val="en-GB"/>
              </w:rPr>
            </w:pPr>
            <w:r w:rsidRPr="00636E2E">
              <w:rPr>
                <w:rFonts w:ascii="Arial" w:eastAsia="Times New Roman" w:hAnsi="Arial" w:cs="Times New Roman"/>
                <w:b/>
                <w:noProof/>
                <w:sz w:val="20"/>
                <w:szCs w:val="24"/>
                <w:lang w:val="en-GB"/>
              </w:rPr>
              <mc:AlternateContent>
                <mc:Choice Requires="wps">
                  <w:drawing>
                    <wp:anchor distT="0" distB="0" distL="114300" distR="114300" simplePos="0" relativeHeight="251665408" behindDoc="0" locked="0" layoutInCell="1" allowOverlap="1" wp14:anchorId="73994267" wp14:editId="5995674C">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66C3AEF6" w14:textId="53C11463" w:rsidR="00357A55" w:rsidRPr="002D4D50" w:rsidRDefault="00357A55" w:rsidP="00357A55">
                                  <w:pPr>
                                    <w:rPr>
                                      <w:b/>
                                      <w:sz w:val="20"/>
                                    </w:rPr>
                                  </w:pPr>
                                  <w:r w:rsidRPr="002D4D50">
                                    <w:rPr>
                                      <w:b/>
                                      <w:sz w:val="20"/>
                                    </w:rPr>
                                    <w:t xml:space="preserve">Date </w:t>
                                  </w:r>
                                  <w:r w:rsidR="003D650A">
                                    <w:rPr>
                                      <w:b/>
                                      <w:sz w:val="20"/>
                                    </w:rPr>
                                    <w:t>26/11/2018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994267" id="Text Box 48" o:spid="_x0000_s1028" type="#_x0000_t202" style="position:absolute;left:0;text-align:left;margin-left:303.25pt;margin-top:1.05pt;width:143.4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H6azl8sAgAAWQQAAA4AAAAAAAAAAAAAAAAALgIAAGRy&#10;cy9lMm9Eb2MueG1sUEsBAi0AFAAGAAgAAAAhAEpjhWXfAAAACAEAAA8AAAAAAAAAAAAAAAAAhgQA&#10;AGRycy9kb3ducmV2LnhtbFBLBQYAAAAABAAEAPMAAACSBQAAAAA=&#10;">
                      <v:textbox>
                        <w:txbxContent>
                          <w:p w14:paraId="66C3AEF6" w14:textId="53C11463" w:rsidR="00357A55" w:rsidRPr="002D4D50" w:rsidRDefault="00357A55" w:rsidP="00357A55">
                            <w:pPr>
                              <w:rPr>
                                <w:b/>
                                <w:sz w:val="20"/>
                              </w:rPr>
                            </w:pPr>
                            <w:r w:rsidRPr="002D4D50">
                              <w:rPr>
                                <w:b/>
                                <w:sz w:val="20"/>
                              </w:rPr>
                              <w:t xml:space="preserve">Date </w:t>
                            </w:r>
                            <w:r w:rsidR="003D650A">
                              <w:rPr>
                                <w:b/>
                                <w:sz w:val="20"/>
                              </w:rPr>
                              <w:t>26/11/2018</w:t>
                            </w:r>
                          </w:p>
                        </w:txbxContent>
                      </v:textbox>
                    </v:shape>
                  </w:pict>
                </mc:Fallback>
              </mc:AlternateContent>
            </w:r>
          </w:p>
          <w:p w14:paraId="3D090CB9"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0" w:line="480" w:lineRule="auto"/>
              <w:jc w:val="right"/>
              <w:rPr>
                <w:rFonts w:ascii="Arial" w:eastAsia="Times New Roman" w:hAnsi="Arial" w:cs="Times New Roman"/>
                <w:b/>
                <w:sz w:val="20"/>
                <w:szCs w:val="24"/>
                <w:lang w:val="en-GB"/>
              </w:rPr>
            </w:pPr>
          </w:p>
        </w:tc>
      </w:tr>
    </w:tbl>
    <w:p w14:paraId="0D46A904" w14:textId="1B095985" w:rsidR="00357A55" w:rsidRPr="00636E2E" w:rsidRDefault="003D650A" w:rsidP="002A7B09">
      <w:pPr>
        <w:tabs>
          <w:tab w:val="left" w:pos="-720"/>
          <w:tab w:val="left" w:pos="0"/>
          <w:tab w:val="left" w:pos="720"/>
          <w:tab w:val="left" w:pos="1440"/>
          <w:tab w:val="left" w:pos="2160"/>
          <w:tab w:val="left" w:pos="2880"/>
          <w:tab w:val="left" w:pos="3330"/>
          <w:tab w:val="left" w:pos="4320"/>
        </w:tabs>
        <w:spacing w:after="0" w:line="480" w:lineRule="auto"/>
        <w:rPr>
          <w:rFonts w:ascii="Arial" w:eastAsia="Times New Roman" w:hAnsi="Arial" w:cs="Times New Roman"/>
          <w:sz w:val="20"/>
          <w:szCs w:val="24"/>
          <w:lang w:val="en-GB"/>
        </w:rPr>
      </w:pPr>
      <w:r w:rsidRPr="00636E2E">
        <w:rPr>
          <w:rFonts w:ascii="Arial" w:eastAsia="Times New Roman" w:hAnsi="Arial" w:cs="Times New Roman"/>
          <w:b/>
          <w:noProof/>
          <w:sz w:val="20"/>
          <w:szCs w:val="24"/>
          <w:lang w:val="en-GB"/>
        </w:rPr>
        <mc:AlternateContent>
          <mc:Choice Requires="wps">
            <w:drawing>
              <wp:anchor distT="0" distB="0" distL="114300" distR="114300" simplePos="0" relativeHeight="251666432" behindDoc="0" locked="0" layoutInCell="1" allowOverlap="1" wp14:anchorId="360FC3F7" wp14:editId="32443234">
                <wp:simplePos x="0" y="0"/>
                <wp:positionH relativeFrom="column">
                  <wp:posOffset>3791585</wp:posOffset>
                </wp:positionH>
                <wp:positionV relativeFrom="paragraph">
                  <wp:posOffset>-273906</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5BA51280" w14:textId="72A6E0B5" w:rsidR="00357A55" w:rsidRPr="002D4D50" w:rsidRDefault="00357A55" w:rsidP="00357A55">
                            <w:pPr>
                              <w:rPr>
                                <w:b/>
                                <w:sz w:val="20"/>
                              </w:rPr>
                            </w:pPr>
                            <w:r w:rsidRPr="002D4D50">
                              <w:rPr>
                                <w:b/>
                                <w:sz w:val="20"/>
                              </w:rPr>
                              <w:t>Subject</w:t>
                            </w:r>
                            <w:r w:rsidR="003D650A">
                              <w:rPr>
                                <w:b/>
                                <w:sz w:val="20"/>
                              </w:rPr>
                              <w:t xml:space="preserve"> Science 11-16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0FC3F7" id="Text Box 49" o:spid="_x0000_s1029" type="#_x0000_t202" style="position:absolute;margin-left:298.55pt;margin-top:-21.55pt;width:3in;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UcLQ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">
                <v:textbox>
                  <w:txbxContent>
                    <w:p w14:paraId="5BA51280" w14:textId="72A6E0B5" w:rsidR="00357A55" w:rsidRPr="002D4D50" w:rsidRDefault="00357A55" w:rsidP="00357A55">
                      <w:pPr>
                        <w:rPr>
                          <w:b/>
                          <w:sz w:val="20"/>
                        </w:rPr>
                      </w:pPr>
                      <w:r w:rsidRPr="002D4D50">
                        <w:rPr>
                          <w:b/>
                          <w:sz w:val="20"/>
                        </w:rPr>
                        <w:t>Subject</w:t>
                      </w:r>
                      <w:r w:rsidR="003D650A">
                        <w:rPr>
                          <w:b/>
                          <w:sz w:val="20"/>
                        </w:rPr>
                        <w:t xml:space="preserve"> Science 11-16</w:t>
                      </w:r>
                    </w:p>
                  </w:txbxContent>
                </v:textbox>
              </v:shape>
            </w:pict>
          </mc:Fallback>
        </mc:AlternateContent>
      </w:r>
    </w:p>
    <w:tbl>
      <w:tblPr>
        <w:tblW w:w="4597" w:type="pct"/>
        <w:tblInd w:w="492" w:type="dxa"/>
        <w:tblCellMar>
          <w:left w:w="132" w:type="dxa"/>
          <w:right w:w="132" w:type="dxa"/>
        </w:tblCellMar>
        <w:tblLook w:val="0000" w:firstRow="0" w:lastRow="0" w:firstColumn="0" w:lastColumn="0" w:noHBand="0" w:noVBand="0"/>
      </w:tblPr>
      <w:tblGrid>
        <w:gridCol w:w="2230"/>
        <w:gridCol w:w="5474"/>
        <w:gridCol w:w="4099"/>
        <w:gridCol w:w="1420"/>
      </w:tblGrid>
      <w:tr w:rsidR="00357A55" w:rsidRPr="00636E2E" w14:paraId="3B503D28" w14:textId="77777777" w:rsidTr="00710DA7">
        <w:tc>
          <w:tcPr>
            <w:tcW w:w="843" w:type="pct"/>
            <w:tcBorders>
              <w:top w:val="single" w:sz="7" w:space="0" w:color="000000"/>
              <w:left w:val="single" w:sz="7" w:space="0" w:color="000000"/>
              <w:bottom w:val="single" w:sz="6" w:space="0" w:color="FFFFFF"/>
              <w:right w:val="single" w:sz="6" w:space="0" w:color="FFFFFF"/>
            </w:tcBorders>
          </w:tcPr>
          <w:p w14:paraId="6ACEBE84" w14:textId="77777777" w:rsidR="00357A55" w:rsidRPr="00636E2E" w:rsidRDefault="00357A55" w:rsidP="002A7B09">
            <w:pPr>
              <w:spacing w:after="0" w:line="480" w:lineRule="auto"/>
              <w:rPr>
                <w:rFonts w:ascii="Arial" w:eastAsia="Times New Roman" w:hAnsi="Arial" w:cs="Times New Roman"/>
                <w:sz w:val="20"/>
                <w:szCs w:val="24"/>
                <w:lang w:val="en-GB"/>
              </w:rPr>
            </w:pPr>
          </w:p>
          <w:p w14:paraId="186FB369" w14:textId="77777777" w:rsidR="00357A55" w:rsidRPr="00636E2E" w:rsidRDefault="00357A55" w:rsidP="002A7B09">
            <w:pPr>
              <w:tabs>
                <w:tab w:val="center" w:pos="1218"/>
                <w:tab w:val="left" w:pos="1440"/>
                <w:tab w:val="left" w:pos="2160"/>
                <w:tab w:val="left" w:pos="2880"/>
                <w:tab w:val="left" w:pos="3330"/>
                <w:tab w:val="left" w:pos="4320"/>
              </w:tabs>
              <w:spacing w:after="0" w:line="480" w:lineRule="auto"/>
              <w:rPr>
                <w:rFonts w:ascii="Arial" w:eastAsia="Times New Roman" w:hAnsi="Arial" w:cs="Times New Roman"/>
                <w:b/>
                <w:sz w:val="20"/>
                <w:szCs w:val="24"/>
                <w:lang w:val="en-GB"/>
              </w:rPr>
            </w:pPr>
            <w:r w:rsidRPr="00636E2E">
              <w:rPr>
                <w:rFonts w:ascii="Arial" w:eastAsia="Times New Roman" w:hAnsi="Arial" w:cs="Times New Roman"/>
                <w:sz w:val="20"/>
                <w:szCs w:val="24"/>
                <w:lang w:val="en-GB"/>
              </w:rPr>
              <w:tab/>
            </w:r>
            <w:r w:rsidRPr="00636E2E">
              <w:rPr>
                <w:rFonts w:ascii="Arial" w:eastAsia="Times New Roman" w:hAnsi="Arial" w:cs="Times New Roman"/>
                <w:b/>
                <w:sz w:val="20"/>
                <w:szCs w:val="24"/>
                <w:lang w:val="en-GB"/>
              </w:rPr>
              <w:t>OBJECTIVES</w:t>
            </w:r>
          </w:p>
          <w:p w14:paraId="10427487" w14:textId="77777777" w:rsidR="00357A55" w:rsidRPr="00636E2E" w:rsidRDefault="00357A55" w:rsidP="002A7B09">
            <w:pPr>
              <w:tabs>
                <w:tab w:val="center" w:pos="1218"/>
                <w:tab w:val="left" w:pos="1440"/>
                <w:tab w:val="left" w:pos="2160"/>
                <w:tab w:val="left" w:pos="2880"/>
                <w:tab w:val="left" w:pos="3330"/>
                <w:tab w:val="left" w:pos="4320"/>
              </w:tabs>
              <w:spacing w:after="0" w:line="480" w:lineRule="auto"/>
              <w:jc w:val="center"/>
              <w:rPr>
                <w:rFonts w:ascii="Arial" w:eastAsia="Times New Roman" w:hAnsi="Arial" w:cs="Times New Roman"/>
                <w:b/>
                <w:sz w:val="16"/>
                <w:szCs w:val="24"/>
                <w:lang w:val="en-GB"/>
              </w:rPr>
            </w:pPr>
            <w:r w:rsidRPr="00636E2E">
              <w:rPr>
                <w:rFonts w:ascii="Arial" w:eastAsia="Times New Roman" w:hAnsi="Arial" w:cs="Times New Roman"/>
                <w:b/>
                <w:sz w:val="14"/>
                <w:szCs w:val="24"/>
                <w:lang w:val="en-GB"/>
              </w:rPr>
              <w:t>(</w:t>
            </w:r>
            <w:r w:rsidRPr="00636E2E">
              <w:rPr>
                <w:rFonts w:ascii="Arial" w:eastAsia="Times New Roman" w:hAnsi="Arial" w:cs="Times New Roman"/>
                <w:b/>
                <w:sz w:val="16"/>
                <w:szCs w:val="24"/>
                <w:lang w:val="en-GB"/>
              </w:rPr>
              <w:t>relate to QTS Standards</w:t>
            </w:r>
          </w:p>
          <w:p w14:paraId="607D070E" w14:textId="77777777" w:rsidR="00357A55" w:rsidRPr="00636E2E" w:rsidRDefault="00357A55" w:rsidP="002A7B09">
            <w:pPr>
              <w:tabs>
                <w:tab w:val="center" w:pos="1218"/>
                <w:tab w:val="left" w:pos="1440"/>
                <w:tab w:val="left" w:pos="2160"/>
                <w:tab w:val="left" w:pos="2880"/>
                <w:tab w:val="left" w:pos="3330"/>
                <w:tab w:val="left" w:pos="4320"/>
              </w:tabs>
              <w:spacing w:after="0" w:line="480" w:lineRule="auto"/>
              <w:jc w:val="center"/>
              <w:rPr>
                <w:rFonts w:ascii="Arial" w:eastAsia="Times New Roman" w:hAnsi="Arial" w:cs="Times New Roman"/>
                <w:b/>
                <w:sz w:val="14"/>
                <w:szCs w:val="24"/>
                <w:lang w:val="en-GB"/>
              </w:rPr>
            </w:pPr>
            <w:r w:rsidRPr="00636E2E">
              <w:rPr>
                <w:rFonts w:ascii="Arial" w:eastAsia="Times New Roman" w:hAnsi="Arial" w:cs="Times New Roman"/>
                <w:b/>
                <w:sz w:val="16"/>
                <w:szCs w:val="24"/>
                <w:lang w:val="en-GB"/>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37847DC7" w14:textId="77777777" w:rsidR="00357A55" w:rsidRPr="00636E2E" w:rsidRDefault="00357A55" w:rsidP="002A7B09">
            <w:pPr>
              <w:spacing w:after="0" w:line="480" w:lineRule="auto"/>
              <w:rPr>
                <w:rFonts w:ascii="Arial" w:eastAsia="Times New Roman" w:hAnsi="Arial" w:cs="Times New Roman"/>
                <w:sz w:val="20"/>
                <w:szCs w:val="24"/>
                <w:lang w:val="en-GB"/>
              </w:rPr>
            </w:pPr>
          </w:p>
          <w:p w14:paraId="70D9FF07" w14:textId="77777777" w:rsidR="00357A55" w:rsidRPr="00636E2E" w:rsidRDefault="00357A55" w:rsidP="002A7B09">
            <w:pPr>
              <w:tabs>
                <w:tab w:val="center" w:pos="2883"/>
                <w:tab w:val="left" w:pos="3330"/>
                <w:tab w:val="left" w:pos="4320"/>
              </w:tabs>
              <w:spacing w:after="0" w:line="480" w:lineRule="auto"/>
              <w:rPr>
                <w:rFonts w:ascii="Arial" w:eastAsia="Times New Roman" w:hAnsi="Arial" w:cs="Times New Roman"/>
                <w:sz w:val="20"/>
                <w:szCs w:val="24"/>
                <w:lang w:val="en-GB"/>
              </w:rPr>
            </w:pPr>
            <w:r w:rsidRPr="00636E2E">
              <w:rPr>
                <w:rFonts w:ascii="Arial" w:eastAsia="Times New Roman" w:hAnsi="Arial" w:cs="Times New Roman"/>
                <w:sz w:val="20"/>
                <w:szCs w:val="24"/>
                <w:lang w:val="en-GB"/>
              </w:rPr>
              <w:tab/>
            </w:r>
            <w:r w:rsidRPr="00636E2E">
              <w:rPr>
                <w:rFonts w:ascii="Arial" w:eastAsia="Times New Roman" w:hAnsi="Arial" w:cs="Times New Roman"/>
                <w:b/>
                <w:sz w:val="20"/>
                <w:szCs w:val="24"/>
                <w:lang w:val="en-GB"/>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7619912C" w14:textId="77777777" w:rsidR="00357A55" w:rsidRPr="00636E2E" w:rsidRDefault="00357A55" w:rsidP="002A7B09">
            <w:pPr>
              <w:spacing w:after="0" w:line="480" w:lineRule="auto"/>
              <w:rPr>
                <w:rFonts w:ascii="Arial" w:eastAsia="Times New Roman" w:hAnsi="Arial" w:cs="Times New Roman"/>
                <w:sz w:val="20"/>
                <w:szCs w:val="24"/>
                <w:lang w:val="en-GB"/>
              </w:rPr>
            </w:pPr>
          </w:p>
          <w:p w14:paraId="4DE338E6" w14:textId="77777777" w:rsidR="00357A55" w:rsidRPr="00636E2E" w:rsidRDefault="00357A55" w:rsidP="002A7B09">
            <w:pPr>
              <w:tabs>
                <w:tab w:val="center" w:pos="2119"/>
                <w:tab w:val="left" w:pos="2160"/>
                <w:tab w:val="left" w:pos="2880"/>
                <w:tab w:val="left" w:pos="3330"/>
                <w:tab w:val="left" w:pos="4320"/>
              </w:tabs>
              <w:spacing w:after="0" w:line="480" w:lineRule="auto"/>
              <w:rPr>
                <w:rFonts w:ascii="Arial" w:eastAsia="Times New Roman" w:hAnsi="Arial" w:cs="Times New Roman"/>
                <w:b/>
                <w:sz w:val="20"/>
                <w:szCs w:val="24"/>
                <w:lang w:val="en-GB"/>
              </w:rPr>
            </w:pPr>
            <w:r w:rsidRPr="00636E2E">
              <w:rPr>
                <w:rFonts w:ascii="Arial" w:eastAsia="Times New Roman" w:hAnsi="Arial" w:cs="Times New Roman"/>
                <w:sz w:val="20"/>
                <w:szCs w:val="24"/>
                <w:lang w:val="en-GB"/>
              </w:rPr>
              <w:tab/>
            </w:r>
            <w:r w:rsidRPr="00636E2E">
              <w:rPr>
                <w:rFonts w:ascii="Arial" w:eastAsia="Times New Roman" w:hAnsi="Arial" w:cs="Times New Roman"/>
                <w:b/>
                <w:sz w:val="20"/>
                <w:szCs w:val="24"/>
                <w:lang w:val="en-GB"/>
              </w:rPr>
              <w:t>SUCCESS</w:t>
            </w:r>
          </w:p>
          <w:p w14:paraId="210AA965" w14:textId="77777777" w:rsidR="00357A55" w:rsidRPr="00636E2E" w:rsidRDefault="00357A55" w:rsidP="002A7B09">
            <w:pPr>
              <w:tabs>
                <w:tab w:val="center" w:pos="2119"/>
                <w:tab w:val="left" w:pos="2160"/>
                <w:tab w:val="left" w:pos="2880"/>
                <w:tab w:val="left" w:pos="3330"/>
                <w:tab w:val="left" w:pos="4320"/>
              </w:tabs>
              <w:spacing w:after="0" w:line="480" w:lineRule="auto"/>
              <w:rPr>
                <w:rFonts w:ascii="Arial" w:eastAsia="Times New Roman" w:hAnsi="Arial" w:cs="Times New Roman"/>
                <w:sz w:val="20"/>
                <w:szCs w:val="24"/>
                <w:lang w:val="en-GB"/>
              </w:rPr>
            </w:pPr>
            <w:r w:rsidRPr="00636E2E">
              <w:rPr>
                <w:rFonts w:ascii="Arial" w:eastAsia="Times New Roman" w:hAnsi="Arial" w:cs="Times New Roman"/>
                <w:b/>
                <w:sz w:val="20"/>
                <w:szCs w:val="24"/>
                <w:lang w:val="en-GB"/>
              </w:rPr>
              <w:tab/>
              <w:t>CRITERIA</w:t>
            </w:r>
          </w:p>
        </w:tc>
        <w:tc>
          <w:tcPr>
            <w:tcW w:w="537" w:type="pct"/>
            <w:tcBorders>
              <w:top w:val="single" w:sz="7" w:space="0" w:color="000000"/>
              <w:left w:val="single" w:sz="7" w:space="0" w:color="000000"/>
              <w:bottom w:val="single" w:sz="6" w:space="0" w:color="FFFFFF"/>
              <w:right w:val="single" w:sz="7" w:space="0" w:color="000000"/>
            </w:tcBorders>
          </w:tcPr>
          <w:p w14:paraId="3111595D" w14:textId="77777777" w:rsidR="00357A55" w:rsidRPr="00636E2E" w:rsidRDefault="00357A55" w:rsidP="002A7B09">
            <w:pPr>
              <w:spacing w:after="0" w:line="480" w:lineRule="auto"/>
              <w:rPr>
                <w:rFonts w:ascii="Arial" w:eastAsia="Times New Roman" w:hAnsi="Arial" w:cs="Times New Roman"/>
                <w:sz w:val="20"/>
                <w:szCs w:val="24"/>
                <w:lang w:val="en-GB"/>
              </w:rPr>
            </w:pPr>
          </w:p>
          <w:p w14:paraId="019E1E2E" w14:textId="77777777" w:rsidR="00357A55" w:rsidRPr="00636E2E" w:rsidRDefault="00357A55" w:rsidP="002A7B09">
            <w:pPr>
              <w:tabs>
                <w:tab w:val="center" w:pos="631"/>
                <w:tab w:val="left" w:pos="720"/>
                <w:tab w:val="left" w:pos="1440"/>
                <w:tab w:val="left" w:pos="2160"/>
                <w:tab w:val="left" w:pos="2880"/>
                <w:tab w:val="left" w:pos="3330"/>
                <w:tab w:val="left" w:pos="4320"/>
              </w:tabs>
              <w:spacing w:after="0" w:line="480" w:lineRule="auto"/>
              <w:rPr>
                <w:rFonts w:ascii="Arial" w:eastAsia="Times New Roman" w:hAnsi="Arial" w:cs="Times New Roman"/>
                <w:b/>
                <w:sz w:val="20"/>
                <w:szCs w:val="24"/>
                <w:lang w:val="en-GB"/>
              </w:rPr>
            </w:pPr>
            <w:r w:rsidRPr="00636E2E">
              <w:rPr>
                <w:rFonts w:ascii="Arial" w:eastAsia="Times New Roman" w:hAnsi="Arial" w:cs="Times New Roman"/>
                <w:sz w:val="20"/>
                <w:szCs w:val="24"/>
                <w:lang w:val="en-GB"/>
              </w:rPr>
              <w:tab/>
            </w:r>
            <w:r w:rsidRPr="00636E2E">
              <w:rPr>
                <w:rFonts w:ascii="Arial" w:eastAsia="Times New Roman" w:hAnsi="Arial" w:cs="Times New Roman"/>
                <w:b/>
                <w:sz w:val="20"/>
                <w:szCs w:val="24"/>
                <w:lang w:val="en-GB"/>
              </w:rPr>
              <w:t>TARGET</w:t>
            </w:r>
          </w:p>
          <w:p w14:paraId="29F87293" w14:textId="77777777" w:rsidR="00357A55" w:rsidRPr="00636E2E" w:rsidRDefault="00357A55" w:rsidP="002A7B09">
            <w:pPr>
              <w:tabs>
                <w:tab w:val="center" w:pos="631"/>
                <w:tab w:val="left" w:pos="720"/>
                <w:tab w:val="left" w:pos="1440"/>
                <w:tab w:val="left" w:pos="2160"/>
                <w:tab w:val="left" w:pos="2880"/>
                <w:tab w:val="left" w:pos="3330"/>
                <w:tab w:val="left" w:pos="4320"/>
              </w:tabs>
              <w:spacing w:after="0" w:line="480" w:lineRule="auto"/>
              <w:rPr>
                <w:rFonts w:ascii="Arial" w:eastAsia="Times New Roman" w:hAnsi="Arial" w:cs="Times New Roman"/>
                <w:sz w:val="20"/>
                <w:szCs w:val="24"/>
                <w:lang w:val="en-GB"/>
              </w:rPr>
            </w:pPr>
            <w:r w:rsidRPr="00636E2E">
              <w:rPr>
                <w:rFonts w:ascii="Arial" w:eastAsia="Times New Roman" w:hAnsi="Arial" w:cs="Times New Roman"/>
                <w:b/>
                <w:sz w:val="20"/>
                <w:szCs w:val="24"/>
                <w:lang w:val="en-GB"/>
              </w:rPr>
              <w:tab/>
              <w:t>DATE</w:t>
            </w:r>
          </w:p>
        </w:tc>
      </w:tr>
      <w:tr w:rsidR="00357A55" w:rsidRPr="00636E2E" w14:paraId="29EBAC14" w14:textId="77777777" w:rsidTr="00710DA7">
        <w:tc>
          <w:tcPr>
            <w:tcW w:w="843" w:type="pct"/>
            <w:tcBorders>
              <w:top w:val="single" w:sz="7" w:space="0" w:color="000000"/>
              <w:left w:val="single" w:sz="7" w:space="0" w:color="000000"/>
              <w:bottom w:val="single" w:sz="4" w:space="0" w:color="auto"/>
              <w:right w:val="single" w:sz="6" w:space="0" w:color="FFFFFF"/>
            </w:tcBorders>
          </w:tcPr>
          <w:p w14:paraId="1046FF03" w14:textId="4CE5DDF8" w:rsidR="00357A55" w:rsidRPr="00636E2E" w:rsidRDefault="001F6D2B" w:rsidP="002A7B09">
            <w:pPr>
              <w:spacing w:after="0" w:line="480" w:lineRule="auto"/>
              <w:rPr>
                <w:rFonts w:ascii="Arial" w:eastAsia="Times New Roman" w:hAnsi="Arial" w:cs="Times New Roman"/>
                <w:sz w:val="20"/>
                <w:szCs w:val="24"/>
                <w:lang w:val="en-GB"/>
              </w:rPr>
            </w:pPr>
            <w:r>
              <w:rPr>
                <w:rFonts w:ascii="Arial" w:eastAsia="Times New Roman" w:hAnsi="Arial" w:cs="Times New Roman"/>
                <w:sz w:val="20"/>
                <w:szCs w:val="24"/>
                <w:lang w:val="en-GB"/>
              </w:rPr>
              <w:t xml:space="preserve">QTS. </w:t>
            </w:r>
            <w:r w:rsidR="009B2236">
              <w:rPr>
                <w:rFonts w:ascii="Arial" w:eastAsia="Times New Roman" w:hAnsi="Arial" w:cs="Times New Roman"/>
                <w:sz w:val="20"/>
                <w:szCs w:val="24"/>
                <w:lang w:val="en-GB"/>
              </w:rPr>
              <w:t xml:space="preserve">S2.7: </w:t>
            </w:r>
            <w:r w:rsidR="00D81402">
              <w:rPr>
                <w:rFonts w:ascii="Arial" w:eastAsia="Times New Roman" w:hAnsi="Arial" w:cs="Times New Roman"/>
                <w:sz w:val="20"/>
                <w:szCs w:val="24"/>
                <w:lang w:val="en-GB"/>
              </w:rPr>
              <w:t>“</w:t>
            </w:r>
            <w:r w:rsidR="00D81402">
              <w:rPr>
                <w:color w:val="000000"/>
              </w:rPr>
              <w:t xml:space="preserve">They know a range of strategies to promote good </w:t>
            </w:r>
            <w:proofErr w:type="spellStart"/>
            <w:r w:rsidR="00D81402">
              <w:rPr>
                <w:color w:val="000000"/>
              </w:rPr>
              <w:t>behaviour</w:t>
            </w:r>
            <w:proofErr w:type="spellEnd"/>
            <w:r w:rsidR="00D81402">
              <w:rPr>
                <w:color w:val="000000"/>
              </w:rPr>
              <w:t xml:space="preserve"> and establish a purposeful learning environment.</w:t>
            </w:r>
            <w:r w:rsidR="00D81402">
              <w:rPr>
                <w:color w:val="000000"/>
              </w:rPr>
              <w:t>”</w:t>
            </w:r>
            <w:r>
              <w:rPr>
                <w:rFonts w:ascii="Arial" w:eastAsia="Times New Roman" w:hAnsi="Arial" w:cs="Times New Roman"/>
                <w:sz w:val="20"/>
                <w:szCs w:val="24"/>
                <w:lang w:val="en-GB"/>
              </w:rPr>
              <w:t xml:space="preserve"> </w:t>
            </w:r>
          </w:p>
          <w:p w14:paraId="0EB1DF39"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c>
          <w:tcPr>
            <w:tcW w:w="2070" w:type="pct"/>
            <w:tcBorders>
              <w:top w:val="single" w:sz="7" w:space="0" w:color="000000"/>
              <w:left w:val="single" w:sz="7" w:space="0" w:color="000000"/>
              <w:bottom w:val="single" w:sz="4" w:space="0" w:color="auto"/>
              <w:right w:val="single" w:sz="6" w:space="0" w:color="FFFFFF"/>
            </w:tcBorders>
          </w:tcPr>
          <w:p w14:paraId="58CD4BF9" w14:textId="16F4E7A4" w:rsidR="00357A55" w:rsidRDefault="001F6D2B" w:rsidP="001F6D2B">
            <w:pPr>
              <w:pStyle w:val="ListParagraph"/>
              <w:numPr>
                <w:ilvl w:val="0"/>
                <w:numId w:val="2"/>
              </w:numPr>
              <w:spacing w:line="480" w:lineRule="auto"/>
              <w:rPr>
                <w:rFonts w:ascii="Arial" w:hAnsi="Arial"/>
                <w:szCs w:val="24"/>
              </w:rPr>
            </w:pPr>
            <w:r>
              <w:rPr>
                <w:rFonts w:ascii="Arial" w:hAnsi="Arial"/>
                <w:szCs w:val="24"/>
              </w:rPr>
              <w:t>Praise more often.</w:t>
            </w:r>
          </w:p>
          <w:p w14:paraId="4C672F95" w14:textId="2EC76BAD" w:rsidR="001F6D2B" w:rsidRDefault="001F6D2B" w:rsidP="001F6D2B">
            <w:pPr>
              <w:pStyle w:val="ListParagraph"/>
              <w:numPr>
                <w:ilvl w:val="0"/>
                <w:numId w:val="2"/>
              </w:numPr>
              <w:spacing w:line="480" w:lineRule="auto"/>
              <w:rPr>
                <w:rFonts w:ascii="Arial" w:hAnsi="Arial"/>
                <w:szCs w:val="24"/>
              </w:rPr>
            </w:pPr>
            <w:r>
              <w:rPr>
                <w:rFonts w:ascii="Arial" w:hAnsi="Arial"/>
                <w:szCs w:val="24"/>
              </w:rPr>
              <w:t>Give relevant and useful feedback.</w:t>
            </w:r>
          </w:p>
          <w:p w14:paraId="337AAAEF" w14:textId="27061ED1" w:rsidR="00D81402" w:rsidRDefault="00D81402" w:rsidP="001F6D2B">
            <w:pPr>
              <w:pStyle w:val="ListParagraph"/>
              <w:numPr>
                <w:ilvl w:val="0"/>
                <w:numId w:val="2"/>
              </w:numPr>
              <w:spacing w:line="480" w:lineRule="auto"/>
              <w:rPr>
                <w:rFonts w:ascii="Arial" w:hAnsi="Arial"/>
                <w:szCs w:val="24"/>
              </w:rPr>
            </w:pPr>
            <w:r>
              <w:rPr>
                <w:rFonts w:ascii="Arial" w:hAnsi="Arial"/>
                <w:szCs w:val="24"/>
              </w:rPr>
              <w:t>Apply pivotal behaviour management techniques according to school policy.</w:t>
            </w:r>
          </w:p>
          <w:p w14:paraId="30D8FBE3" w14:textId="17E22B56" w:rsidR="002B30D9" w:rsidRPr="002B30D9" w:rsidRDefault="002B30D9" w:rsidP="002B30D9">
            <w:pPr>
              <w:spacing w:line="480" w:lineRule="auto"/>
              <w:rPr>
                <w:rFonts w:ascii="Arial" w:hAnsi="Arial"/>
                <w:szCs w:val="24"/>
              </w:rPr>
            </w:pPr>
          </w:p>
          <w:p w14:paraId="56E8671F"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c>
          <w:tcPr>
            <w:tcW w:w="1550" w:type="pct"/>
            <w:tcBorders>
              <w:top w:val="single" w:sz="7" w:space="0" w:color="000000"/>
              <w:left w:val="single" w:sz="7" w:space="0" w:color="000000"/>
              <w:bottom w:val="single" w:sz="4" w:space="0" w:color="auto"/>
              <w:right w:val="single" w:sz="6" w:space="0" w:color="FFFFFF"/>
            </w:tcBorders>
          </w:tcPr>
          <w:p w14:paraId="2CC8FE08" w14:textId="1647811F" w:rsidR="00357A55" w:rsidRDefault="001F6D2B" w:rsidP="001F6D2B">
            <w:pPr>
              <w:pStyle w:val="ListParagraph"/>
              <w:numPr>
                <w:ilvl w:val="0"/>
                <w:numId w:val="2"/>
              </w:numPr>
              <w:spacing w:line="480" w:lineRule="auto"/>
              <w:rPr>
                <w:rFonts w:ascii="Arial" w:hAnsi="Arial"/>
                <w:szCs w:val="24"/>
              </w:rPr>
            </w:pPr>
            <w:r>
              <w:rPr>
                <w:rFonts w:ascii="Arial" w:hAnsi="Arial"/>
                <w:szCs w:val="24"/>
              </w:rPr>
              <w:t>Students are motivated to work harder.</w:t>
            </w:r>
          </w:p>
          <w:p w14:paraId="50312F38" w14:textId="48CBB9AC" w:rsidR="002B30D9" w:rsidRDefault="002B30D9" w:rsidP="001F6D2B">
            <w:pPr>
              <w:pStyle w:val="ListParagraph"/>
              <w:numPr>
                <w:ilvl w:val="0"/>
                <w:numId w:val="2"/>
              </w:numPr>
              <w:spacing w:line="480" w:lineRule="auto"/>
              <w:rPr>
                <w:rFonts w:ascii="Arial" w:hAnsi="Arial"/>
                <w:szCs w:val="24"/>
              </w:rPr>
            </w:pPr>
            <w:r>
              <w:rPr>
                <w:rFonts w:ascii="Arial" w:hAnsi="Arial"/>
                <w:szCs w:val="24"/>
              </w:rPr>
              <w:t>Fewer disruptions to learning.</w:t>
            </w:r>
          </w:p>
          <w:p w14:paraId="3BBE65AC" w14:textId="7F85BDB5" w:rsidR="002B30D9" w:rsidRPr="001F6D2B" w:rsidRDefault="002B30D9" w:rsidP="001F6D2B">
            <w:pPr>
              <w:pStyle w:val="ListParagraph"/>
              <w:numPr>
                <w:ilvl w:val="0"/>
                <w:numId w:val="2"/>
              </w:numPr>
              <w:spacing w:line="480" w:lineRule="auto"/>
              <w:rPr>
                <w:rFonts w:ascii="Arial" w:hAnsi="Arial"/>
                <w:szCs w:val="24"/>
              </w:rPr>
            </w:pPr>
            <w:r>
              <w:rPr>
                <w:rFonts w:ascii="Arial" w:hAnsi="Arial"/>
                <w:szCs w:val="24"/>
              </w:rPr>
              <w:t>Improved learning environment.</w:t>
            </w:r>
          </w:p>
          <w:p w14:paraId="037ADA7B"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273D4CEF"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74F16B9B"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388E9E10"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48EBBADB"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513D0692"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70C53A21"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0531F492"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35C656B8" w14:textId="5953F6DA"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c>
          <w:tcPr>
            <w:tcW w:w="537" w:type="pct"/>
            <w:tcBorders>
              <w:top w:val="single" w:sz="7" w:space="0" w:color="000000"/>
              <w:left w:val="single" w:sz="7" w:space="0" w:color="000000"/>
              <w:bottom w:val="single" w:sz="4" w:space="0" w:color="auto"/>
              <w:right w:val="single" w:sz="7" w:space="0" w:color="000000"/>
            </w:tcBorders>
          </w:tcPr>
          <w:p w14:paraId="14F99435" w14:textId="77777777" w:rsidR="00357A55" w:rsidRPr="00636E2E" w:rsidRDefault="00357A55" w:rsidP="002A7B09">
            <w:pPr>
              <w:spacing w:after="0" w:line="480" w:lineRule="auto"/>
              <w:rPr>
                <w:rFonts w:ascii="Arial" w:eastAsia="Times New Roman" w:hAnsi="Arial" w:cs="Times New Roman"/>
                <w:sz w:val="20"/>
                <w:szCs w:val="24"/>
                <w:lang w:val="en-GB"/>
              </w:rPr>
            </w:pPr>
          </w:p>
          <w:p w14:paraId="45B7740B"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r>
      <w:tr w:rsidR="00357A55" w:rsidRPr="00636E2E" w14:paraId="0898408B" w14:textId="77777777" w:rsidTr="00710DA7">
        <w:tc>
          <w:tcPr>
            <w:tcW w:w="843" w:type="pct"/>
            <w:tcBorders>
              <w:top w:val="single" w:sz="4" w:space="0" w:color="auto"/>
              <w:left w:val="single" w:sz="4" w:space="0" w:color="auto"/>
              <w:bottom w:val="single" w:sz="4" w:space="0" w:color="auto"/>
              <w:right w:val="single" w:sz="4" w:space="0" w:color="auto"/>
            </w:tcBorders>
          </w:tcPr>
          <w:p w14:paraId="51354C30" w14:textId="77777777" w:rsidR="00357A55" w:rsidRPr="00636E2E" w:rsidRDefault="00357A55" w:rsidP="002A7B09">
            <w:pPr>
              <w:spacing w:after="0" w:line="480" w:lineRule="auto"/>
              <w:rPr>
                <w:rFonts w:ascii="Arial" w:eastAsia="Times New Roman" w:hAnsi="Arial" w:cs="Times New Roman"/>
                <w:sz w:val="20"/>
                <w:szCs w:val="24"/>
                <w:lang w:val="en-GB"/>
              </w:rPr>
            </w:pPr>
          </w:p>
          <w:p w14:paraId="04B8ADE0" w14:textId="6772558C" w:rsidR="00357A55" w:rsidRPr="00636E2E" w:rsidRDefault="00EA2694"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r>
              <w:rPr>
                <w:b/>
                <w:bCs/>
                <w:color w:val="000000"/>
              </w:rPr>
              <w:t>S3.1.1</w:t>
            </w:r>
            <w:r>
              <w:rPr>
                <w:b/>
                <w:bCs/>
                <w:color w:val="000000"/>
              </w:rPr>
              <w:t xml:space="preserve"> Set Challenging Objectives</w:t>
            </w:r>
          </w:p>
        </w:tc>
        <w:tc>
          <w:tcPr>
            <w:tcW w:w="2070" w:type="pct"/>
            <w:tcBorders>
              <w:top w:val="single" w:sz="4" w:space="0" w:color="auto"/>
              <w:left w:val="single" w:sz="4" w:space="0" w:color="auto"/>
              <w:bottom w:val="single" w:sz="4" w:space="0" w:color="auto"/>
              <w:right w:val="single" w:sz="4" w:space="0" w:color="auto"/>
            </w:tcBorders>
          </w:tcPr>
          <w:p w14:paraId="3BF31516" w14:textId="77777777" w:rsidR="00357A55" w:rsidRPr="00636E2E" w:rsidRDefault="00357A55" w:rsidP="002A7B09">
            <w:pPr>
              <w:spacing w:after="0" w:line="480" w:lineRule="auto"/>
              <w:rPr>
                <w:rFonts w:ascii="Arial" w:eastAsia="Times New Roman" w:hAnsi="Arial" w:cs="Times New Roman"/>
                <w:sz w:val="20"/>
                <w:szCs w:val="24"/>
                <w:lang w:val="en-GB"/>
              </w:rPr>
            </w:pPr>
          </w:p>
          <w:p w14:paraId="777CB4FF" w14:textId="705079AA" w:rsidR="00357A55" w:rsidRPr="00EA2694" w:rsidRDefault="00EA2694" w:rsidP="00EA2694">
            <w:pPr>
              <w:pStyle w:val="ListParagraph"/>
              <w:numPr>
                <w:ilvl w:val="0"/>
                <w:numId w:val="3"/>
              </w:numPr>
              <w:tabs>
                <w:tab w:val="left" w:pos="-720"/>
                <w:tab w:val="left" w:pos="0"/>
                <w:tab w:val="left" w:pos="720"/>
                <w:tab w:val="left" w:pos="1440"/>
                <w:tab w:val="left" w:pos="2160"/>
                <w:tab w:val="left" w:pos="2880"/>
                <w:tab w:val="left" w:pos="3330"/>
                <w:tab w:val="left" w:pos="4320"/>
              </w:tabs>
              <w:spacing w:after="19" w:line="480" w:lineRule="auto"/>
              <w:rPr>
                <w:rFonts w:ascii="Arial" w:hAnsi="Arial"/>
                <w:szCs w:val="24"/>
              </w:rPr>
            </w:pPr>
            <w:r>
              <w:rPr>
                <w:rFonts w:ascii="Arial" w:hAnsi="Arial"/>
                <w:szCs w:val="24"/>
              </w:rPr>
              <w:t>Strive for excellence in all aspects.</w:t>
            </w:r>
          </w:p>
        </w:tc>
        <w:tc>
          <w:tcPr>
            <w:tcW w:w="1550" w:type="pct"/>
            <w:tcBorders>
              <w:top w:val="single" w:sz="4" w:space="0" w:color="auto"/>
              <w:left w:val="single" w:sz="4" w:space="0" w:color="auto"/>
              <w:bottom w:val="single" w:sz="4" w:space="0" w:color="auto"/>
              <w:right w:val="single" w:sz="4" w:space="0" w:color="auto"/>
            </w:tcBorders>
          </w:tcPr>
          <w:p w14:paraId="063889D6" w14:textId="5BE0ED56" w:rsidR="00357A55" w:rsidRPr="00636E2E" w:rsidRDefault="00357A55" w:rsidP="002A7B09">
            <w:pPr>
              <w:spacing w:after="0" w:line="480" w:lineRule="auto"/>
              <w:rPr>
                <w:rFonts w:ascii="Arial" w:eastAsia="Times New Roman" w:hAnsi="Arial" w:cs="Times New Roman"/>
                <w:sz w:val="20"/>
                <w:szCs w:val="24"/>
                <w:lang w:val="en-GB"/>
              </w:rPr>
            </w:pPr>
          </w:p>
          <w:p w14:paraId="5EFDEFB5" w14:textId="6C50BC30" w:rsidR="00710DA7" w:rsidRPr="00EA2694" w:rsidRDefault="00EA2694" w:rsidP="00EA2694">
            <w:pPr>
              <w:pStyle w:val="ListParagraph"/>
              <w:numPr>
                <w:ilvl w:val="0"/>
                <w:numId w:val="3"/>
              </w:numPr>
              <w:spacing w:line="480" w:lineRule="auto"/>
              <w:rPr>
                <w:rFonts w:ascii="Arial" w:hAnsi="Arial"/>
                <w:szCs w:val="24"/>
              </w:rPr>
            </w:pPr>
            <w:r>
              <w:rPr>
                <w:rFonts w:ascii="Arial" w:hAnsi="Arial"/>
                <w:szCs w:val="24"/>
              </w:rPr>
              <w:t>Improvement in classwork.</w:t>
            </w:r>
          </w:p>
          <w:p w14:paraId="46EB9AF8" w14:textId="688043AD" w:rsidR="00710DA7" w:rsidRPr="00636E2E" w:rsidRDefault="00710DA7" w:rsidP="002A7B09">
            <w:pPr>
              <w:spacing w:after="0" w:line="480" w:lineRule="auto"/>
              <w:rPr>
                <w:rFonts w:ascii="Arial" w:eastAsia="Times New Roman" w:hAnsi="Arial" w:cs="Times New Roman"/>
                <w:sz w:val="20"/>
                <w:szCs w:val="24"/>
                <w:lang w:val="en-GB"/>
              </w:rPr>
            </w:pPr>
          </w:p>
          <w:p w14:paraId="1BB13E5C" w14:textId="79B20238" w:rsidR="00710DA7" w:rsidRPr="00636E2E" w:rsidRDefault="00710DA7" w:rsidP="002A7B09">
            <w:pPr>
              <w:spacing w:after="0" w:line="480" w:lineRule="auto"/>
              <w:rPr>
                <w:rFonts w:ascii="Arial" w:eastAsia="Times New Roman" w:hAnsi="Arial" w:cs="Times New Roman"/>
                <w:sz w:val="20"/>
                <w:szCs w:val="24"/>
                <w:lang w:val="en-GB"/>
              </w:rPr>
            </w:pPr>
          </w:p>
          <w:p w14:paraId="3D0C2464" w14:textId="15DCE886" w:rsidR="00710DA7" w:rsidRPr="00636E2E" w:rsidRDefault="00710DA7" w:rsidP="002A7B09">
            <w:pPr>
              <w:spacing w:after="0" w:line="480" w:lineRule="auto"/>
              <w:rPr>
                <w:rFonts w:ascii="Arial" w:eastAsia="Times New Roman" w:hAnsi="Arial" w:cs="Times New Roman"/>
                <w:sz w:val="20"/>
                <w:szCs w:val="24"/>
                <w:lang w:val="en-GB"/>
              </w:rPr>
            </w:pPr>
          </w:p>
          <w:p w14:paraId="56D10823" w14:textId="2C320E0B" w:rsidR="00710DA7" w:rsidRPr="00636E2E" w:rsidRDefault="00710DA7" w:rsidP="002A7B09">
            <w:pPr>
              <w:spacing w:after="0" w:line="480" w:lineRule="auto"/>
              <w:rPr>
                <w:rFonts w:ascii="Arial" w:eastAsia="Times New Roman" w:hAnsi="Arial" w:cs="Times New Roman"/>
                <w:sz w:val="20"/>
                <w:szCs w:val="24"/>
                <w:lang w:val="en-GB"/>
              </w:rPr>
            </w:pPr>
          </w:p>
          <w:p w14:paraId="175181FB" w14:textId="77777777" w:rsidR="00710DA7" w:rsidRPr="00636E2E" w:rsidRDefault="00710DA7" w:rsidP="002A7B09">
            <w:pPr>
              <w:spacing w:after="0" w:line="480" w:lineRule="auto"/>
              <w:rPr>
                <w:rFonts w:ascii="Arial" w:eastAsia="Times New Roman" w:hAnsi="Arial" w:cs="Times New Roman"/>
                <w:sz w:val="20"/>
                <w:szCs w:val="24"/>
                <w:lang w:val="en-GB"/>
              </w:rPr>
            </w:pPr>
          </w:p>
          <w:p w14:paraId="6EB24109" w14:textId="4775F473" w:rsidR="00710DA7" w:rsidRPr="00636E2E" w:rsidRDefault="00710DA7" w:rsidP="002A7B09">
            <w:pPr>
              <w:spacing w:after="0" w:line="480" w:lineRule="auto"/>
              <w:rPr>
                <w:rFonts w:ascii="Arial" w:eastAsia="Times New Roman" w:hAnsi="Arial" w:cs="Times New Roman"/>
                <w:sz w:val="20"/>
                <w:szCs w:val="24"/>
                <w:lang w:val="en-GB"/>
              </w:rPr>
            </w:pPr>
          </w:p>
          <w:p w14:paraId="132FB520" w14:textId="28443BD5" w:rsidR="00710DA7" w:rsidRPr="00636E2E" w:rsidRDefault="00710DA7" w:rsidP="002A7B09">
            <w:pPr>
              <w:spacing w:after="0" w:line="480" w:lineRule="auto"/>
              <w:rPr>
                <w:rFonts w:ascii="Arial" w:eastAsia="Times New Roman" w:hAnsi="Arial" w:cs="Times New Roman"/>
                <w:sz w:val="20"/>
                <w:szCs w:val="24"/>
                <w:lang w:val="en-GB"/>
              </w:rPr>
            </w:pPr>
          </w:p>
          <w:p w14:paraId="5CB81E7D" w14:textId="1E767F86" w:rsidR="00710DA7" w:rsidRPr="00636E2E" w:rsidRDefault="00710DA7" w:rsidP="002A7B09">
            <w:pPr>
              <w:spacing w:after="0" w:line="480" w:lineRule="auto"/>
              <w:rPr>
                <w:rFonts w:ascii="Arial" w:eastAsia="Times New Roman" w:hAnsi="Arial" w:cs="Times New Roman"/>
                <w:sz w:val="20"/>
                <w:szCs w:val="24"/>
                <w:lang w:val="en-GB"/>
              </w:rPr>
            </w:pPr>
          </w:p>
          <w:p w14:paraId="4306F08D" w14:textId="7C4725E3" w:rsidR="00710DA7" w:rsidRPr="00636E2E" w:rsidRDefault="00710DA7" w:rsidP="002A7B09">
            <w:pPr>
              <w:spacing w:after="0" w:line="480" w:lineRule="auto"/>
              <w:rPr>
                <w:rFonts w:ascii="Arial" w:eastAsia="Times New Roman" w:hAnsi="Arial" w:cs="Times New Roman"/>
                <w:sz w:val="20"/>
                <w:szCs w:val="24"/>
                <w:lang w:val="en-GB"/>
              </w:rPr>
            </w:pPr>
          </w:p>
          <w:p w14:paraId="50857F68" w14:textId="2C75A20F" w:rsidR="00710DA7" w:rsidRPr="00636E2E" w:rsidRDefault="00710DA7" w:rsidP="002A7B09">
            <w:pPr>
              <w:spacing w:after="0" w:line="480" w:lineRule="auto"/>
              <w:rPr>
                <w:rFonts w:ascii="Arial" w:eastAsia="Times New Roman" w:hAnsi="Arial" w:cs="Times New Roman"/>
                <w:sz w:val="20"/>
                <w:szCs w:val="24"/>
                <w:lang w:val="en-GB"/>
              </w:rPr>
            </w:pPr>
          </w:p>
          <w:p w14:paraId="37D6D4CB" w14:textId="77777777" w:rsidR="00710DA7" w:rsidRPr="00636E2E" w:rsidRDefault="00710DA7" w:rsidP="002A7B09">
            <w:pPr>
              <w:spacing w:after="0" w:line="480" w:lineRule="auto"/>
              <w:rPr>
                <w:rFonts w:ascii="Arial" w:eastAsia="Times New Roman" w:hAnsi="Arial" w:cs="Times New Roman"/>
                <w:sz w:val="20"/>
                <w:szCs w:val="24"/>
                <w:lang w:val="en-GB"/>
              </w:rPr>
            </w:pPr>
          </w:p>
          <w:p w14:paraId="420C7922"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c>
          <w:tcPr>
            <w:tcW w:w="537" w:type="pct"/>
            <w:tcBorders>
              <w:top w:val="single" w:sz="4" w:space="0" w:color="auto"/>
              <w:left w:val="single" w:sz="4" w:space="0" w:color="auto"/>
              <w:bottom w:val="single" w:sz="4" w:space="0" w:color="auto"/>
              <w:right w:val="single" w:sz="4" w:space="0" w:color="auto"/>
            </w:tcBorders>
          </w:tcPr>
          <w:p w14:paraId="738FF580" w14:textId="77777777" w:rsidR="00357A55" w:rsidRPr="00636E2E" w:rsidRDefault="00357A55" w:rsidP="002A7B09">
            <w:pPr>
              <w:spacing w:after="0" w:line="480" w:lineRule="auto"/>
              <w:rPr>
                <w:rFonts w:ascii="Arial" w:eastAsia="Times New Roman" w:hAnsi="Arial" w:cs="Times New Roman"/>
                <w:sz w:val="20"/>
                <w:szCs w:val="24"/>
                <w:lang w:val="en-GB"/>
              </w:rPr>
            </w:pPr>
          </w:p>
          <w:p w14:paraId="74CA1BC5"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r>
      <w:tr w:rsidR="00357A55" w:rsidRPr="00636E2E" w14:paraId="2E96EE4E" w14:textId="77777777" w:rsidTr="00710DA7">
        <w:tc>
          <w:tcPr>
            <w:tcW w:w="843" w:type="pct"/>
            <w:tcBorders>
              <w:top w:val="single" w:sz="4" w:space="0" w:color="auto"/>
              <w:left w:val="single" w:sz="4" w:space="0" w:color="auto"/>
              <w:bottom w:val="single" w:sz="4" w:space="0" w:color="auto"/>
              <w:right w:val="single" w:sz="4" w:space="0" w:color="auto"/>
            </w:tcBorders>
          </w:tcPr>
          <w:p w14:paraId="53F0BE3B" w14:textId="77777777" w:rsidR="00357A55" w:rsidRPr="00636E2E" w:rsidRDefault="00357A55" w:rsidP="002A7B09">
            <w:pPr>
              <w:spacing w:after="0" w:line="480" w:lineRule="auto"/>
              <w:rPr>
                <w:rFonts w:ascii="Arial" w:eastAsia="Times New Roman" w:hAnsi="Arial" w:cs="Times New Roman"/>
                <w:sz w:val="20"/>
                <w:szCs w:val="24"/>
                <w:lang w:val="en-GB"/>
              </w:rPr>
            </w:pPr>
          </w:p>
          <w:p w14:paraId="55BEBDF1"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c>
          <w:tcPr>
            <w:tcW w:w="2070" w:type="pct"/>
            <w:tcBorders>
              <w:top w:val="single" w:sz="4" w:space="0" w:color="auto"/>
              <w:left w:val="single" w:sz="4" w:space="0" w:color="auto"/>
              <w:bottom w:val="single" w:sz="4" w:space="0" w:color="auto"/>
              <w:right w:val="single" w:sz="4" w:space="0" w:color="auto"/>
            </w:tcBorders>
          </w:tcPr>
          <w:p w14:paraId="11899E98" w14:textId="77777777" w:rsidR="00357A55" w:rsidRPr="00636E2E" w:rsidRDefault="00357A55" w:rsidP="002A7B09">
            <w:pPr>
              <w:spacing w:after="0" w:line="480" w:lineRule="auto"/>
              <w:rPr>
                <w:rFonts w:ascii="Arial" w:eastAsia="Times New Roman" w:hAnsi="Arial" w:cs="Times New Roman"/>
                <w:sz w:val="20"/>
                <w:szCs w:val="24"/>
                <w:lang w:val="en-GB"/>
              </w:rPr>
            </w:pPr>
          </w:p>
          <w:p w14:paraId="6795F11A"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c>
          <w:tcPr>
            <w:tcW w:w="1550" w:type="pct"/>
            <w:tcBorders>
              <w:top w:val="single" w:sz="4" w:space="0" w:color="auto"/>
              <w:left w:val="single" w:sz="4" w:space="0" w:color="auto"/>
              <w:bottom w:val="single" w:sz="4" w:space="0" w:color="auto"/>
              <w:right w:val="single" w:sz="4" w:space="0" w:color="auto"/>
            </w:tcBorders>
          </w:tcPr>
          <w:p w14:paraId="7E4F6203" w14:textId="2CF446B0" w:rsidR="00357A55" w:rsidRPr="00636E2E" w:rsidRDefault="00357A55" w:rsidP="002A7B09">
            <w:pPr>
              <w:spacing w:after="0" w:line="480" w:lineRule="auto"/>
              <w:rPr>
                <w:rFonts w:ascii="Arial" w:eastAsia="Times New Roman" w:hAnsi="Arial" w:cs="Times New Roman"/>
                <w:sz w:val="20"/>
                <w:szCs w:val="24"/>
                <w:lang w:val="en-GB"/>
              </w:rPr>
            </w:pPr>
          </w:p>
          <w:p w14:paraId="324892DF" w14:textId="2537530C" w:rsidR="00710DA7" w:rsidRPr="00636E2E" w:rsidRDefault="00710DA7" w:rsidP="002A7B09">
            <w:pPr>
              <w:spacing w:after="0" w:line="480" w:lineRule="auto"/>
              <w:rPr>
                <w:rFonts w:ascii="Arial" w:eastAsia="Times New Roman" w:hAnsi="Arial" w:cs="Times New Roman"/>
                <w:sz w:val="20"/>
                <w:szCs w:val="24"/>
                <w:lang w:val="en-GB"/>
              </w:rPr>
            </w:pPr>
          </w:p>
          <w:p w14:paraId="5679CBA0" w14:textId="198591EB" w:rsidR="00710DA7" w:rsidRPr="00636E2E" w:rsidRDefault="00710DA7" w:rsidP="002A7B09">
            <w:pPr>
              <w:spacing w:after="0" w:line="480" w:lineRule="auto"/>
              <w:rPr>
                <w:rFonts w:ascii="Arial" w:eastAsia="Times New Roman" w:hAnsi="Arial" w:cs="Times New Roman"/>
                <w:sz w:val="20"/>
                <w:szCs w:val="24"/>
                <w:lang w:val="en-GB"/>
              </w:rPr>
            </w:pPr>
          </w:p>
          <w:p w14:paraId="343BA137" w14:textId="6EA48156" w:rsidR="00710DA7" w:rsidRPr="00636E2E" w:rsidRDefault="00710DA7" w:rsidP="002A7B09">
            <w:pPr>
              <w:spacing w:after="0" w:line="480" w:lineRule="auto"/>
              <w:rPr>
                <w:rFonts w:ascii="Arial" w:eastAsia="Times New Roman" w:hAnsi="Arial" w:cs="Times New Roman"/>
                <w:sz w:val="20"/>
                <w:szCs w:val="24"/>
                <w:lang w:val="en-GB"/>
              </w:rPr>
            </w:pPr>
          </w:p>
          <w:p w14:paraId="3802AF96" w14:textId="5A16E455" w:rsidR="00710DA7" w:rsidRPr="00636E2E" w:rsidRDefault="00710DA7" w:rsidP="002A7B09">
            <w:pPr>
              <w:spacing w:after="0" w:line="480" w:lineRule="auto"/>
              <w:rPr>
                <w:rFonts w:ascii="Arial" w:eastAsia="Times New Roman" w:hAnsi="Arial" w:cs="Times New Roman"/>
                <w:sz w:val="20"/>
                <w:szCs w:val="24"/>
                <w:lang w:val="en-GB"/>
              </w:rPr>
            </w:pPr>
          </w:p>
          <w:p w14:paraId="3B427EB9" w14:textId="010463FD" w:rsidR="00710DA7" w:rsidRPr="00636E2E" w:rsidRDefault="00710DA7" w:rsidP="002A7B09">
            <w:pPr>
              <w:spacing w:after="0" w:line="480" w:lineRule="auto"/>
              <w:rPr>
                <w:rFonts w:ascii="Arial" w:eastAsia="Times New Roman" w:hAnsi="Arial" w:cs="Times New Roman"/>
                <w:sz w:val="20"/>
                <w:szCs w:val="24"/>
                <w:lang w:val="en-GB"/>
              </w:rPr>
            </w:pPr>
          </w:p>
          <w:p w14:paraId="207CA027" w14:textId="77777777" w:rsidR="00710DA7" w:rsidRPr="00636E2E" w:rsidRDefault="00710DA7" w:rsidP="002A7B09">
            <w:pPr>
              <w:spacing w:after="0" w:line="480" w:lineRule="auto"/>
              <w:rPr>
                <w:rFonts w:ascii="Arial" w:eastAsia="Times New Roman" w:hAnsi="Arial" w:cs="Times New Roman"/>
                <w:sz w:val="20"/>
                <w:szCs w:val="24"/>
                <w:lang w:val="en-GB"/>
              </w:rPr>
            </w:pPr>
          </w:p>
          <w:p w14:paraId="3F17741C"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5FB861E1"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0CB55845"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624DC08E" w14:textId="77777777"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p w14:paraId="466FF8B0" w14:textId="24080252" w:rsidR="00710DA7" w:rsidRPr="00636E2E" w:rsidRDefault="00710DA7"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c>
          <w:tcPr>
            <w:tcW w:w="537" w:type="pct"/>
            <w:tcBorders>
              <w:top w:val="single" w:sz="4" w:space="0" w:color="auto"/>
              <w:left w:val="single" w:sz="4" w:space="0" w:color="auto"/>
              <w:bottom w:val="single" w:sz="4" w:space="0" w:color="auto"/>
              <w:right w:val="single" w:sz="4" w:space="0" w:color="auto"/>
            </w:tcBorders>
          </w:tcPr>
          <w:p w14:paraId="50A44B7B" w14:textId="77777777" w:rsidR="00357A55" w:rsidRPr="00636E2E" w:rsidRDefault="00357A55" w:rsidP="002A7B09">
            <w:pPr>
              <w:spacing w:after="0" w:line="480" w:lineRule="auto"/>
              <w:rPr>
                <w:rFonts w:ascii="Arial" w:eastAsia="Times New Roman" w:hAnsi="Arial" w:cs="Times New Roman"/>
                <w:sz w:val="20"/>
                <w:szCs w:val="24"/>
                <w:lang w:val="en-GB"/>
              </w:rPr>
            </w:pPr>
          </w:p>
          <w:p w14:paraId="49F09BD4" w14:textId="77777777" w:rsidR="00357A55" w:rsidRPr="00636E2E" w:rsidRDefault="00357A55" w:rsidP="002A7B09">
            <w:pPr>
              <w:tabs>
                <w:tab w:val="left" w:pos="-720"/>
                <w:tab w:val="left" w:pos="0"/>
                <w:tab w:val="left" w:pos="720"/>
                <w:tab w:val="left" w:pos="1440"/>
                <w:tab w:val="left" w:pos="2160"/>
                <w:tab w:val="left" w:pos="2880"/>
                <w:tab w:val="left" w:pos="3330"/>
                <w:tab w:val="left" w:pos="4320"/>
              </w:tabs>
              <w:spacing w:after="19" w:line="480" w:lineRule="auto"/>
              <w:rPr>
                <w:rFonts w:ascii="Arial" w:eastAsia="Times New Roman" w:hAnsi="Arial" w:cs="Times New Roman"/>
                <w:sz w:val="20"/>
                <w:szCs w:val="24"/>
                <w:lang w:val="en-GB"/>
              </w:rPr>
            </w:pPr>
          </w:p>
        </w:tc>
      </w:tr>
    </w:tbl>
    <w:p w14:paraId="600137C1" w14:textId="77777777" w:rsidR="00357A55" w:rsidRDefault="00357A55" w:rsidP="002A7B09">
      <w:pPr>
        <w:spacing w:after="0" w:line="480" w:lineRule="auto"/>
        <w:rPr>
          <w:lang w:val="en-GB"/>
        </w:rPr>
      </w:pPr>
    </w:p>
    <w:p w14:paraId="7D53440E" w14:textId="0B268677" w:rsidR="004B6B75" w:rsidRPr="00636E2E" w:rsidRDefault="004B6B75" w:rsidP="002A7B09">
      <w:pPr>
        <w:spacing w:after="0" w:line="480" w:lineRule="auto"/>
        <w:rPr>
          <w:lang w:val="en-GB"/>
        </w:rPr>
        <w:sectPr w:rsidR="004B6B75" w:rsidRPr="00636E2E" w:rsidSect="003D650A">
          <w:pgSz w:w="15840" w:h="12240" w:orient="landscape"/>
          <w:pgMar w:top="720" w:right="720" w:bottom="720" w:left="720" w:header="720" w:footer="720" w:gutter="0"/>
          <w:cols w:space="720"/>
          <w:docGrid w:linePitch="360"/>
        </w:sectPr>
      </w:pPr>
    </w:p>
    <w:p w14:paraId="0A76FF3D" w14:textId="6AEF671A" w:rsidR="00357A55" w:rsidRPr="00636E2E" w:rsidRDefault="00357A55" w:rsidP="002A7B09">
      <w:pPr>
        <w:spacing w:after="0" w:line="480" w:lineRule="auto"/>
        <w:rPr>
          <w:lang w:val="en-GB"/>
        </w:rPr>
      </w:pPr>
    </w:p>
    <w:p w14:paraId="4C4FB08C" w14:textId="76F5448A" w:rsidR="00357A55" w:rsidRDefault="004B6B75" w:rsidP="004B6B75">
      <w:pPr>
        <w:pStyle w:val="Heading1"/>
        <w:rPr>
          <w:lang w:val="en-GB"/>
        </w:rPr>
      </w:pPr>
      <w:r>
        <w:rPr>
          <w:lang w:val="en-GB"/>
        </w:rPr>
        <w:t>References</w:t>
      </w:r>
    </w:p>
    <w:p w14:paraId="3A53518D" w14:textId="5F7AFC26" w:rsidR="004B6B75" w:rsidRDefault="004B6B75" w:rsidP="002A7B09">
      <w:pPr>
        <w:spacing w:line="480" w:lineRule="auto"/>
        <w:rPr>
          <w:rFonts w:asciiTheme="majorHAnsi" w:hAnsiTheme="majorHAnsi" w:cstheme="majorHAnsi"/>
          <w:lang w:val="en-GB"/>
        </w:rPr>
      </w:pPr>
    </w:p>
    <w:p w14:paraId="43A42DF4" w14:textId="21A77302"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ACCAC (Qualifications, Curriculum and Assessment Authority for Wales), 2013. Developing the Curriculum Cymreig. </w:t>
      </w:r>
      <w:r w:rsidR="0079263D">
        <w:rPr>
          <w:rFonts w:asciiTheme="majorHAnsi" w:hAnsiTheme="majorHAnsi" w:cstheme="majorHAnsi"/>
          <w:lang w:val="en-GB"/>
        </w:rPr>
        <w:t xml:space="preserve">Available at: </w:t>
      </w:r>
      <w:hyperlink r:id="rId13" w:history="1">
        <w:r w:rsidR="0079263D" w:rsidRPr="00201275">
          <w:rPr>
            <w:rStyle w:val="Hyperlink"/>
            <w:rFonts w:asciiTheme="majorHAnsi" w:hAnsiTheme="majorHAnsi" w:cstheme="majorHAnsi"/>
            <w:lang w:val="en-GB"/>
          </w:rPr>
          <w:t>http://learning.gov.wales/docs/learningwales/publications/130424-developing-the-curriculum-cymreig-en.pdf</w:t>
        </w:r>
      </w:hyperlink>
      <w:r w:rsidR="0079263D">
        <w:rPr>
          <w:rFonts w:asciiTheme="majorHAnsi" w:hAnsiTheme="majorHAnsi" w:cstheme="majorHAnsi"/>
          <w:lang w:val="en-GB"/>
        </w:rPr>
        <w:t>. Accessed 25/11/2018.</w:t>
      </w:r>
    </w:p>
    <w:p w14:paraId="0C83AF8D" w14:textId="65782F87"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Agathangelou, Charalambous &amp; Koutselini, 2016. </w:t>
      </w:r>
      <w:r w:rsidR="0079263D">
        <w:rPr>
          <w:rFonts w:asciiTheme="majorHAnsi" w:hAnsiTheme="majorHAnsi" w:cstheme="majorHAnsi"/>
          <w:lang w:val="en-GB"/>
        </w:rPr>
        <w:t>‘</w:t>
      </w:r>
      <w:r w:rsidRPr="00BE5F36">
        <w:rPr>
          <w:rFonts w:asciiTheme="majorHAnsi" w:hAnsiTheme="majorHAnsi" w:cstheme="majorHAnsi"/>
          <w:lang w:val="en-GB"/>
        </w:rPr>
        <w:t>Reconsidering the contribution of teacher knowledge to student learning: Linear or curvilinear effects?</w:t>
      </w:r>
      <w:r w:rsidR="0079263D">
        <w:rPr>
          <w:rFonts w:asciiTheme="majorHAnsi" w:hAnsiTheme="majorHAnsi" w:cstheme="majorHAnsi"/>
          <w:lang w:val="en-GB"/>
        </w:rPr>
        <w:t>’</w:t>
      </w:r>
      <w:r w:rsidRPr="00BE5F36">
        <w:rPr>
          <w:rFonts w:asciiTheme="majorHAnsi" w:hAnsiTheme="majorHAnsi" w:cstheme="majorHAnsi"/>
          <w:lang w:val="en-GB"/>
        </w:rPr>
        <w:t> </w:t>
      </w:r>
      <w:r w:rsidRPr="00157A44">
        <w:rPr>
          <w:rFonts w:asciiTheme="majorHAnsi" w:hAnsiTheme="majorHAnsi" w:cstheme="majorHAnsi"/>
          <w:i/>
          <w:lang w:val="en-GB"/>
        </w:rPr>
        <w:t>Teaching and Teacher Education</w:t>
      </w:r>
      <w:r w:rsidRPr="00BE5F36">
        <w:rPr>
          <w:rFonts w:asciiTheme="majorHAnsi" w:hAnsiTheme="majorHAnsi" w:cstheme="majorHAnsi"/>
          <w:lang w:val="en-GB"/>
        </w:rPr>
        <w:t>, 57, pp.125–138.</w:t>
      </w:r>
    </w:p>
    <w:p w14:paraId="32F279C2" w14:textId="77777777"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Allison S. &amp; Tharby, A. 2015. </w:t>
      </w:r>
      <w:r w:rsidRPr="001022CF">
        <w:rPr>
          <w:rFonts w:asciiTheme="majorHAnsi" w:hAnsiTheme="majorHAnsi" w:cstheme="majorHAnsi"/>
          <w:i/>
          <w:lang w:val="en-GB"/>
        </w:rPr>
        <w:t>Making Every Lesson Count</w:t>
      </w:r>
      <w:r w:rsidRPr="00BE5F36">
        <w:rPr>
          <w:rFonts w:asciiTheme="majorHAnsi" w:hAnsiTheme="majorHAnsi" w:cstheme="majorHAnsi"/>
          <w:lang w:val="en-GB"/>
        </w:rPr>
        <w:t xml:space="preserve">. Crown House Publishing, Carmarthen. </w:t>
      </w:r>
    </w:p>
    <w:p w14:paraId="1B35D089" w14:textId="77777777"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Bandura, A. (1997). </w:t>
      </w:r>
      <w:r w:rsidRPr="001022CF">
        <w:rPr>
          <w:rFonts w:asciiTheme="majorHAnsi" w:hAnsiTheme="majorHAnsi" w:cstheme="majorHAnsi"/>
          <w:i/>
          <w:lang w:val="en-GB"/>
        </w:rPr>
        <w:t>Self-efficacy the exercise of control</w:t>
      </w:r>
      <w:r w:rsidRPr="00BE5F36">
        <w:rPr>
          <w:rFonts w:asciiTheme="majorHAnsi" w:hAnsiTheme="majorHAnsi" w:cstheme="majorHAnsi"/>
          <w:lang w:val="en-GB"/>
        </w:rPr>
        <w:t>. New York: W. H. Freeman and Company</w:t>
      </w:r>
    </w:p>
    <w:p w14:paraId="7A8DCF10" w14:textId="2F6031E5"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Biesta, G., 2015. </w:t>
      </w:r>
      <w:r w:rsidR="001022CF">
        <w:rPr>
          <w:rFonts w:asciiTheme="majorHAnsi" w:hAnsiTheme="majorHAnsi" w:cstheme="majorHAnsi"/>
          <w:lang w:val="en-GB"/>
        </w:rPr>
        <w:t>‘</w:t>
      </w:r>
      <w:r w:rsidRPr="00BE5F36">
        <w:rPr>
          <w:rFonts w:asciiTheme="majorHAnsi" w:hAnsiTheme="majorHAnsi" w:cstheme="majorHAnsi"/>
          <w:lang w:val="en-GB"/>
        </w:rPr>
        <w:t>An Appetite for Transcendence: A Response to Doris Santoro’s and Samuel Rocha’s Review of The Beautiful Risk of Education</w:t>
      </w:r>
      <w:r w:rsidR="001022CF">
        <w:rPr>
          <w:rFonts w:asciiTheme="majorHAnsi" w:hAnsiTheme="majorHAnsi" w:cstheme="majorHAnsi"/>
          <w:lang w:val="en-GB"/>
        </w:rPr>
        <w:t>’</w:t>
      </w:r>
      <w:r w:rsidRPr="00BE5F36">
        <w:rPr>
          <w:rFonts w:asciiTheme="majorHAnsi" w:hAnsiTheme="majorHAnsi" w:cstheme="majorHAnsi"/>
          <w:lang w:val="en-GB"/>
        </w:rPr>
        <w:t xml:space="preserve">. </w:t>
      </w:r>
      <w:r w:rsidRPr="001022CF">
        <w:rPr>
          <w:rFonts w:asciiTheme="majorHAnsi" w:hAnsiTheme="majorHAnsi" w:cstheme="majorHAnsi"/>
          <w:i/>
          <w:lang w:val="en-GB"/>
        </w:rPr>
        <w:t>Studies in Philosophy and Education</w:t>
      </w:r>
      <w:r w:rsidRPr="00BE5F36">
        <w:rPr>
          <w:rFonts w:asciiTheme="majorHAnsi" w:hAnsiTheme="majorHAnsi" w:cstheme="majorHAnsi"/>
          <w:lang w:val="en-GB"/>
        </w:rPr>
        <w:t>, 34(4), pp.419–422.</w:t>
      </w:r>
    </w:p>
    <w:p w14:paraId="2D4D9AF7" w14:textId="07949F9B"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Black, P.J. and Wiliam, D. (1998)</w:t>
      </w:r>
      <w:r w:rsidR="001022CF">
        <w:rPr>
          <w:rFonts w:asciiTheme="majorHAnsi" w:hAnsiTheme="majorHAnsi" w:cstheme="majorHAnsi"/>
          <w:lang w:val="en-GB"/>
        </w:rPr>
        <w:t>.</w:t>
      </w:r>
      <w:r w:rsidRPr="00BE5F36">
        <w:rPr>
          <w:rFonts w:asciiTheme="majorHAnsi" w:hAnsiTheme="majorHAnsi" w:cstheme="majorHAnsi"/>
          <w:lang w:val="en-GB"/>
        </w:rPr>
        <w:t xml:space="preserve"> </w:t>
      </w:r>
      <w:r w:rsidR="001022CF">
        <w:rPr>
          <w:rFonts w:asciiTheme="majorHAnsi" w:hAnsiTheme="majorHAnsi" w:cstheme="majorHAnsi"/>
          <w:lang w:val="en-GB"/>
        </w:rPr>
        <w:t>‘</w:t>
      </w:r>
      <w:r w:rsidRPr="00BE5F36">
        <w:rPr>
          <w:rFonts w:asciiTheme="majorHAnsi" w:hAnsiTheme="majorHAnsi" w:cstheme="majorHAnsi"/>
          <w:lang w:val="en-GB"/>
        </w:rPr>
        <w:t>Assessment and Classroom Learning</w:t>
      </w:r>
      <w:r w:rsidR="004563DF">
        <w:rPr>
          <w:rFonts w:asciiTheme="majorHAnsi" w:hAnsiTheme="majorHAnsi" w:cstheme="majorHAnsi"/>
          <w:lang w:val="en-GB"/>
        </w:rPr>
        <w:t>’,</w:t>
      </w:r>
      <w:r w:rsidRPr="00BE5F36">
        <w:rPr>
          <w:rFonts w:asciiTheme="majorHAnsi" w:hAnsiTheme="majorHAnsi" w:cstheme="majorHAnsi"/>
          <w:lang w:val="en-GB"/>
        </w:rPr>
        <w:t xml:space="preserve"> </w:t>
      </w:r>
      <w:r w:rsidRPr="004563DF">
        <w:rPr>
          <w:rFonts w:asciiTheme="majorHAnsi" w:hAnsiTheme="majorHAnsi" w:cstheme="majorHAnsi"/>
          <w:i/>
          <w:lang w:val="en-GB"/>
        </w:rPr>
        <w:t>Assessment in Education</w:t>
      </w:r>
      <w:r w:rsidRPr="00BE5F36">
        <w:rPr>
          <w:rFonts w:asciiTheme="majorHAnsi" w:hAnsiTheme="majorHAnsi" w:cstheme="majorHAnsi"/>
          <w:lang w:val="en-GB"/>
        </w:rPr>
        <w:t>, 5(1), 7-74.</w:t>
      </w:r>
    </w:p>
    <w:p w14:paraId="153EBCD7" w14:textId="77777777"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Black, P &amp; Wiliam, D 2009, 'Developing the theory of formative assessment' </w:t>
      </w:r>
      <w:r w:rsidRPr="004563DF">
        <w:rPr>
          <w:rFonts w:asciiTheme="majorHAnsi" w:hAnsiTheme="majorHAnsi" w:cstheme="majorHAnsi"/>
          <w:i/>
          <w:lang w:val="en-GB"/>
        </w:rPr>
        <w:t>Educational Assessment, Evaluation and Accountability</w:t>
      </w:r>
      <w:r w:rsidRPr="00BE5F36">
        <w:rPr>
          <w:rFonts w:asciiTheme="majorHAnsi" w:hAnsiTheme="majorHAnsi" w:cstheme="majorHAnsi"/>
          <w:lang w:val="en-GB"/>
        </w:rPr>
        <w:t>, vol. 21, no. 1, pp. 5-31. DOI: 10.1007/s11092-008-9068-5</w:t>
      </w:r>
    </w:p>
    <w:p w14:paraId="22DF460B" w14:textId="0A5F86D9"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Bloom, B.S., 1984. </w:t>
      </w:r>
      <w:r w:rsidR="004563DF">
        <w:rPr>
          <w:rFonts w:asciiTheme="majorHAnsi" w:hAnsiTheme="majorHAnsi" w:cstheme="majorHAnsi"/>
          <w:lang w:val="en-GB"/>
        </w:rPr>
        <w:t>‘</w:t>
      </w:r>
      <w:r w:rsidRPr="00BE5F36">
        <w:rPr>
          <w:rFonts w:asciiTheme="majorHAnsi" w:hAnsiTheme="majorHAnsi" w:cstheme="majorHAnsi"/>
          <w:lang w:val="en-GB"/>
        </w:rPr>
        <w:t>The 2 Sigma Problem: The Search for Methods of Group Instruction as Effective as One-to-One Tutoring</w:t>
      </w:r>
      <w:r w:rsidR="004563DF">
        <w:rPr>
          <w:rFonts w:asciiTheme="majorHAnsi" w:hAnsiTheme="majorHAnsi" w:cstheme="majorHAnsi"/>
          <w:lang w:val="en-GB"/>
        </w:rPr>
        <w:t>’</w:t>
      </w:r>
      <w:r w:rsidRPr="00BE5F36">
        <w:rPr>
          <w:rFonts w:asciiTheme="majorHAnsi" w:hAnsiTheme="majorHAnsi" w:cstheme="majorHAnsi"/>
          <w:lang w:val="en-GB"/>
        </w:rPr>
        <w:t>. </w:t>
      </w:r>
      <w:r w:rsidRPr="004563DF">
        <w:rPr>
          <w:rFonts w:asciiTheme="majorHAnsi" w:hAnsiTheme="majorHAnsi" w:cstheme="majorHAnsi"/>
          <w:i/>
          <w:lang w:val="en-GB"/>
        </w:rPr>
        <w:t>Educational Researcher</w:t>
      </w:r>
      <w:r w:rsidRPr="00BE5F36">
        <w:rPr>
          <w:rFonts w:asciiTheme="majorHAnsi" w:hAnsiTheme="majorHAnsi" w:cstheme="majorHAnsi"/>
          <w:lang w:val="en-GB"/>
        </w:rPr>
        <w:t>, 13(6), pp.4–16.</w:t>
      </w:r>
    </w:p>
    <w:p w14:paraId="6A8EE7D7" w14:textId="17B043AA"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Bruner, J. (1978). </w:t>
      </w:r>
      <w:r w:rsidR="001E7CBD">
        <w:rPr>
          <w:rFonts w:asciiTheme="majorHAnsi" w:hAnsiTheme="majorHAnsi" w:cstheme="majorHAnsi"/>
          <w:lang w:val="en-GB"/>
        </w:rPr>
        <w:t>‘</w:t>
      </w:r>
      <w:r w:rsidRPr="00BE5F36">
        <w:rPr>
          <w:rFonts w:asciiTheme="majorHAnsi" w:hAnsiTheme="majorHAnsi" w:cstheme="majorHAnsi"/>
          <w:lang w:val="en-GB"/>
        </w:rPr>
        <w:t>The role of dialogue in language acquisition</w:t>
      </w:r>
      <w:r w:rsidR="001E7CBD">
        <w:rPr>
          <w:rFonts w:asciiTheme="majorHAnsi" w:hAnsiTheme="majorHAnsi" w:cstheme="majorHAnsi"/>
          <w:lang w:val="en-GB"/>
        </w:rPr>
        <w:t>’</w:t>
      </w:r>
      <w:r w:rsidR="00436E93">
        <w:rPr>
          <w:rFonts w:asciiTheme="majorHAnsi" w:hAnsiTheme="majorHAnsi" w:cstheme="majorHAnsi"/>
          <w:lang w:val="en-GB"/>
        </w:rPr>
        <w:t>, i</w:t>
      </w:r>
      <w:r w:rsidRPr="00BE5F36">
        <w:rPr>
          <w:rFonts w:asciiTheme="majorHAnsi" w:hAnsiTheme="majorHAnsi" w:cstheme="majorHAnsi"/>
          <w:lang w:val="en-GB"/>
        </w:rPr>
        <w:t>n Sinclair</w:t>
      </w:r>
      <w:r w:rsidR="00436E93" w:rsidRPr="00436E93">
        <w:rPr>
          <w:rFonts w:asciiTheme="majorHAnsi" w:hAnsiTheme="majorHAnsi" w:cstheme="majorHAnsi"/>
          <w:lang w:val="en-GB"/>
        </w:rPr>
        <w:t xml:space="preserve"> </w:t>
      </w:r>
      <w:r w:rsidR="00436E93" w:rsidRPr="00BE5F36">
        <w:rPr>
          <w:rFonts w:asciiTheme="majorHAnsi" w:hAnsiTheme="majorHAnsi" w:cstheme="majorHAnsi"/>
          <w:lang w:val="en-GB"/>
        </w:rPr>
        <w:t>A.</w:t>
      </w:r>
      <w:r w:rsidRPr="00BE5F36">
        <w:rPr>
          <w:rFonts w:asciiTheme="majorHAnsi" w:hAnsiTheme="majorHAnsi" w:cstheme="majorHAnsi"/>
          <w:lang w:val="en-GB"/>
        </w:rPr>
        <w:t xml:space="preserve">, Jarvella </w:t>
      </w:r>
      <w:r w:rsidR="00436E93" w:rsidRPr="00BE5F36">
        <w:rPr>
          <w:rFonts w:asciiTheme="majorHAnsi" w:hAnsiTheme="majorHAnsi" w:cstheme="majorHAnsi"/>
          <w:lang w:val="en-GB"/>
        </w:rPr>
        <w:t xml:space="preserve">R. </w:t>
      </w:r>
      <w:r w:rsidRPr="00BE5F36">
        <w:rPr>
          <w:rFonts w:asciiTheme="majorHAnsi" w:hAnsiTheme="majorHAnsi" w:cstheme="majorHAnsi"/>
          <w:lang w:val="en-GB"/>
        </w:rPr>
        <w:t xml:space="preserve">and </w:t>
      </w:r>
      <w:r w:rsidR="00436E93" w:rsidRPr="00BE5F36">
        <w:rPr>
          <w:rFonts w:asciiTheme="majorHAnsi" w:hAnsiTheme="majorHAnsi" w:cstheme="majorHAnsi"/>
          <w:lang w:val="en-GB"/>
        </w:rPr>
        <w:t xml:space="preserve">Levelt </w:t>
      </w:r>
      <w:r w:rsidRPr="00BE5F36">
        <w:rPr>
          <w:rFonts w:asciiTheme="majorHAnsi" w:hAnsiTheme="majorHAnsi" w:cstheme="majorHAnsi"/>
          <w:lang w:val="en-GB"/>
        </w:rPr>
        <w:t xml:space="preserve">W. J. M. </w:t>
      </w:r>
      <w:r w:rsidR="00436E93">
        <w:rPr>
          <w:rFonts w:asciiTheme="majorHAnsi" w:hAnsiTheme="majorHAnsi" w:cstheme="majorHAnsi"/>
          <w:lang w:val="en-GB"/>
        </w:rPr>
        <w:t>(</w:t>
      </w:r>
      <w:r w:rsidRPr="00BE5F36">
        <w:rPr>
          <w:rFonts w:asciiTheme="majorHAnsi" w:hAnsiTheme="majorHAnsi" w:cstheme="majorHAnsi"/>
          <w:lang w:val="en-GB"/>
        </w:rPr>
        <w:t xml:space="preserve">Eds.), </w:t>
      </w:r>
      <w:r w:rsidRPr="00761313">
        <w:rPr>
          <w:rFonts w:asciiTheme="majorHAnsi" w:hAnsiTheme="majorHAnsi" w:cstheme="majorHAnsi"/>
          <w:i/>
          <w:lang w:val="en-GB"/>
        </w:rPr>
        <w:t>The Child ‘s Conception of Language</w:t>
      </w:r>
      <w:r w:rsidRPr="00BE5F36">
        <w:rPr>
          <w:rFonts w:asciiTheme="majorHAnsi" w:hAnsiTheme="majorHAnsi" w:cstheme="majorHAnsi"/>
          <w:lang w:val="en-GB"/>
        </w:rPr>
        <w:t xml:space="preserve">. Cowie, H., &amp; van der Aalsvort, G. (Eds.). </w:t>
      </w:r>
    </w:p>
    <w:p w14:paraId="076106C4" w14:textId="1F5EF47E" w:rsidR="00BE5F36" w:rsidRPr="00F34D29" w:rsidRDefault="00BE5F36" w:rsidP="00F34D29">
      <w:pPr>
        <w:rPr>
          <w:rFonts w:ascii="Calibri Light" w:eastAsia="Times New Roman" w:hAnsi="Calibri Light" w:cs="Calibri Light"/>
          <w:color w:val="0563C1"/>
          <w:u w:val="single"/>
          <w:lang w:val="en-GB" w:eastAsia="en-GB"/>
        </w:rPr>
      </w:pPr>
      <w:r w:rsidRPr="00BE5F36">
        <w:rPr>
          <w:rFonts w:asciiTheme="majorHAnsi" w:hAnsiTheme="majorHAnsi" w:cstheme="majorHAnsi"/>
          <w:lang w:val="en-GB"/>
        </w:rPr>
        <w:t>Coe, R., Aloisi, C., Higgins, S. and Elliot Major, L. (2014) ‘What makes great teaching? Review of the underpinning research’. Sutton Trust, October 2014</w:t>
      </w:r>
      <w:r w:rsidR="00F34D29">
        <w:rPr>
          <w:rFonts w:asciiTheme="majorHAnsi" w:hAnsiTheme="majorHAnsi" w:cstheme="majorHAnsi"/>
          <w:lang w:val="en-GB"/>
        </w:rPr>
        <w:t xml:space="preserve">. Available at: </w:t>
      </w:r>
      <w:hyperlink r:id="rId14" w:history="1">
        <w:r w:rsidR="00F34D29" w:rsidRPr="00F34D29">
          <w:rPr>
            <w:rFonts w:ascii="Calibri Light" w:eastAsia="Times New Roman" w:hAnsi="Calibri Light" w:cs="Calibri Light"/>
            <w:color w:val="0563C1"/>
            <w:u w:val="single"/>
            <w:lang w:val="en-GB" w:eastAsia="en-GB"/>
          </w:rPr>
          <w:t>https://www.suttontrust.com/wp-content/uploads/2014/10/What-makes-great-teaching-FINAL-4.11.14-1.pdf</w:t>
        </w:r>
      </w:hyperlink>
      <w:r w:rsidR="00F34D29">
        <w:rPr>
          <w:rFonts w:ascii="Calibri Light" w:eastAsia="Times New Roman" w:hAnsi="Calibri Light" w:cs="Calibri Light"/>
          <w:color w:val="0563C1"/>
          <w:u w:val="single"/>
          <w:lang w:val="en-GB" w:eastAsia="en-GB"/>
        </w:rPr>
        <w:t xml:space="preserve"> </w:t>
      </w:r>
      <w:r w:rsidR="00F34D29">
        <w:rPr>
          <w:rFonts w:asciiTheme="majorHAnsi" w:hAnsiTheme="majorHAnsi" w:cstheme="majorHAnsi"/>
          <w:lang w:val="en-GB"/>
        </w:rPr>
        <w:t>Accessed: 25/11/2018.</w:t>
      </w:r>
    </w:p>
    <w:p w14:paraId="304D30A5" w14:textId="5E174D33"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Dix, Paul, 2017. </w:t>
      </w:r>
      <w:r w:rsidRPr="00F34D29">
        <w:rPr>
          <w:rFonts w:asciiTheme="majorHAnsi" w:hAnsiTheme="majorHAnsi" w:cstheme="majorHAnsi"/>
          <w:i/>
          <w:lang w:val="en-GB"/>
        </w:rPr>
        <w:t>When the Adults Change</w:t>
      </w:r>
      <w:r w:rsidRPr="00BE5F36">
        <w:rPr>
          <w:rFonts w:asciiTheme="majorHAnsi" w:hAnsiTheme="majorHAnsi" w:cstheme="majorHAnsi"/>
          <w:lang w:val="en-GB"/>
        </w:rPr>
        <w:t>. Humanising Language Teaching</w:t>
      </w:r>
      <w:r w:rsidR="00F34D29">
        <w:rPr>
          <w:rFonts w:asciiTheme="majorHAnsi" w:hAnsiTheme="majorHAnsi" w:cstheme="majorHAnsi"/>
          <w:lang w:val="en-GB"/>
        </w:rPr>
        <w:t>.</w:t>
      </w:r>
      <w:r w:rsidR="009B779A">
        <w:rPr>
          <w:rFonts w:asciiTheme="majorHAnsi" w:hAnsiTheme="majorHAnsi" w:cstheme="majorHAnsi"/>
          <w:lang w:val="en-GB"/>
        </w:rPr>
        <w:t xml:space="preserve"> Independent Thinking Press, Camarthen.</w:t>
      </w:r>
    </w:p>
    <w:p w14:paraId="1C500090" w14:textId="3CAE2A88"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Donaldson, G. 2015. </w:t>
      </w:r>
      <w:r w:rsidRPr="009B779A">
        <w:rPr>
          <w:rFonts w:asciiTheme="majorHAnsi" w:hAnsiTheme="majorHAnsi" w:cstheme="majorHAnsi"/>
          <w:i/>
          <w:lang w:val="en-GB"/>
        </w:rPr>
        <w:t xml:space="preserve">Successful Futures: Independent Review of Curriculum and Assessment </w:t>
      </w:r>
      <w:r w:rsidR="009B779A" w:rsidRPr="009B779A">
        <w:rPr>
          <w:rFonts w:asciiTheme="majorHAnsi" w:hAnsiTheme="majorHAnsi" w:cstheme="majorHAnsi"/>
          <w:i/>
          <w:lang w:val="en-GB"/>
        </w:rPr>
        <w:t>A</w:t>
      </w:r>
      <w:r w:rsidRPr="009B779A">
        <w:rPr>
          <w:rFonts w:asciiTheme="majorHAnsi" w:hAnsiTheme="majorHAnsi" w:cstheme="majorHAnsi"/>
          <w:i/>
          <w:lang w:val="en-GB"/>
        </w:rPr>
        <w:t>rrangements in Wales</w:t>
      </w:r>
      <w:r w:rsidRPr="00BE5F36">
        <w:rPr>
          <w:rFonts w:asciiTheme="majorHAnsi" w:hAnsiTheme="majorHAnsi" w:cstheme="majorHAnsi"/>
          <w:lang w:val="en-GB"/>
        </w:rPr>
        <w:t>.  ISBN 978 1 4734 3043 3</w:t>
      </w:r>
      <w:r w:rsidR="00292199">
        <w:rPr>
          <w:rFonts w:asciiTheme="majorHAnsi" w:hAnsiTheme="majorHAnsi" w:cstheme="majorHAnsi"/>
          <w:lang w:val="en-GB"/>
        </w:rPr>
        <w:t xml:space="preserve">. Available at: </w:t>
      </w:r>
      <w:hyperlink r:id="rId15" w:history="1">
        <w:r w:rsidR="00292199" w:rsidRPr="00201275">
          <w:rPr>
            <w:rStyle w:val="Hyperlink"/>
            <w:rFonts w:asciiTheme="majorHAnsi" w:hAnsiTheme="majorHAnsi" w:cstheme="majorHAnsi"/>
            <w:lang w:val="en-GB"/>
          </w:rPr>
          <w:t>https://gov.wales/docs/dcells/publications/150225-successful-futures-en.pdf</w:t>
        </w:r>
      </w:hyperlink>
      <w:r w:rsidR="00292199">
        <w:rPr>
          <w:rFonts w:asciiTheme="majorHAnsi" w:hAnsiTheme="majorHAnsi" w:cstheme="majorHAnsi"/>
          <w:lang w:val="en-GB"/>
        </w:rPr>
        <w:t xml:space="preserve"> Accessed: 25/11/2018.</w:t>
      </w:r>
    </w:p>
    <w:p w14:paraId="443246E4" w14:textId="57F6B9C4"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Dweck, Carol S., 2012. </w:t>
      </w:r>
      <w:r w:rsidR="00292199">
        <w:rPr>
          <w:rFonts w:asciiTheme="majorHAnsi" w:hAnsiTheme="majorHAnsi" w:cstheme="majorHAnsi"/>
          <w:lang w:val="en-GB"/>
        </w:rPr>
        <w:t>‘</w:t>
      </w:r>
      <w:r w:rsidRPr="00BE5F36">
        <w:rPr>
          <w:rFonts w:asciiTheme="majorHAnsi" w:hAnsiTheme="majorHAnsi" w:cstheme="majorHAnsi"/>
          <w:lang w:val="en-GB"/>
        </w:rPr>
        <w:t>Mindsets and Human Nature: Promoting Change in the Middle East, the Schoolyard, the Racial Divide, and Willpower</w:t>
      </w:r>
      <w:r w:rsidR="00292199">
        <w:rPr>
          <w:rFonts w:asciiTheme="majorHAnsi" w:hAnsiTheme="majorHAnsi" w:cstheme="majorHAnsi"/>
          <w:lang w:val="en-GB"/>
        </w:rPr>
        <w:t>’</w:t>
      </w:r>
      <w:r w:rsidRPr="00BE5F36">
        <w:rPr>
          <w:rFonts w:asciiTheme="majorHAnsi" w:hAnsiTheme="majorHAnsi" w:cstheme="majorHAnsi"/>
          <w:lang w:val="en-GB"/>
        </w:rPr>
        <w:t>. </w:t>
      </w:r>
      <w:r w:rsidRPr="00292199">
        <w:rPr>
          <w:rFonts w:asciiTheme="majorHAnsi" w:hAnsiTheme="majorHAnsi" w:cstheme="majorHAnsi"/>
          <w:i/>
          <w:lang w:val="en-GB"/>
        </w:rPr>
        <w:t>American Psychologist</w:t>
      </w:r>
      <w:r w:rsidRPr="00BE5F36">
        <w:rPr>
          <w:rFonts w:asciiTheme="majorHAnsi" w:hAnsiTheme="majorHAnsi" w:cstheme="majorHAnsi"/>
          <w:lang w:val="en-GB"/>
        </w:rPr>
        <w:t>, 67(8), pp.614–622.</w:t>
      </w:r>
    </w:p>
    <w:p w14:paraId="57D6639B" w14:textId="41566AB5"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Fern</w:t>
      </w:r>
      <w:r w:rsidR="00E14E2B">
        <w:rPr>
          <w:rFonts w:asciiTheme="majorHAnsi" w:hAnsiTheme="majorHAnsi" w:cstheme="majorHAnsi"/>
          <w:lang w:val="en-GB"/>
        </w:rPr>
        <w:t>a</w:t>
      </w:r>
      <w:r w:rsidRPr="00BE5F36">
        <w:rPr>
          <w:rFonts w:asciiTheme="majorHAnsi" w:hAnsiTheme="majorHAnsi" w:cstheme="majorHAnsi"/>
          <w:lang w:val="en-GB"/>
        </w:rPr>
        <w:t xml:space="preserve">ndez, </w:t>
      </w:r>
      <w:r w:rsidR="00E14E2B">
        <w:rPr>
          <w:rFonts w:asciiTheme="majorHAnsi" w:hAnsiTheme="majorHAnsi" w:cstheme="majorHAnsi"/>
          <w:lang w:val="en-GB"/>
        </w:rPr>
        <w:t>M.L.</w:t>
      </w:r>
      <w:r w:rsidRPr="00BE5F36">
        <w:rPr>
          <w:rFonts w:asciiTheme="majorHAnsi" w:hAnsiTheme="majorHAnsi" w:cstheme="majorHAnsi"/>
          <w:lang w:val="en-GB"/>
        </w:rPr>
        <w:t xml:space="preserve">, 2010. </w:t>
      </w:r>
      <w:r w:rsidR="00E14E2B">
        <w:rPr>
          <w:rFonts w:asciiTheme="majorHAnsi" w:hAnsiTheme="majorHAnsi" w:cstheme="majorHAnsi"/>
          <w:lang w:val="en-GB"/>
        </w:rPr>
        <w:t>‘</w:t>
      </w:r>
      <w:r w:rsidRPr="00BE5F36">
        <w:rPr>
          <w:rFonts w:asciiTheme="majorHAnsi" w:hAnsiTheme="majorHAnsi" w:cstheme="majorHAnsi"/>
          <w:lang w:val="en-GB"/>
        </w:rPr>
        <w:t>Investigating How and What Prospective Teachers Learn through Microteaching Lesson Study</w:t>
      </w:r>
      <w:r w:rsidR="00E14E2B">
        <w:rPr>
          <w:rFonts w:asciiTheme="majorHAnsi" w:hAnsiTheme="majorHAnsi" w:cstheme="majorHAnsi"/>
          <w:lang w:val="en-GB"/>
        </w:rPr>
        <w:t>’</w:t>
      </w:r>
      <w:r w:rsidRPr="00BE5F36">
        <w:rPr>
          <w:rFonts w:asciiTheme="majorHAnsi" w:hAnsiTheme="majorHAnsi" w:cstheme="majorHAnsi"/>
          <w:lang w:val="en-GB"/>
        </w:rPr>
        <w:t>. </w:t>
      </w:r>
      <w:r w:rsidRPr="00E14E2B">
        <w:rPr>
          <w:rFonts w:asciiTheme="majorHAnsi" w:hAnsiTheme="majorHAnsi" w:cstheme="majorHAnsi"/>
          <w:i/>
          <w:lang w:val="en-GB"/>
        </w:rPr>
        <w:t>Teaching and Teacher Education: An International Journal of Research and Studies</w:t>
      </w:r>
      <w:r w:rsidRPr="00BE5F36">
        <w:rPr>
          <w:rFonts w:asciiTheme="majorHAnsi" w:hAnsiTheme="majorHAnsi" w:cstheme="majorHAnsi"/>
          <w:lang w:val="en-GB"/>
        </w:rPr>
        <w:t>, 26(2), pp.351–362.</w:t>
      </w:r>
    </w:p>
    <w:p w14:paraId="56B815C9" w14:textId="389A2D70"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s-MX"/>
        </w:rPr>
        <w:t xml:space="preserve">Fernández, M., </w:t>
      </w:r>
      <w:proofErr w:type="spellStart"/>
      <w:r w:rsidRPr="00BE5F36">
        <w:rPr>
          <w:rFonts w:asciiTheme="majorHAnsi" w:hAnsiTheme="majorHAnsi" w:cstheme="majorHAnsi"/>
          <w:lang w:val="es-MX"/>
        </w:rPr>
        <w:t>Wegerif</w:t>
      </w:r>
      <w:proofErr w:type="spellEnd"/>
      <w:r w:rsidRPr="00BE5F36">
        <w:rPr>
          <w:rFonts w:asciiTheme="majorHAnsi" w:hAnsiTheme="majorHAnsi" w:cstheme="majorHAnsi"/>
          <w:lang w:val="es-MX"/>
        </w:rPr>
        <w:t>, R., Mercer, N. &amp; Rojas-Drummond, S.</w:t>
      </w:r>
      <w:r w:rsidR="00E14E2B">
        <w:rPr>
          <w:rFonts w:asciiTheme="majorHAnsi" w:hAnsiTheme="majorHAnsi" w:cstheme="majorHAnsi"/>
          <w:lang w:val="es-MX"/>
        </w:rPr>
        <w:t xml:space="preserve">, </w:t>
      </w:r>
      <w:r w:rsidRPr="00BE5F36">
        <w:rPr>
          <w:rFonts w:asciiTheme="majorHAnsi" w:hAnsiTheme="majorHAnsi" w:cstheme="majorHAnsi"/>
          <w:lang w:val="es-MX"/>
        </w:rPr>
        <w:t xml:space="preserve">2002. </w:t>
      </w:r>
      <w:r w:rsidR="00E14E2B" w:rsidRPr="00E14E2B">
        <w:rPr>
          <w:rFonts w:asciiTheme="majorHAnsi" w:hAnsiTheme="majorHAnsi" w:cstheme="majorHAnsi"/>
          <w:lang w:val="en-GB"/>
        </w:rPr>
        <w:t>‘</w:t>
      </w:r>
      <w:r w:rsidRPr="00BE5F36">
        <w:rPr>
          <w:rFonts w:asciiTheme="majorHAnsi" w:hAnsiTheme="majorHAnsi" w:cstheme="majorHAnsi"/>
          <w:lang w:val="en-GB"/>
        </w:rPr>
        <w:t>Re-conceptualizing “scaffolding” and the zone of proximal development in the context of symmetrical collaborative learning</w:t>
      </w:r>
      <w:r w:rsidR="00E14E2B">
        <w:rPr>
          <w:rFonts w:asciiTheme="majorHAnsi" w:hAnsiTheme="majorHAnsi" w:cstheme="majorHAnsi"/>
          <w:lang w:val="en-GB"/>
        </w:rPr>
        <w:t>’</w:t>
      </w:r>
      <w:r w:rsidRPr="00BE5F36">
        <w:rPr>
          <w:rFonts w:asciiTheme="majorHAnsi" w:hAnsiTheme="majorHAnsi" w:cstheme="majorHAnsi"/>
          <w:lang w:val="en-GB"/>
        </w:rPr>
        <w:t xml:space="preserve">. </w:t>
      </w:r>
      <w:r w:rsidRPr="00E14E2B">
        <w:rPr>
          <w:rFonts w:asciiTheme="majorHAnsi" w:hAnsiTheme="majorHAnsi" w:cstheme="majorHAnsi"/>
          <w:i/>
          <w:lang w:val="en-GB"/>
        </w:rPr>
        <w:t>Journal of Classroom Interaction</w:t>
      </w:r>
      <w:r w:rsidRPr="00BE5F36">
        <w:rPr>
          <w:rFonts w:asciiTheme="majorHAnsi" w:hAnsiTheme="majorHAnsi" w:cstheme="majorHAnsi"/>
          <w:lang w:val="en-GB"/>
        </w:rPr>
        <w:t>, 36(2/1), 40-54</w:t>
      </w:r>
    </w:p>
    <w:p w14:paraId="6F28B01C" w14:textId="149A95CC" w:rsidR="00BE5F36" w:rsidRPr="00BE5F36" w:rsidRDefault="001D26CD" w:rsidP="00BE5F36">
      <w:pPr>
        <w:spacing w:line="480" w:lineRule="auto"/>
        <w:rPr>
          <w:rFonts w:asciiTheme="majorHAnsi" w:hAnsiTheme="majorHAnsi" w:cstheme="majorHAnsi"/>
          <w:lang w:val="en-GB"/>
        </w:rPr>
      </w:pPr>
      <w:r w:rsidRPr="001D26CD">
        <w:rPr>
          <w:rFonts w:asciiTheme="majorHAnsi" w:hAnsiTheme="majorHAnsi" w:cstheme="majorHAnsi"/>
          <w:lang w:val="en-GB"/>
        </w:rPr>
        <w:t>Heikonen, L</w:t>
      </w:r>
      <w:r>
        <w:rPr>
          <w:rFonts w:asciiTheme="majorHAnsi" w:hAnsiTheme="majorHAnsi" w:cstheme="majorHAnsi"/>
          <w:lang w:val="en-GB"/>
        </w:rPr>
        <w:t>.,</w:t>
      </w:r>
      <w:r w:rsidRPr="001D26CD">
        <w:rPr>
          <w:rFonts w:asciiTheme="majorHAnsi" w:hAnsiTheme="majorHAnsi" w:cstheme="majorHAnsi"/>
          <w:lang w:val="en-GB"/>
        </w:rPr>
        <w:t xml:space="preserve"> Toom, </w:t>
      </w:r>
      <w:r>
        <w:rPr>
          <w:rFonts w:asciiTheme="majorHAnsi" w:hAnsiTheme="majorHAnsi" w:cstheme="majorHAnsi"/>
          <w:lang w:val="en-GB"/>
        </w:rPr>
        <w:t>A.</w:t>
      </w:r>
      <w:r w:rsidR="008C5EBE">
        <w:rPr>
          <w:rFonts w:asciiTheme="majorHAnsi" w:hAnsiTheme="majorHAnsi" w:cstheme="majorHAnsi"/>
          <w:lang w:val="en-GB"/>
        </w:rPr>
        <w:t>,</w:t>
      </w:r>
      <w:r w:rsidRPr="001D26CD">
        <w:rPr>
          <w:rFonts w:asciiTheme="majorHAnsi" w:hAnsiTheme="majorHAnsi" w:cstheme="majorHAnsi"/>
          <w:lang w:val="en-GB"/>
        </w:rPr>
        <w:t xml:space="preserve"> Pyhältö, K</w:t>
      </w:r>
      <w:r w:rsidR="008C5EBE">
        <w:rPr>
          <w:rFonts w:asciiTheme="majorHAnsi" w:hAnsiTheme="majorHAnsi" w:cstheme="majorHAnsi"/>
          <w:lang w:val="en-GB"/>
        </w:rPr>
        <w:t>.,</w:t>
      </w:r>
      <w:r w:rsidRPr="001D26CD">
        <w:rPr>
          <w:rFonts w:asciiTheme="majorHAnsi" w:hAnsiTheme="majorHAnsi" w:cstheme="majorHAnsi"/>
          <w:lang w:val="en-GB"/>
        </w:rPr>
        <w:t xml:space="preserve"> Pietarinen, J</w:t>
      </w:r>
      <w:r w:rsidR="008C5EBE">
        <w:rPr>
          <w:rFonts w:asciiTheme="majorHAnsi" w:hAnsiTheme="majorHAnsi" w:cstheme="majorHAnsi"/>
          <w:lang w:val="en-GB"/>
        </w:rPr>
        <w:t xml:space="preserve">., </w:t>
      </w:r>
      <w:r w:rsidRPr="001D26CD">
        <w:rPr>
          <w:rFonts w:asciiTheme="majorHAnsi" w:hAnsiTheme="majorHAnsi" w:cstheme="majorHAnsi"/>
          <w:lang w:val="en-GB"/>
        </w:rPr>
        <w:t>Soini, T</w:t>
      </w:r>
      <w:r w:rsidR="00BE5F36" w:rsidRPr="00BE5F36">
        <w:rPr>
          <w:rFonts w:asciiTheme="majorHAnsi" w:hAnsiTheme="majorHAnsi" w:cstheme="majorHAnsi"/>
          <w:lang w:val="en-GB"/>
        </w:rPr>
        <w:t xml:space="preserve">., 2017. </w:t>
      </w:r>
      <w:r w:rsidR="008C5EBE">
        <w:rPr>
          <w:rFonts w:asciiTheme="majorHAnsi" w:hAnsiTheme="majorHAnsi" w:cstheme="majorHAnsi"/>
          <w:lang w:val="en-GB"/>
        </w:rPr>
        <w:t>‘</w:t>
      </w:r>
      <w:r w:rsidR="00BE5F36" w:rsidRPr="00BE5F36">
        <w:rPr>
          <w:rFonts w:asciiTheme="majorHAnsi" w:hAnsiTheme="majorHAnsi" w:cstheme="majorHAnsi"/>
          <w:lang w:val="en-GB"/>
        </w:rPr>
        <w:t>Student-Teachers' Strategies in Classroom Interaction in the Context of the Teaching Practicum</w:t>
      </w:r>
      <w:r w:rsidR="008C5EBE">
        <w:rPr>
          <w:rFonts w:asciiTheme="majorHAnsi" w:hAnsiTheme="majorHAnsi" w:cstheme="majorHAnsi"/>
          <w:lang w:val="en-GB"/>
        </w:rPr>
        <w:t>’</w:t>
      </w:r>
      <w:r w:rsidR="00BE5F36" w:rsidRPr="00BE5F36">
        <w:rPr>
          <w:rFonts w:asciiTheme="majorHAnsi" w:hAnsiTheme="majorHAnsi" w:cstheme="majorHAnsi"/>
          <w:lang w:val="en-GB"/>
        </w:rPr>
        <w:t>. </w:t>
      </w:r>
      <w:r w:rsidR="00BE5F36" w:rsidRPr="008C5EBE">
        <w:rPr>
          <w:rFonts w:asciiTheme="majorHAnsi" w:hAnsiTheme="majorHAnsi" w:cstheme="majorHAnsi"/>
          <w:i/>
          <w:lang w:val="en-GB"/>
        </w:rPr>
        <w:t>Journal of Education for Teaching: International Research and Pedagogy</w:t>
      </w:r>
      <w:r w:rsidR="00BE5F36" w:rsidRPr="00BE5F36">
        <w:rPr>
          <w:rFonts w:asciiTheme="majorHAnsi" w:hAnsiTheme="majorHAnsi" w:cstheme="majorHAnsi"/>
          <w:lang w:val="en-GB"/>
        </w:rPr>
        <w:t>, 43(5), pp.534–549.</w:t>
      </w:r>
    </w:p>
    <w:p w14:paraId="06F91830" w14:textId="59010DBB"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Hetherington</w:t>
      </w:r>
      <w:r w:rsidR="008C5EBE">
        <w:rPr>
          <w:rFonts w:asciiTheme="majorHAnsi" w:hAnsiTheme="majorHAnsi" w:cstheme="majorHAnsi"/>
          <w:lang w:val="en-GB"/>
        </w:rPr>
        <w:t xml:space="preserve"> L.</w:t>
      </w:r>
      <w:r w:rsidRPr="00BE5F36">
        <w:rPr>
          <w:rFonts w:asciiTheme="majorHAnsi" w:hAnsiTheme="majorHAnsi" w:cstheme="majorHAnsi"/>
          <w:lang w:val="en-GB"/>
        </w:rPr>
        <w:t xml:space="preserve"> &amp; Wegerif</w:t>
      </w:r>
      <w:r w:rsidR="008C5EBE">
        <w:rPr>
          <w:rFonts w:asciiTheme="majorHAnsi" w:hAnsiTheme="majorHAnsi" w:cstheme="majorHAnsi"/>
          <w:lang w:val="en-GB"/>
        </w:rPr>
        <w:t xml:space="preserve"> R., </w:t>
      </w:r>
      <w:r w:rsidRPr="00BE5F36">
        <w:rPr>
          <w:rFonts w:asciiTheme="majorHAnsi" w:hAnsiTheme="majorHAnsi" w:cstheme="majorHAnsi"/>
          <w:lang w:val="en-GB"/>
        </w:rPr>
        <w:t>2018</w:t>
      </w:r>
      <w:r w:rsidR="008C5EBE">
        <w:rPr>
          <w:rFonts w:asciiTheme="majorHAnsi" w:hAnsiTheme="majorHAnsi" w:cstheme="majorHAnsi"/>
          <w:lang w:val="en-GB"/>
        </w:rPr>
        <w:t>.</w:t>
      </w:r>
      <w:r w:rsidRPr="00BE5F36">
        <w:rPr>
          <w:rFonts w:asciiTheme="majorHAnsi" w:hAnsiTheme="majorHAnsi" w:cstheme="majorHAnsi"/>
          <w:lang w:val="en-GB"/>
        </w:rPr>
        <w:t xml:space="preserve"> </w:t>
      </w:r>
      <w:r w:rsidR="008C5EBE">
        <w:rPr>
          <w:rFonts w:asciiTheme="majorHAnsi" w:hAnsiTheme="majorHAnsi" w:cstheme="majorHAnsi"/>
          <w:lang w:val="en-GB"/>
        </w:rPr>
        <w:t>‘</w:t>
      </w:r>
      <w:r w:rsidRPr="00BE5F36">
        <w:rPr>
          <w:rFonts w:asciiTheme="majorHAnsi" w:hAnsiTheme="majorHAnsi" w:cstheme="majorHAnsi"/>
          <w:lang w:val="en-GB"/>
        </w:rPr>
        <w:t>Developing a material-dialogic approach to pedagogy to guide science teacher education</w:t>
      </w:r>
      <w:r w:rsidR="008C5EBE">
        <w:rPr>
          <w:rFonts w:asciiTheme="majorHAnsi" w:hAnsiTheme="majorHAnsi" w:cstheme="majorHAnsi"/>
          <w:lang w:val="en-GB"/>
        </w:rPr>
        <w:t>’</w:t>
      </w:r>
      <w:r w:rsidRPr="00BE5F36">
        <w:rPr>
          <w:rFonts w:asciiTheme="majorHAnsi" w:hAnsiTheme="majorHAnsi" w:cstheme="majorHAnsi"/>
          <w:lang w:val="en-GB"/>
        </w:rPr>
        <w:t xml:space="preserve">, </w:t>
      </w:r>
      <w:r w:rsidRPr="008C5EBE">
        <w:rPr>
          <w:rFonts w:asciiTheme="majorHAnsi" w:hAnsiTheme="majorHAnsi" w:cstheme="majorHAnsi"/>
          <w:i/>
          <w:lang w:val="en-GB"/>
        </w:rPr>
        <w:t>Journal of Education for Teaching</w:t>
      </w:r>
      <w:r w:rsidRPr="00BE5F36">
        <w:rPr>
          <w:rFonts w:asciiTheme="majorHAnsi" w:hAnsiTheme="majorHAnsi" w:cstheme="majorHAnsi"/>
          <w:lang w:val="en-GB"/>
        </w:rPr>
        <w:t>, 44:1, 27-43, DOI: 10.1080/02607476.2018.1422611</w:t>
      </w:r>
    </w:p>
    <w:p w14:paraId="1D21A036" w14:textId="1A9BB400"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Kirschner</w:t>
      </w:r>
      <w:r w:rsidR="008C5EBE">
        <w:rPr>
          <w:rFonts w:asciiTheme="majorHAnsi" w:hAnsiTheme="majorHAnsi" w:cstheme="majorHAnsi"/>
          <w:lang w:val="en-GB"/>
        </w:rPr>
        <w:t xml:space="preserve"> P.A.</w:t>
      </w:r>
      <w:r w:rsidRPr="00BE5F36">
        <w:rPr>
          <w:rFonts w:asciiTheme="majorHAnsi" w:hAnsiTheme="majorHAnsi" w:cstheme="majorHAnsi"/>
          <w:lang w:val="en-GB"/>
        </w:rPr>
        <w:t xml:space="preserve">, Sweller </w:t>
      </w:r>
      <w:r w:rsidR="008C5EBE">
        <w:rPr>
          <w:rFonts w:asciiTheme="majorHAnsi" w:hAnsiTheme="majorHAnsi" w:cstheme="majorHAnsi"/>
          <w:lang w:val="en-GB"/>
        </w:rPr>
        <w:t xml:space="preserve">J. </w:t>
      </w:r>
      <w:r w:rsidRPr="00BE5F36">
        <w:rPr>
          <w:rFonts w:asciiTheme="majorHAnsi" w:hAnsiTheme="majorHAnsi" w:cstheme="majorHAnsi"/>
          <w:lang w:val="en-GB"/>
        </w:rPr>
        <w:t>&amp; Clark</w:t>
      </w:r>
      <w:r w:rsidR="008C5EBE">
        <w:rPr>
          <w:rFonts w:asciiTheme="majorHAnsi" w:hAnsiTheme="majorHAnsi" w:cstheme="majorHAnsi"/>
          <w:lang w:val="en-GB"/>
        </w:rPr>
        <w:t xml:space="preserve"> R.E., </w:t>
      </w:r>
      <w:r w:rsidRPr="00BE5F36">
        <w:rPr>
          <w:rFonts w:asciiTheme="majorHAnsi" w:hAnsiTheme="majorHAnsi" w:cstheme="majorHAnsi"/>
          <w:lang w:val="en-GB"/>
        </w:rPr>
        <w:t>2006</w:t>
      </w:r>
      <w:r w:rsidR="008C5EBE">
        <w:rPr>
          <w:rFonts w:asciiTheme="majorHAnsi" w:hAnsiTheme="majorHAnsi" w:cstheme="majorHAnsi"/>
          <w:lang w:val="en-GB"/>
        </w:rPr>
        <w:t>.</w:t>
      </w:r>
      <w:r w:rsidRPr="00BE5F36">
        <w:rPr>
          <w:rFonts w:asciiTheme="majorHAnsi" w:hAnsiTheme="majorHAnsi" w:cstheme="majorHAnsi"/>
          <w:lang w:val="en-GB"/>
        </w:rPr>
        <w:t xml:space="preserve"> </w:t>
      </w:r>
      <w:r w:rsidR="008C5EBE">
        <w:rPr>
          <w:rFonts w:asciiTheme="majorHAnsi" w:hAnsiTheme="majorHAnsi" w:cstheme="majorHAnsi"/>
          <w:lang w:val="en-GB"/>
        </w:rPr>
        <w:t>‘</w:t>
      </w:r>
      <w:r w:rsidRPr="00BE5F36">
        <w:rPr>
          <w:rFonts w:asciiTheme="majorHAnsi" w:hAnsiTheme="majorHAnsi" w:cstheme="majorHAnsi"/>
          <w:lang w:val="en-GB"/>
        </w:rPr>
        <w:t>Why Minimal Guidance During Instruction Does Not Work: An Analysis of the Failure of Constructivist, Discovery, Problem-Based, Experiential, and Inquiry-Based Teaching</w:t>
      </w:r>
      <w:r w:rsidR="008C5EBE">
        <w:rPr>
          <w:rFonts w:asciiTheme="majorHAnsi" w:hAnsiTheme="majorHAnsi" w:cstheme="majorHAnsi"/>
          <w:lang w:val="en-GB"/>
        </w:rPr>
        <w:t>’</w:t>
      </w:r>
      <w:r w:rsidRPr="00BE5F36">
        <w:rPr>
          <w:rFonts w:asciiTheme="majorHAnsi" w:hAnsiTheme="majorHAnsi" w:cstheme="majorHAnsi"/>
          <w:lang w:val="en-GB"/>
        </w:rPr>
        <w:t xml:space="preserve">, </w:t>
      </w:r>
      <w:r w:rsidRPr="008C5EBE">
        <w:rPr>
          <w:rFonts w:asciiTheme="majorHAnsi" w:hAnsiTheme="majorHAnsi" w:cstheme="majorHAnsi"/>
          <w:i/>
          <w:lang w:val="en-GB"/>
        </w:rPr>
        <w:t>Educational Psychologist</w:t>
      </w:r>
      <w:r w:rsidRPr="00BE5F36">
        <w:rPr>
          <w:rFonts w:asciiTheme="majorHAnsi" w:hAnsiTheme="majorHAnsi" w:cstheme="majorHAnsi"/>
          <w:lang w:val="en-GB"/>
        </w:rPr>
        <w:t>, 41:2, 75-86, DOI: 10.1207/s15326985ep4102_1</w:t>
      </w:r>
    </w:p>
    <w:p w14:paraId="2E0C08FE" w14:textId="5180F474"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Mintz </w:t>
      </w:r>
      <w:r w:rsidR="008C5EBE">
        <w:rPr>
          <w:rFonts w:asciiTheme="majorHAnsi" w:hAnsiTheme="majorHAnsi" w:cstheme="majorHAnsi"/>
          <w:lang w:val="en-GB"/>
        </w:rPr>
        <w:t xml:space="preserve">A.I., </w:t>
      </w:r>
      <w:r w:rsidRPr="00BE5F36">
        <w:rPr>
          <w:rFonts w:asciiTheme="majorHAnsi" w:hAnsiTheme="majorHAnsi" w:cstheme="majorHAnsi"/>
          <w:lang w:val="en-GB"/>
        </w:rPr>
        <w:t>2018</w:t>
      </w:r>
      <w:r w:rsidR="004F6F63">
        <w:rPr>
          <w:rFonts w:asciiTheme="majorHAnsi" w:hAnsiTheme="majorHAnsi" w:cstheme="majorHAnsi"/>
          <w:lang w:val="en-GB"/>
        </w:rPr>
        <w:t>.</w:t>
      </w:r>
      <w:r w:rsidRPr="00BE5F36">
        <w:rPr>
          <w:rFonts w:asciiTheme="majorHAnsi" w:hAnsiTheme="majorHAnsi" w:cstheme="majorHAnsi"/>
          <w:lang w:val="en-GB"/>
        </w:rPr>
        <w:t xml:space="preserve"> </w:t>
      </w:r>
      <w:r w:rsidR="004F6F63">
        <w:rPr>
          <w:rFonts w:asciiTheme="majorHAnsi" w:hAnsiTheme="majorHAnsi" w:cstheme="majorHAnsi"/>
          <w:lang w:val="en-GB"/>
        </w:rPr>
        <w:t>‘</w:t>
      </w:r>
      <w:r w:rsidRPr="00BE5F36">
        <w:rPr>
          <w:rFonts w:asciiTheme="majorHAnsi" w:hAnsiTheme="majorHAnsi" w:cstheme="majorHAnsi"/>
          <w:lang w:val="en-GB"/>
        </w:rPr>
        <w:t>The present, past, and future of the gardening metaphor in education</w:t>
      </w:r>
      <w:r w:rsidR="004F6F63">
        <w:rPr>
          <w:rFonts w:asciiTheme="majorHAnsi" w:hAnsiTheme="majorHAnsi" w:cstheme="majorHAnsi"/>
          <w:lang w:val="en-GB"/>
        </w:rPr>
        <w:t>’</w:t>
      </w:r>
      <w:r w:rsidRPr="00BE5F36">
        <w:rPr>
          <w:rFonts w:asciiTheme="majorHAnsi" w:hAnsiTheme="majorHAnsi" w:cstheme="majorHAnsi"/>
          <w:lang w:val="en-GB"/>
        </w:rPr>
        <w:t xml:space="preserve">, </w:t>
      </w:r>
      <w:r w:rsidRPr="004F6F63">
        <w:rPr>
          <w:rFonts w:asciiTheme="majorHAnsi" w:hAnsiTheme="majorHAnsi" w:cstheme="majorHAnsi"/>
          <w:i/>
          <w:lang w:val="en-GB"/>
        </w:rPr>
        <w:t>Oxford Review of Education</w:t>
      </w:r>
      <w:r w:rsidRPr="00BE5F36">
        <w:rPr>
          <w:rFonts w:asciiTheme="majorHAnsi" w:hAnsiTheme="majorHAnsi" w:cstheme="majorHAnsi"/>
          <w:lang w:val="en-GB"/>
        </w:rPr>
        <w:t>, 44:4, 414-424, DOI: 10.1080/03054985.2017.1419948</w:t>
      </w:r>
    </w:p>
    <w:p w14:paraId="1EC1B5CB" w14:textId="1836F89B"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Piaget, J., 2000. </w:t>
      </w:r>
      <w:r w:rsidR="004F6F63">
        <w:rPr>
          <w:rFonts w:asciiTheme="majorHAnsi" w:hAnsiTheme="majorHAnsi" w:cstheme="majorHAnsi"/>
          <w:lang w:val="en-GB"/>
        </w:rPr>
        <w:t>‘</w:t>
      </w:r>
      <w:r w:rsidRPr="00BE5F36">
        <w:rPr>
          <w:rFonts w:asciiTheme="majorHAnsi" w:hAnsiTheme="majorHAnsi" w:cstheme="majorHAnsi"/>
          <w:lang w:val="en-GB"/>
        </w:rPr>
        <w:t>Commentary on Vygotsky's criticisms of Language and thought of the child and Judgement and reasoning in the child</w:t>
      </w:r>
      <w:r w:rsidR="004F6F63">
        <w:rPr>
          <w:rFonts w:asciiTheme="majorHAnsi" w:hAnsiTheme="majorHAnsi" w:cstheme="majorHAnsi"/>
          <w:lang w:val="en-GB"/>
        </w:rPr>
        <w:t>’</w:t>
      </w:r>
      <w:r w:rsidRPr="00BE5F36">
        <w:rPr>
          <w:rFonts w:asciiTheme="majorHAnsi" w:hAnsiTheme="majorHAnsi" w:cstheme="majorHAnsi"/>
          <w:lang w:val="en-GB"/>
        </w:rPr>
        <w:t>. </w:t>
      </w:r>
      <w:r w:rsidRPr="004F6F63">
        <w:rPr>
          <w:rFonts w:asciiTheme="majorHAnsi" w:hAnsiTheme="majorHAnsi" w:cstheme="majorHAnsi"/>
          <w:i/>
          <w:lang w:val="en-GB"/>
        </w:rPr>
        <w:t>New Ideas in Psychology</w:t>
      </w:r>
      <w:r w:rsidRPr="00BE5F36">
        <w:rPr>
          <w:rFonts w:asciiTheme="majorHAnsi" w:hAnsiTheme="majorHAnsi" w:cstheme="majorHAnsi"/>
          <w:lang w:val="en-GB"/>
        </w:rPr>
        <w:t>, 18(2), pp.241–259.</w:t>
      </w:r>
    </w:p>
    <w:p w14:paraId="0867E519" w14:textId="551ACA76"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Piaget, J., 2008. </w:t>
      </w:r>
      <w:r w:rsidR="004F6F63">
        <w:rPr>
          <w:rFonts w:asciiTheme="majorHAnsi" w:hAnsiTheme="majorHAnsi" w:cstheme="majorHAnsi"/>
          <w:lang w:val="en-GB"/>
        </w:rPr>
        <w:t>‘</w:t>
      </w:r>
      <w:r w:rsidRPr="00BE5F36">
        <w:rPr>
          <w:rFonts w:asciiTheme="majorHAnsi" w:hAnsiTheme="majorHAnsi" w:cstheme="majorHAnsi"/>
          <w:lang w:val="en-GB"/>
        </w:rPr>
        <w:t>Intellectual Evolution from Adolescence to Adulthood</w:t>
      </w:r>
      <w:r w:rsidR="004F6F63">
        <w:rPr>
          <w:rFonts w:asciiTheme="majorHAnsi" w:hAnsiTheme="majorHAnsi" w:cstheme="majorHAnsi"/>
          <w:lang w:val="en-GB"/>
        </w:rPr>
        <w:t>’</w:t>
      </w:r>
      <w:r w:rsidRPr="00BE5F36">
        <w:rPr>
          <w:rFonts w:asciiTheme="majorHAnsi" w:hAnsiTheme="majorHAnsi" w:cstheme="majorHAnsi"/>
          <w:lang w:val="en-GB"/>
        </w:rPr>
        <w:t>. </w:t>
      </w:r>
      <w:r w:rsidRPr="004F6F63">
        <w:rPr>
          <w:rFonts w:asciiTheme="majorHAnsi" w:hAnsiTheme="majorHAnsi" w:cstheme="majorHAnsi"/>
          <w:i/>
          <w:lang w:val="en-GB"/>
        </w:rPr>
        <w:t>Human Development</w:t>
      </w:r>
      <w:r w:rsidRPr="00BE5F36">
        <w:rPr>
          <w:rFonts w:asciiTheme="majorHAnsi" w:hAnsiTheme="majorHAnsi" w:cstheme="majorHAnsi"/>
          <w:lang w:val="en-GB"/>
        </w:rPr>
        <w:t>, 51(1), pp.40–47.</w:t>
      </w:r>
    </w:p>
    <w:p w14:paraId="14CC93FA" w14:textId="6DC2B876" w:rsidR="00BE5F36" w:rsidRPr="00BE5F36" w:rsidRDefault="004F6F63" w:rsidP="00BE5F36">
      <w:pPr>
        <w:spacing w:line="480" w:lineRule="auto"/>
        <w:rPr>
          <w:rFonts w:asciiTheme="majorHAnsi" w:hAnsiTheme="majorHAnsi" w:cstheme="majorHAnsi"/>
          <w:lang w:val="en-GB"/>
        </w:rPr>
      </w:pPr>
      <w:r>
        <w:rPr>
          <w:rFonts w:asciiTheme="majorHAnsi" w:hAnsiTheme="majorHAnsi" w:cstheme="majorHAnsi"/>
          <w:lang w:val="en-GB"/>
        </w:rPr>
        <w:t>Skinner</w:t>
      </w:r>
      <w:r w:rsidR="00BE5F36" w:rsidRPr="00BE5F36">
        <w:rPr>
          <w:rFonts w:asciiTheme="majorHAnsi" w:hAnsiTheme="majorHAnsi" w:cstheme="majorHAnsi"/>
          <w:lang w:val="en-GB"/>
        </w:rPr>
        <w:t xml:space="preserve"> B.F., 1957. </w:t>
      </w:r>
      <w:r>
        <w:rPr>
          <w:rFonts w:asciiTheme="majorHAnsi" w:hAnsiTheme="majorHAnsi" w:cstheme="majorHAnsi"/>
          <w:lang w:val="en-GB"/>
        </w:rPr>
        <w:t>‘</w:t>
      </w:r>
      <w:r w:rsidR="00BE5F36" w:rsidRPr="00BE5F36">
        <w:rPr>
          <w:rFonts w:asciiTheme="majorHAnsi" w:hAnsiTheme="majorHAnsi" w:cstheme="majorHAnsi"/>
          <w:lang w:val="en-GB"/>
        </w:rPr>
        <w:t>The Experimental Analysis of Behavior</w:t>
      </w:r>
      <w:r>
        <w:rPr>
          <w:rFonts w:asciiTheme="majorHAnsi" w:hAnsiTheme="majorHAnsi" w:cstheme="majorHAnsi"/>
          <w:lang w:val="en-GB"/>
        </w:rPr>
        <w:t>’</w:t>
      </w:r>
      <w:r w:rsidR="00BE5F36" w:rsidRPr="00BE5F36">
        <w:rPr>
          <w:rFonts w:asciiTheme="majorHAnsi" w:hAnsiTheme="majorHAnsi" w:cstheme="majorHAnsi"/>
          <w:lang w:val="en-GB"/>
        </w:rPr>
        <w:t xml:space="preserve">. </w:t>
      </w:r>
      <w:r w:rsidR="00BE5F36" w:rsidRPr="004F6F63">
        <w:rPr>
          <w:rFonts w:asciiTheme="majorHAnsi" w:hAnsiTheme="majorHAnsi" w:cstheme="majorHAnsi"/>
          <w:i/>
          <w:lang w:val="en-GB"/>
        </w:rPr>
        <w:t>American Scientist</w:t>
      </w:r>
      <w:r w:rsidR="00BE5F36" w:rsidRPr="00BE5F36">
        <w:rPr>
          <w:rFonts w:asciiTheme="majorHAnsi" w:hAnsiTheme="majorHAnsi" w:cstheme="majorHAnsi"/>
          <w:lang w:val="en-GB"/>
        </w:rPr>
        <w:t>, 100(1), pp. 54-59.</w:t>
      </w:r>
    </w:p>
    <w:p w14:paraId="07559186" w14:textId="5BDD3B8B"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Tomlinson C.A. 2014. </w:t>
      </w:r>
      <w:r w:rsidRPr="004F6F63">
        <w:rPr>
          <w:rFonts w:asciiTheme="majorHAnsi" w:hAnsiTheme="majorHAnsi" w:cstheme="majorHAnsi"/>
          <w:i/>
          <w:lang w:val="en-GB"/>
        </w:rPr>
        <w:t>The differentiated classroom: responding to the needs of all learners</w:t>
      </w:r>
      <w:r w:rsidRPr="00BE5F36">
        <w:rPr>
          <w:rFonts w:asciiTheme="majorHAnsi" w:hAnsiTheme="majorHAnsi" w:cstheme="majorHAnsi"/>
          <w:lang w:val="en-GB"/>
        </w:rPr>
        <w:t>, 2nd Edition.</w:t>
      </w:r>
      <w:r w:rsidR="00DE6AFD">
        <w:rPr>
          <w:rFonts w:asciiTheme="majorHAnsi" w:hAnsiTheme="majorHAnsi" w:cstheme="majorHAnsi"/>
          <w:lang w:val="en-GB"/>
        </w:rPr>
        <w:t xml:space="preserve"> ASCD, VA.</w:t>
      </w:r>
    </w:p>
    <w:p w14:paraId="78BC81E4" w14:textId="77777777"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Vygotsky, L.S. (1978). </w:t>
      </w:r>
      <w:r w:rsidRPr="00DE6AFD">
        <w:rPr>
          <w:rFonts w:asciiTheme="majorHAnsi" w:hAnsiTheme="majorHAnsi" w:cstheme="majorHAnsi"/>
          <w:i/>
          <w:lang w:val="en-GB"/>
        </w:rPr>
        <w:t>Mind in Society: The development of higher psychological processes.</w:t>
      </w:r>
      <w:r w:rsidRPr="00BE5F36">
        <w:rPr>
          <w:rFonts w:asciiTheme="majorHAnsi" w:hAnsiTheme="majorHAnsi" w:cstheme="majorHAnsi"/>
          <w:lang w:val="en-GB"/>
        </w:rPr>
        <w:t> Cambridge, MA: Harvard University Press.</w:t>
      </w:r>
    </w:p>
    <w:p w14:paraId="72CFFB37" w14:textId="26FA97AE"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Wannarka, R. &amp; Ruhl, K., 2008. </w:t>
      </w:r>
      <w:r w:rsidR="00B50593">
        <w:rPr>
          <w:rFonts w:asciiTheme="majorHAnsi" w:hAnsiTheme="majorHAnsi" w:cstheme="majorHAnsi"/>
          <w:lang w:val="en-GB"/>
        </w:rPr>
        <w:t>‘</w:t>
      </w:r>
      <w:r w:rsidRPr="00BE5F36">
        <w:rPr>
          <w:rFonts w:asciiTheme="majorHAnsi" w:hAnsiTheme="majorHAnsi" w:cstheme="majorHAnsi"/>
          <w:lang w:val="en-GB"/>
        </w:rPr>
        <w:t>Seating arrangements that promote positive academic and behavioral outcomes: a review of empirical research</w:t>
      </w:r>
      <w:r w:rsidR="00B50593">
        <w:rPr>
          <w:rFonts w:asciiTheme="majorHAnsi" w:hAnsiTheme="majorHAnsi" w:cstheme="majorHAnsi"/>
          <w:lang w:val="en-GB"/>
        </w:rPr>
        <w:t>’</w:t>
      </w:r>
      <w:r w:rsidRPr="00BE5F36">
        <w:rPr>
          <w:rFonts w:asciiTheme="majorHAnsi" w:hAnsiTheme="majorHAnsi" w:cstheme="majorHAnsi"/>
          <w:lang w:val="en-GB"/>
        </w:rPr>
        <w:t>.</w:t>
      </w:r>
      <w:r w:rsidR="00514B78">
        <w:rPr>
          <w:rFonts w:asciiTheme="majorHAnsi" w:hAnsiTheme="majorHAnsi" w:cstheme="majorHAnsi"/>
          <w:lang w:val="en-GB"/>
        </w:rPr>
        <w:t xml:space="preserve"> </w:t>
      </w:r>
      <w:r w:rsidR="00514B78" w:rsidRPr="00B50593">
        <w:rPr>
          <w:rFonts w:asciiTheme="majorHAnsi" w:hAnsiTheme="majorHAnsi" w:cstheme="majorHAnsi"/>
          <w:i/>
          <w:lang w:val="en-GB"/>
        </w:rPr>
        <w:t>Support for learning</w:t>
      </w:r>
      <w:r w:rsidR="00B50593">
        <w:rPr>
          <w:rFonts w:asciiTheme="majorHAnsi" w:hAnsiTheme="majorHAnsi" w:cstheme="majorHAnsi"/>
          <w:lang w:val="en-GB"/>
        </w:rPr>
        <w:t>, 23(2)</w:t>
      </w:r>
      <w:r w:rsidR="00273825">
        <w:rPr>
          <w:rFonts w:asciiTheme="majorHAnsi" w:hAnsiTheme="majorHAnsi" w:cstheme="majorHAnsi"/>
          <w:lang w:val="en-GB"/>
        </w:rPr>
        <w:t>, pp. 89-93.</w:t>
      </w:r>
    </w:p>
    <w:p w14:paraId="2FE562B2" w14:textId="7699BE02"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Wass,</w:t>
      </w:r>
      <w:r w:rsidR="00273825">
        <w:rPr>
          <w:rFonts w:asciiTheme="majorHAnsi" w:hAnsiTheme="majorHAnsi" w:cstheme="majorHAnsi"/>
          <w:lang w:val="en-GB"/>
        </w:rPr>
        <w:t xml:space="preserve"> </w:t>
      </w:r>
      <w:r w:rsidRPr="00BE5F36">
        <w:rPr>
          <w:rFonts w:asciiTheme="majorHAnsi" w:hAnsiTheme="majorHAnsi" w:cstheme="majorHAnsi"/>
          <w:lang w:val="en-GB"/>
        </w:rPr>
        <w:t>R. &amp; Golding, C., 2014. Sharpening a tool for teaching: the zone of proximal development. Teaching in Higher Education, 19(6), pp.671–685.</w:t>
      </w:r>
    </w:p>
    <w:p w14:paraId="0E0807EE" w14:textId="233FBC4B" w:rsidR="00BE5F36" w:rsidRPr="00BE5F36" w:rsidRDefault="00B220BF" w:rsidP="00BE5F36">
      <w:pPr>
        <w:spacing w:line="480" w:lineRule="auto"/>
        <w:rPr>
          <w:rFonts w:asciiTheme="majorHAnsi" w:hAnsiTheme="majorHAnsi" w:cstheme="majorHAnsi"/>
          <w:lang w:val="en-GB"/>
        </w:rPr>
      </w:pPr>
      <w:r>
        <w:rPr>
          <w:rFonts w:asciiTheme="majorHAnsi" w:hAnsiTheme="majorHAnsi" w:cstheme="majorHAnsi"/>
          <w:lang w:val="en-GB"/>
        </w:rPr>
        <w:t xml:space="preserve">Welsh Assembly Government, 2008. </w:t>
      </w:r>
      <w:r w:rsidR="00BE5F36" w:rsidRPr="00BE5F36">
        <w:rPr>
          <w:rFonts w:asciiTheme="majorHAnsi" w:hAnsiTheme="majorHAnsi" w:cstheme="majorHAnsi"/>
          <w:lang w:val="en-GB"/>
        </w:rPr>
        <w:t>Science in the National Curriculum for Wales</w:t>
      </w:r>
      <w:r>
        <w:rPr>
          <w:rFonts w:asciiTheme="majorHAnsi" w:hAnsiTheme="majorHAnsi" w:cstheme="majorHAnsi"/>
          <w:lang w:val="en-GB"/>
        </w:rPr>
        <w:t>. Available at:</w:t>
      </w:r>
      <w:r w:rsidR="005862BD">
        <w:rPr>
          <w:rFonts w:asciiTheme="majorHAnsi" w:hAnsiTheme="majorHAnsi" w:cstheme="majorHAnsi"/>
          <w:lang w:val="en-GB"/>
        </w:rPr>
        <w:t xml:space="preserve"> </w:t>
      </w:r>
      <w:r w:rsidR="005862BD" w:rsidRPr="005862BD">
        <w:rPr>
          <w:rFonts w:asciiTheme="majorHAnsi" w:hAnsiTheme="majorHAnsi" w:cstheme="majorHAnsi"/>
          <w:lang w:val="en-GB"/>
        </w:rPr>
        <w:t>http://learning.gov.wales/docs/learningwales/publications/140624-science-in-the-national-curriculum-en.pdf</w:t>
      </w:r>
      <w:r>
        <w:rPr>
          <w:rFonts w:asciiTheme="majorHAnsi" w:hAnsiTheme="majorHAnsi" w:cstheme="majorHAnsi"/>
          <w:lang w:val="en-GB"/>
        </w:rPr>
        <w:t xml:space="preserve"> Accessed 25/11/2018.</w:t>
      </w:r>
    </w:p>
    <w:p w14:paraId="553CA305" w14:textId="4EB5DD4C"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Welsh Government, 2008a. Education for Sustainable Development and Global Citizenship Information for teacher trainees and new teachers in Wales</w:t>
      </w:r>
      <w:r w:rsidR="005862BD">
        <w:rPr>
          <w:rFonts w:asciiTheme="majorHAnsi" w:hAnsiTheme="majorHAnsi" w:cstheme="majorHAnsi"/>
          <w:lang w:val="en-GB"/>
        </w:rPr>
        <w:t>. Available at: Accessed: 25/11/2018.</w:t>
      </w:r>
    </w:p>
    <w:p w14:paraId="1246E39E" w14:textId="0CBF1A45"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Welsh Government, 2008b. Meeting the Challenge Quality Standards in Education for More Able and Talented Pupils</w:t>
      </w:r>
      <w:r w:rsidR="005862BD">
        <w:rPr>
          <w:rFonts w:asciiTheme="majorHAnsi" w:hAnsiTheme="majorHAnsi" w:cstheme="majorHAnsi"/>
          <w:lang w:val="en-GB"/>
        </w:rPr>
        <w:t xml:space="preserve">. </w:t>
      </w:r>
      <w:r w:rsidR="005862BD">
        <w:rPr>
          <w:rFonts w:asciiTheme="majorHAnsi" w:hAnsiTheme="majorHAnsi" w:cstheme="majorHAnsi"/>
          <w:lang w:val="en-GB"/>
        </w:rPr>
        <w:t>Available at: Accessed: 25/11/2018.</w:t>
      </w:r>
    </w:p>
    <w:p w14:paraId="4496CDFC" w14:textId="63E595BA"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 xml:space="preserve">Welsh Government, My Local School. </w:t>
      </w:r>
      <w:r w:rsidR="005862BD">
        <w:rPr>
          <w:rFonts w:asciiTheme="majorHAnsi" w:hAnsiTheme="majorHAnsi" w:cstheme="majorHAnsi"/>
          <w:lang w:val="en-GB"/>
        </w:rPr>
        <w:t xml:space="preserve">Available at: </w:t>
      </w:r>
      <w:r w:rsidRPr="00BE5F36">
        <w:rPr>
          <w:rFonts w:asciiTheme="majorHAnsi" w:hAnsiTheme="majorHAnsi" w:cstheme="majorHAnsi"/>
          <w:lang w:val="en-GB"/>
        </w:rPr>
        <w:t>http://mylocalschool.wales.gov.uk/?lang=e</w:t>
      </w:r>
      <w:r w:rsidR="005862BD">
        <w:rPr>
          <w:rFonts w:asciiTheme="majorHAnsi" w:hAnsiTheme="majorHAnsi" w:cstheme="majorHAnsi"/>
          <w:lang w:val="en-GB"/>
        </w:rPr>
        <w:t xml:space="preserve">n </w:t>
      </w:r>
      <w:r w:rsidR="005862BD">
        <w:rPr>
          <w:rFonts w:asciiTheme="majorHAnsi" w:hAnsiTheme="majorHAnsi" w:cstheme="majorHAnsi"/>
          <w:lang w:val="en-GB"/>
        </w:rPr>
        <w:t>Accessed:</w:t>
      </w:r>
      <w:r w:rsidR="005862BD">
        <w:rPr>
          <w:rFonts w:asciiTheme="majorHAnsi" w:hAnsiTheme="majorHAnsi" w:cstheme="majorHAnsi"/>
          <w:lang w:val="en-GB"/>
        </w:rPr>
        <w:t xml:space="preserve"> </w:t>
      </w:r>
      <w:r w:rsidR="005862BD">
        <w:rPr>
          <w:rFonts w:asciiTheme="majorHAnsi" w:hAnsiTheme="majorHAnsi" w:cstheme="majorHAnsi"/>
          <w:lang w:val="en-GB"/>
        </w:rPr>
        <w:t>25/11/2018.</w:t>
      </w:r>
    </w:p>
    <w:p w14:paraId="68690F1E" w14:textId="2520BA03" w:rsidR="00BE5F36" w:rsidRPr="00BE5F36"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Welsh Government, 2009. The Qualified Teacher Status Standards Wales, No. 25</w:t>
      </w:r>
      <w:r w:rsidR="005862BD">
        <w:rPr>
          <w:rFonts w:asciiTheme="majorHAnsi" w:hAnsiTheme="majorHAnsi" w:cstheme="majorHAnsi"/>
          <w:lang w:val="en-GB"/>
        </w:rPr>
        <w:t xml:space="preserve">. </w:t>
      </w:r>
      <w:r w:rsidR="005862BD">
        <w:rPr>
          <w:rFonts w:asciiTheme="majorHAnsi" w:hAnsiTheme="majorHAnsi" w:cstheme="majorHAnsi"/>
          <w:lang w:val="en-GB"/>
        </w:rPr>
        <w:t xml:space="preserve">Available at: </w:t>
      </w:r>
      <w:hyperlink r:id="rId16" w:history="1">
        <w:r w:rsidR="004A7F63" w:rsidRPr="00201275">
          <w:rPr>
            <w:rStyle w:val="Hyperlink"/>
            <w:rFonts w:asciiTheme="majorHAnsi" w:hAnsiTheme="majorHAnsi" w:cstheme="majorHAnsi"/>
            <w:lang w:val="en-GB"/>
          </w:rPr>
          <w:t>https://gov.wales/legislation/subordinate/nonsi/educationwales/2009/3220099/?lang=en</w:t>
        </w:r>
      </w:hyperlink>
      <w:r w:rsidR="004A7F63">
        <w:rPr>
          <w:rFonts w:asciiTheme="majorHAnsi" w:hAnsiTheme="majorHAnsi" w:cstheme="majorHAnsi"/>
          <w:lang w:val="en-GB"/>
        </w:rPr>
        <w:t xml:space="preserve"> </w:t>
      </w:r>
      <w:r w:rsidR="005862BD">
        <w:rPr>
          <w:rFonts w:asciiTheme="majorHAnsi" w:hAnsiTheme="majorHAnsi" w:cstheme="majorHAnsi"/>
          <w:lang w:val="en-GB"/>
        </w:rPr>
        <w:t>Accessed: 25/11/2018.</w:t>
      </w:r>
    </w:p>
    <w:p w14:paraId="2175D22F" w14:textId="1CC84DBC" w:rsidR="00BE5F36" w:rsidRPr="00BE5F36" w:rsidRDefault="005862BD" w:rsidP="00BE5F36">
      <w:pPr>
        <w:spacing w:line="480" w:lineRule="auto"/>
        <w:rPr>
          <w:rFonts w:asciiTheme="majorHAnsi" w:hAnsiTheme="majorHAnsi" w:cstheme="majorHAnsi"/>
          <w:lang w:val="en-GB"/>
        </w:rPr>
      </w:pPr>
      <w:r>
        <w:rPr>
          <w:rFonts w:asciiTheme="majorHAnsi" w:hAnsiTheme="majorHAnsi" w:cstheme="majorHAnsi"/>
          <w:lang w:val="en-GB"/>
        </w:rPr>
        <w:t>Welsh Government</w:t>
      </w:r>
      <w:r w:rsidR="0088168F">
        <w:rPr>
          <w:rFonts w:asciiTheme="majorHAnsi" w:hAnsiTheme="majorHAnsi" w:cstheme="majorHAnsi"/>
          <w:lang w:val="en-GB"/>
        </w:rPr>
        <w:t>,</w:t>
      </w:r>
      <w:r>
        <w:rPr>
          <w:rFonts w:asciiTheme="majorHAnsi" w:hAnsiTheme="majorHAnsi" w:cstheme="majorHAnsi"/>
          <w:lang w:val="en-GB"/>
        </w:rPr>
        <w:t xml:space="preserve"> </w:t>
      </w:r>
      <w:r w:rsidR="0088168F">
        <w:rPr>
          <w:rFonts w:asciiTheme="majorHAnsi" w:hAnsiTheme="majorHAnsi" w:cstheme="majorHAnsi"/>
          <w:lang w:val="en-GB"/>
        </w:rPr>
        <w:t xml:space="preserve">2013. </w:t>
      </w:r>
      <w:r w:rsidR="00BE5F36" w:rsidRPr="00BE5F36">
        <w:rPr>
          <w:rFonts w:asciiTheme="majorHAnsi" w:hAnsiTheme="majorHAnsi" w:cstheme="majorHAnsi"/>
          <w:lang w:val="en-GB"/>
        </w:rPr>
        <w:t>National Literacy and Numeracy Framework</w:t>
      </w:r>
      <w:r>
        <w:rPr>
          <w:rFonts w:asciiTheme="majorHAnsi" w:hAnsiTheme="majorHAnsi" w:cstheme="majorHAnsi"/>
          <w:lang w:val="en-GB"/>
        </w:rPr>
        <w:t>.</w:t>
      </w:r>
      <w:r w:rsidR="0088168F">
        <w:rPr>
          <w:rFonts w:asciiTheme="majorHAnsi" w:hAnsiTheme="majorHAnsi" w:cstheme="majorHAnsi"/>
          <w:lang w:val="en-GB"/>
        </w:rPr>
        <w:t xml:space="preserve"> </w:t>
      </w:r>
      <w:r w:rsidR="0088168F">
        <w:rPr>
          <w:rFonts w:asciiTheme="majorHAnsi" w:hAnsiTheme="majorHAnsi" w:cstheme="majorHAnsi"/>
          <w:lang w:val="en-GB"/>
        </w:rPr>
        <w:t>Available at:</w:t>
      </w:r>
      <w:r w:rsidR="003D588D">
        <w:rPr>
          <w:rFonts w:asciiTheme="majorHAnsi" w:hAnsiTheme="majorHAnsi" w:cstheme="majorHAnsi"/>
          <w:lang w:val="en-GB"/>
        </w:rPr>
        <w:t xml:space="preserve"> </w:t>
      </w:r>
      <w:hyperlink r:id="rId17" w:history="1">
        <w:r w:rsidR="003D588D" w:rsidRPr="00201275">
          <w:rPr>
            <w:rStyle w:val="Hyperlink"/>
            <w:rFonts w:asciiTheme="majorHAnsi" w:hAnsiTheme="majorHAnsi" w:cstheme="majorHAnsi"/>
            <w:lang w:val="en-GB"/>
          </w:rPr>
          <w:t>http://learning.gov.wales/docs/learningwales/publications/130415-lnf-guidance-en.pdf</w:t>
        </w:r>
      </w:hyperlink>
      <w:r w:rsidR="003D588D">
        <w:rPr>
          <w:rFonts w:asciiTheme="majorHAnsi" w:hAnsiTheme="majorHAnsi" w:cstheme="majorHAnsi"/>
          <w:lang w:val="en-GB"/>
        </w:rPr>
        <w:t xml:space="preserve"> </w:t>
      </w:r>
      <w:r w:rsidR="0088168F">
        <w:rPr>
          <w:rFonts w:asciiTheme="majorHAnsi" w:hAnsiTheme="majorHAnsi" w:cstheme="majorHAnsi"/>
          <w:lang w:val="en-GB"/>
        </w:rPr>
        <w:t xml:space="preserve"> Accessed: 25/11/2018.</w:t>
      </w:r>
    </w:p>
    <w:p w14:paraId="0C2815C6" w14:textId="57B9BF4D" w:rsidR="00BE5F36" w:rsidRPr="00636E2E" w:rsidRDefault="00BE5F36" w:rsidP="00BE5F36">
      <w:pPr>
        <w:spacing w:line="480" w:lineRule="auto"/>
        <w:rPr>
          <w:rFonts w:asciiTheme="majorHAnsi" w:hAnsiTheme="majorHAnsi" w:cstheme="majorHAnsi"/>
          <w:lang w:val="en-GB"/>
        </w:rPr>
      </w:pPr>
      <w:r w:rsidRPr="00BE5F36">
        <w:rPr>
          <w:rFonts w:asciiTheme="majorHAnsi" w:hAnsiTheme="majorHAnsi" w:cstheme="majorHAnsi"/>
          <w:lang w:val="en-GB"/>
        </w:rPr>
        <w:t>Welsh Government, 2018. Digital Competence Framework Guidance</w:t>
      </w:r>
      <w:r w:rsidR="0088168F">
        <w:rPr>
          <w:rFonts w:asciiTheme="majorHAnsi" w:hAnsiTheme="majorHAnsi" w:cstheme="majorHAnsi"/>
          <w:lang w:val="en-GB"/>
        </w:rPr>
        <w:t xml:space="preserve">. </w:t>
      </w:r>
      <w:r w:rsidR="0088168F">
        <w:rPr>
          <w:rFonts w:asciiTheme="majorHAnsi" w:hAnsiTheme="majorHAnsi" w:cstheme="majorHAnsi"/>
          <w:lang w:val="en-GB"/>
        </w:rPr>
        <w:t xml:space="preserve">Available at: </w:t>
      </w:r>
      <w:hyperlink r:id="rId18" w:history="1">
        <w:r w:rsidR="003D588D" w:rsidRPr="00201275">
          <w:rPr>
            <w:rStyle w:val="Hyperlink"/>
            <w:rFonts w:asciiTheme="majorHAnsi" w:hAnsiTheme="majorHAnsi" w:cstheme="majorHAnsi"/>
            <w:lang w:val="en-GB"/>
          </w:rPr>
          <w:t>http://learning.gov.wales/docs/learningwales/publications/180620-dcf-guidance-2018-en.pdf</w:t>
        </w:r>
      </w:hyperlink>
      <w:r w:rsidR="003D588D">
        <w:rPr>
          <w:rFonts w:asciiTheme="majorHAnsi" w:hAnsiTheme="majorHAnsi" w:cstheme="majorHAnsi"/>
          <w:lang w:val="en-GB"/>
        </w:rPr>
        <w:t xml:space="preserve"> </w:t>
      </w:r>
      <w:r w:rsidR="0088168F">
        <w:rPr>
          <w:rFonts w:asciiTheme="majorHAnsi" w:hAnsiTheme="majorHAnsi" w:cstheme="majorHAnsi"/>
          <w:lang w:val="en-GB"/>
        </w:rPr>
        <w:t>Accessed: 25/11/2018.</w:t>
      </w:r>
    </w:p>
    <w:sectPr w:rsidR="00BE5F36" w:rsidRPr="00636E2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B12F0C" w14:textId="77777777" w:rsidR="00F0524B" w:rsidRDefault="00F0524B" w:rsidP="00F0524B">
      <w:pPr>
        <w:spacing w:after="0" w:line="240" w:lineRule="auto"/>
      </w:pPr>
      <w:r>
        <w:separator/>
      </w:r>
    </w:p>
  </w:endnote>
  <w:endnote w:type="continuationSeparator" w:id="0">
    <w:p w14:paraId="7F708DE8" w14:textId="77777777" w:rsidR="00F0524B" w:rsidRDefault="00F0524B" w:rsidP="00F05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4308849"/>
      <w:docPartObj>
        <w:docPartGallery w:val="Page Numbers (Bottom of Page)"/>
        <w:docPartUnique/>
      </w:docPartObj>
    </w:sdtPr>
    <w:sdtContent>
      <w:sdt>
        <w:sdtPr>
          <w:id w:val="-1231924091"/>
          <w:docPartObj>
            <w:docPartGallery w:val="Page Numbers (Top of Page)"/>
            <w:docPartUnique/>
          </w:docPartObj>
        </w:sdtPr>
        <w:sdtContent>
          <w:p w14:paraId="15605449" w14:textId="08FA23CB" w:rsidR="00F0524B" w:rsidRDefault="00F0524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8848B8E" w14:textId="77777777" w:rsidR="00F0524B" w:rsidRDefault="00F05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0AA765" w14:textId="77777777" w:rsidR="00F0524B" w:rsidRDefault="00F0524B" w:rsidP="00F0524B">
      <w:pPr>
        <w:spacing w:after="0" w:line="240" w:lineRule="auto"/>
      </w:pPr>
      <w:r>
        <w:separator/>
      </w:r>
    </w:p>
  </w:footnote>
  <w:footnote w:type="continuationSeparator" w:id="0">
    <w:p w14:paraId="3952A8F6" w14:textId="77777777" w:rsidR="00F0524B" w:rsidRDefault="00F0524B" w:rsidP="00F052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627F11" w14:textId="437070FD" w:rsidR="00F0524B" w:rsidRDefault="00F0524B">
    <w:pPr>
      <w:pStyle w:val="Header"/>
    </w:pPr>
    <w:r>
      <w:t>Transcendence from Student to Teacher</w:t>
    </w:r>
    <w:r>
      <w:tab/>
      <w:t>E</w:t>
    </w:r>
    <w:r w:rsidR="00202B60">
      <w:t>CSP6001</w:t>
    </w:r>
    <w:r>
      <w:ptab w:relativeTo="margin" w:alignment="right" w:leader="none"/>
    </w:r>
    <w:r w:rsidR="00202B60">
      <w:t>1805668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480B4F"/>
    <w:multiLevelType w:val="hybridMultilevel"/>
    <w:tmpl w:val="3C6C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6B33403"/>
    <w:multiLevelType w:val="hybridMultilevel"/>
    <w:tmpl w:val="81426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C949F5"/>
    <w:rsid w:val="000B099C"/>
    <w:rsid w:val="000E428F"/>
    <w:rsid w:val="000E4727"/>
    <w:rsid w:val="001022CF"/>
    <w:rsid w:val="00104405"/>
    <w:rsid w:val="00157132"/>
    <w:rsid w:val="00157A44"/>
    <w:rsid w:val="001916BB"/>
    <w:rsid w:val="001D2148"/>
    <w:rsid w:val="001D26CD"/>
    <w:rsid w:val="001E7CBD"/>
    <w:rsid w:val="001F69BC"/>
    <w:rsid w:val="001F6D2B"/>
    <w:rsid w:val="00202B60"/>
    <w:rsid w:val="00210AF8"/>
    <w:rsid w:val="00210CF7"/>
    <w:rsid w:val="00236AF0"/>
    <w:rsid w:val="00241BB2"/>
    <w:rsid w:val="00273825"/>
    <w:rsid w:val="00273A89"/>
    <w:rsid w:val="00292199"/>
    <w:rsid w:val="002A04B0"/>
    <w:rsid w:val="002A7B09"/>
    <w:rsid w:val="002B30D9"/>
    <w:rsid w:val="002C6ECF"/>
    <w:rsid w:val="002E34F6"/>
    <w:rsid w:val="00346386"/>
    <w:rsid w:val="00357A55"/>
    <w:rsid w:val="00376887"/>
    <w:rsid w:val="00376BED"/>
    <w:rsid w:val="00395344"/>
    <w:rsid w:val="003C7B4A"/>
    <w:rsid w:val="003D588D"/>
    <w:rsid w:val="003D650A"/>
    <w:rsid w:val="003F75BB"/>
    <w:rsid w:val="00405425"/>
    <w:rsid w:val="00411CF8"/>
    <w:rsid w:val="00413FC7"/>
    <w:rsid w:val="00436E93"/>
    <w:rsid w:val="004563DF"/>
    <w:rsid w:val="00474BA5"/>
    <w:rsid w:val="004A51BB"/>
    <w:rsid w:val="004A7F63"/>
    <w:rsid w:val="004B6B75"/>
    <w:rsid w:val="004D042F"/>
    <w:rsid w:val="004E3C20"/>
    <w:rsid w:val="004F118D"/>
    <w:rsid w:val="004F6F63"/>
    <w:rsid w:val="005047CD"/>
    <w:rsid w:val="00506E1B"/>
    <w:rsid w:val="005141AB"/>
    <w:rsid w:val="00514B78"/>
    <w:rsid w:val="005248DD"/>
    <w:rsid w:val="00550EDF"/>
    <w:rsid w:val="00573787"/>
    <w:rsid w:val="005862BD"/>
    <w:rsid w:val="005D3E6C"/>
    <w:rsid w:val="00630F7E"/>
    <w:rsid w:val="00636E2E"/>
    <w:rsid w:val="006607C5"/>
    <w:rsid w:val="00710BA7"/>
    <w:rsid w:val="00710DA7"/>
    <w:rsid w:val="00746159"/>
    <w:rsid w:val="00761313"/>
    <w:rsid w:val="00787E0B"/>
    <w:rsid w:val="00792241"/>
    <w:rsid w:val="0079263D"/>
    <w:rsid w:val="007A34F1"/>
    <w:rsid w:val="007D608D"/>
    <w:rsid w:val="00851A32"/>
    <w:rsid w:val="00862DCE"/>
    <w:rsid w:val="0088168F"/>
    <w:rsid w:val="008840B5"/>
    <w:rsid w:val="00895174"/>
    <w:rsid w:val="008A7F08"/>
    <w:rsid w:val="008C5EBE"/>
    <w:rsid w:val="008F3551"/>
    <w:rsid w:val="009318AD"/>
    <w:rsid w:val="009329E4"/>
    <w:rsid w:val="009632D5"/>
    <w:rsid w:val="0098259C"/>
    <w:rsid w:val="00990ECD"/>
    <w:rsid w:val="009B2236"/>
    <w:rsid w:val="009B2A95"/>
    <w:rsid w:val="009B779A"/>
    <w:rsid w:val="009C5EBC"/>
    <w:rsid w:val="00A15008"/>
    <w:rsid w:val="00A31D8B"/>
    <w:rsid w:val="00A41BFF"/>
    <w:rsid w:val="00A44C43"/>
    <w:rsid w:val="00A620C6"/>
    <w:rsid w:val="00A76AC0"/>
    <w:rsid w:val="00A86866"/>
    <w:rsid w:val="00A95AA0"/>
    <w:rsid w:val="00A97588"/>
    <w:rsid w:val="00AF0B1E"/>
    <w:rsid w:val="00AF572C"/>
    <w:rsid w:val="00B01414"/>
    <w:rsid w:val="00B02359"/>
    <w:rsid w:val="00B220BF"/>
    <w:rsid w:val="00B3505B"/>
    <w:rsid w:val="00B50593"/>
    <w:rsid w:val="00B71BFA"/>
    <w:rsid w:val="00B83E47"/>
    <w:rsid w:val="00BC6E29"/>
    <w:rsid w:val="00BD605C"/>
    <w:rsid w:val="00BE5F36"/>
    <w:rsid w:val="00BF1287"/>
    <w:rsid w:val="00BF2F3E"/>
    <w:rsid w:val="00C25FC9"/>
    <w:rsid w:val="00C86FE6"/>
    <w:rsid w:val="00CC0D95"/>
    <w:rsid w:val="00CC2289"/>
    <w:rsid w:val="00CC5FEB"/>
    <w:rsid w:val="00CE0CA8"/>
    <w:rsid w:val="00D07D7C"/>
    <w:rsid w:val="00D4294D"/>
    <w:rsid w:val="00D608CE"/>
    <w:rsid w:val="00D81402"/>
    <w:rsid w:val="00DE6AFD"/>
    <w:rsid w:val="00DE75A3"/>
    <w:rsid w:val="00E14E2B"/>
    <w:rsid w:val="00E47A72"/>
    <w:rsid w:val="00E72743"/>
    <w:rsid w:val="00EA2694"/>
    <w:rsid w:val="00EC7A50"/>
    <w:rsid w:val="00EE0EDB"/>
    <w:rsid w:val="00EF0374"/>
    <w:rsid w:val="00F0524B"/>
    <w:rsid w:val="00F3268C"/>
    <w:rsid w:val="00F34D29"/>
    <w:rsid w:val="00F52A02"/>
    <w:rsid w:val="00F76A7D"/>
    <w:rsid w:val="00FB4850"/>
    <w:rsid w:val="00FC7DA0"/>
    <w:rsid w:val="00FD1E53"/>
    <w:rsid w:val="00FF7DA8"/>
    <w:rsid w:val="18F8DFA7"/>
    <w:rsid w:val="44C949F5"/>
    <w:rsid w:val="538A32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7C782"/>
  <w15:chartTrackingRefBased/>
  <w15:docId w15:val="{FB04C923-D47C-433D-82C8-A9F298667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F0524B"/>
    <w:pPr>
      <w:outlineLvl w:val="9"/>
    </w:pPr>
  </w:style>
  <w:style w:type="paragraph" w:styleId="TOC1">
    <w:name w:val="toc 1"/>
    <w:basedOn w:val="Normal"/>
    <w:next w:val="Normal"/>
    <w:autoRedefine/>
    <w:uiPriority w:val="39"/>
    <w:unhideWhenUsed/>
    <w:rsid w:val="00F0524B"/>
    <w:pPr>
      <w:spacing w:after="100"/>
    </w:pPr>
  </w:style>
  <w:style w:type="paragraph" w:styleId="TOC3">
    <w:name w:val="toc 3"/>
    <w:basedOn w:val="Normal"/>
    <w:next w:val="Normal"/>
    <w:autoRedefine/>
    <w:uiPriority w:val="39"/>
    <w:unhideWhenUsed/>
    <w:rsid w:val="00F0524B"/>
    <w:pPr>
      <w:spacing w:after="100"/>
      <w:ind w:left="440"/>
    </w:pPr>
  </w:style>
  <w:style w:type="paragraph" w:styleId="TOC2">
    <w:name w:val="toc 2"/>
    <w:basedOn w:val="Normal"/>
    <w:next w:val="Normal"/>
    <w:autoRedefine/>
    <w:uiPriority w:val="39"/>
    <w:unhideWhenUsed/>
    <w:rsid w:val="00F0524B"/>
    <w:pPr>
      <w:spacing w:after="100"/>
      <w:ind w:left="220"/>
    </w:pPr>
  </w:style>
  <w:style w:type="character" w:styleId="Hyperlink">
    <w:name w:val="Hyperlink"/>
    <w:basedOn w:val="DefaultParagraphFont"/>
    <w:uiPriority w:val="99"/>
    <w:unhideWhenUsed/>
    <w:rsid w:val="00F0524B"/>
    <w:rPr>
      <w:color w:val="0563C1" w:themeColor="hyperlink"/>
      <w:u w:val="single"/>
    </w:rPr>
  </w:style>
  <w:style w:type="paragraph" w:styleId="Header">
    <w:name w:val="header"/>
    <w:basedOn w:val="Normal"/>
    <w:link w:val="HeaderChar"/>
    <w:unhideWhenUsed/>
    <w:rsid w:val="00F0524B"/>
    <w:pPr>
      <w:tabs>
        <w:tab w:val="center" w:pos="4513"/>
        <w:tab w:val="right" w:pos="9026"/>
      </w:tabs>
      <w:spacing w:after="0" w:line="240" w:lineRule="auto"/>
    </w:pPr>
  </w:style>
  <w:style w:type="character" w:customStyle="1" w:styleId="HeaderChar">
    <w:name w:val="Header Char"/>
    <w:basedOn w:val="DefaultParagraphFont"/>
    <w:link w:val="Header"/>
    <w:rsid w:val="00F0524B"/>
  </w:style>
  <w:style w:type="paragraph" w:styleId="Footer">
    <w:name w:val="footer"/>
    <w:basedOn w:val="Normal"/>
    <w:link w:val="FooterChar"/>
    <w:uiPriority w:val="99"/>
    <w:unhideWhenUsed/>
    <w:rsid w:val="00F052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524B"/>
  </w:style>
  <w:style w:type="paragraph" w:styleId="ListParagraph">
    <w:name w:val="List Paragraph"/>
    <w:basedOn w:val="Normal"/>
    <w:uiPriority w:val="34"/>
    <w:qFormat/>
    <w:rsid w:val="000B099C"/>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Caption">
    <w:name w:val="caption"/>
    <w:basedOn w:val="Normal"/>
    <w:next w:val="Normal"/>
    <w:uiPriority w:val="35"/>
    <w:unhideWhenUsed/>
    <w:qFormat/>
    <w:rsid w:val="00A41BFF"/>
    <w:pPr>
      <w:spacing w:after="200" w:line="240" w:lineRule="auto"/>
    </w:pPr>
    <w:rPr>
      <w:i/>
      <w:iCs/>
      <w:color w:val="44546A" w:themeColor="text2"/>
      <w:sz w:val="18"/>
      <w:szCs w:val="18"/>
    </w:rPr>
  </w:style>
  <w:style w:type="paragraph" w:styleId="NoSpacing">
    <w:name w:val="No Spacing"/>
    <w:uiPriority w:val="1"/>
    <w:qFormat/>
    <w:rsid w:val="00A41BFF"/>
    <w:pPr>
      <w:spacing w:after="0" w:line="240" w:lineRule="auto"/>
    </w:pPr>
  </w:style>
  <w:style w:type="paragraph" w:customStyle="1" w:styleId="Char">
    <w:name w:val="Char"/>
    <w:basedOn w:val="Normal"/>
    <w:rsid w:val="00D81402"/>
    <w:pPr>
      <w:spacing w:line="240" w:lineRule="exact"/>
    </w:pPr>
    <w:rPr>
      <w:rFonts w:ascii="Tahoma" w:eastAsia="Times New Roman" w:hAnsi="Tahoma" w:cs="Tahoma"/>
      <w:sz w:val="20"/>
      <w:szCs w:val="20"/>
    </w:rPr>
  </w:style>
  <w:style w:type="character" w:customStyle="1" w:styleId="normaltextrun">
    <w:name w:val="normaltextrun"/>
    <w:basedOn w:val="DefaultParagraphFont"/>
    <w:rsid w:val="009B2A95"/>
  </w:style>
  <w:style w:type="character" w:customStyle="1" w:styleId="spellingerror">
    <w:name w:val="spellingerror"/>
    <w:basedOn w:val="DefaultParagraphFont"/>
    <w:rsid w:val="009B2A95"/>
  </w:style>
  <w:style w:type="character" w:customStyle="1" w:styleId="eop">
    <w:name w:val="eop"/>
    <w:basedOn w:val="DefaultParagraphFont"/>
    <w:rsid w:val="009B2A95"/>
  </w:style>
  <w:style w:type="character" w:styleId="UnresolvedMention">
    <w:name w:val="Unresolved Mention"/>
    <w:basedOn w:val="DefaultParagraphFont"/>
    <w:uiPriority w:val="99"/>
    <w:semiHidden/>
    <w:unhideWhenUsed/>
    <w:rsid w:val="007926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5794708">
      <w:bodyDiv w:val="1"/>
      <w:marLeft w:val="0"/>
      <w:marRight w:val="0"/>
      <w:marTop w:val="0"/>
      <w:marBottom w:val="0"/>
      <w:divBdr>
        <w:top w:val="none" w:sz="0" w:space="0" w:color="auto"/>
        <w:left w:val="none" w:sz="0" w:space="0" w:color="auto"/>
        <w:bottom w:val="none" w:sz="0" w:space="0" w:color="auto"/>
        <w:right w:val="none" w:sz="0" w:space="0" w:color="auto"/>
      </w:divBdr>
    </w:div>
    <w:div w:id="1238709495">
      <w:bodyDiv w:val="1"/>
      <w:marLeft w:val="0"/>
      <w:marRight w:val="0"/>
      <w:marTop w:val="0"/>
      <w:marBottom w:val="0"/>
      <w:divBdr>
        <w:top w:val="none" w:sz="0" w:space="0" w:color="auto"/>
        <w:left w:val="none" w:sz="0" w:space="0" w:color="auto"/>
        <w:bottom w:val="none" w:sz="0" w:space="0" w:color="auto"/>
        <w:right w:val="none" w:sz="0" w:space="0" w:color="auto"/>
      </w:divBdr>
    </w:div>
    <w:div w:id="1245602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30424-developing-the-curriculum-cymreig-en.pdf" TargetMode="External"/><Relationship Id="rId18" Type="http://schemas.openxmlformats.org/officeDocument/2006/relationships/hyperlink" Target="http://learning.gov.wales/docs/learningwales/publications/180620-dcf-guidance-2018-en.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learning.gov.wales/docs/learningwales/publications/130415-lnf-guidance-en.pdf" TargetMode="External"/><Relationship Id="rId2" Type="http://schemas.openxmlformats.org/officeDocument/2006/relationships/numbering" Target="numbering.xml"/><Relationship Id="rId16" Type="http://schemas.openxmlformats.org/officeDocument/2006/relationships/hyperlink" Target="https://gov.wales/legislation/subordinate/nonsi/educationwales/2009/3220099/?lang=e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gov.wales/docs/dcells/publications/150225-successful-futures-en.pdf"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uttontrust.com/wp-content/uploads/2014/10/What-makes-great-teaching-FINAL-4.11.14-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5334EF-0FA7-49EF-ADE8-9CB2C8FF0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23</Pages>
  <Words>4651</Words>
  <Characters>26516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Pedrick-case (1805668)</dc:creator>
  <cp:keywords/>
  <dc:description/>
  <cp:lastModifiedBy>Rebecca Pedrick-Case</cp:lastModifiedBy>
  <cp:revision>137</cp:revision>
  <dcterms:created xsi:type="dcterms:W3CDTF">2018-11-25T00:38:00Z</dcterms:created>
  <dcterms:modified xsi:type="dcterms:W3CDTF">2018-11-26T23:21:00Z</dcterms:modified>
</cp:coreProperties>
</file>