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E29A4D" w14:textId="77777777" w:rsidR="00340C87" w:rsidRPr="000D0B50" w:rsidRDefault="00340C87" w:rsidP="00340C87">
      <w:pPr>
        <w:pStyle w:val="q"/>
        <w:spacing w:line="360" w:lineRule="auto"/>
        <w:ind w:left="720" w:firstLine="0"/>
        <w:rPr>
          <w:rFonts w:ascii="Calibri" w:hAnsi="Calibri"/>
          <w:b w:val="0"/>
          <w:szCs w:val="24"/>
        </w:rPr>
      </w:pPr>
      <w:bookmarkStart w:id="0" w:name="_Hlk530057263"/>
      <w:r>
        <w:rPr>
          <w:rFonts w:ascii="Calibri" w:hAnsi="Calibri"/>
          <w:b w:val="0"/>
          <w:bCs/>
          <w:szCs w:val="24"/>
        </w:rPr>
        <w:t xml:space="preserve">6 </w:t>
      </w:r>
      <w:r w:rsidRPr="000D0B50">
        <w:rPr>
          <w:rFonts w:ascii="Calibri" w:hAnsi="Calibri"/>
          <w:b w:val="0"/>
          <w:bCs/>
          <w:szCs w:val="24"/>
        </w:rPr>
        <w:t>How useful is the Bayeux Tapestry as a source for the events surrounding the Norman invasion of England?</w:t>
      </w:r>
    </w:p>
    <w:p w14:paraId="00465C42" w14:textId="77777777" w:rsidR="00340C87" w:rsidRDefault="00340C87" w:rsidP="00340C87">
      <w:pPr>
        <w:spacing w:line="360" w:lineRule="auto"/>
        <w:rPr>
          <w:sz w:val="24"/>
          <w:szCs w:val="24"/>
        </w:rPr>
      </w:pPr>
    </w:p>
    <w:p w14:paraId="264E131D" w14:textId="77777777" w:rsidR="00340C87" w:rsidRPr="00D82576" w:rsidRDefault="00340C87" w:rsidP="00340C87">
      <w:pPr>
        <w:spacing w:line="360" w:lineRule="auto"/>
        <w:rPr>
          <w:rFonts w:ascii="Calibri" w:hAnsi="Calibri"/>
          <w:sz w:val="24"/>
          <w:szCs w:val="24"/>
        </w:rPr>
      </w:pPr>
      <w:r>
        <w:rPr>
          <w:sz w:val="24"/>
          <w:szCs w:val="24"/>
        </w:rPr>
        <w:t xml:space="preserve">There is much conjecture about the Bayeux Tapestry: who designed it, who worked it and, perhaps most importantly, its reliability as an historical document. While the first two points will probably never be resolved, the last is the subject of this essay. </w:t>
      </w:r>
      <w:r>
        <w:rPr>
          <w:rFonts w:ascii="Calibri" w:hAnsi="Calibri"/>
          <w:sz w:val="24"/>
          <w:szCs w:val="24"/>
        </w:rPr>
        <w:t xml:space="preserve">The Tapestry </w:t>
      </w:r>
      <w:r w:rsidRPr="00D82576">
        <w:rPr>
          <w:rFonts w:ascii="Calibri" w:hAnsi="Calibri"/>
          <w:sz w:val="24"/>
          <w:szCs w:val="24"/>
        </w:rPr>
        <w:t xml:space="preserve">is a linen cloth </w:t>
      </w:r>
      <w:r>
        <w:rPr>
          <w:rFonts w:ascii="Calibri" w:hAnsi="Calibri"/>
          <w:sz w:val="24"/>
          <w:szCs w:val="24"/>
        </w:rPr>
        <w:t>approximately 70 m</w:t>
      </w:r>
      <w:r w:rsidRPr="00D82576">
        <w:rPr>
          <w:rFonts w:ascii="Calibri" w:hAnsi="Calibri"/>
          <w:sz w:val="24"/>
          <w:szCs w:val="24"/>
        </w:rPr>
        <w:t xml:space="preserve"> by </w:t>
      </w:r>
      <w:r>
        <w:rPr>
          <w:rFonts w:ascii="Calibri" w:hAnsi="Calibri"/>
          <w:sz w:val="24"/>
          <w:szCs w:val="24"/>
        </w:rPr>
        <w:t>50 cm</w:t>
      </w:r>
      <w:r w:rsidRPr="00D82576">
        <w:rPr>
          <w:rFonts w:ascii="Calibri" w:hAnsi="Calibri"/>
          <w:sz w:val="24"/>
          <w:szCs w:val="24"/>
        </w:rPr>
        <w:t xml:space="preserve"> with woollen embroidery in three bands, the broadest in the middle</w:t>
      </w:r>
      <w:r>
        <w:rPr>
          <w:rFonts w:ascii="Calibri" w:hAnsi="Calibri"/>
          <w:sz w:val="24"/>
          <w:szCs w:val="24"/>
        </w:rPr>
        <w:t xml:space="preserve"> and with the end missing</w:t>
      </w:r>
      <w:r w:rsidRPr="00D82576">
        <w:rPr>
          <w:rFonts w:ascii="Calibri" w:hAnsi="Calibri"/>
          <w:sz w:val="24"/>
          <w:szCs w:val="24"/>
        </w:rPr>
        <w:t>.</w:t>
      </w:r>
      <w:r>
        <w:rPr>
          <w:rFonts w:ascii="Calibri" w:hAnsi="Calibri"/>
          <w:sz w:val="24"/>
          <w:szCs w:val="24"/>
        </w:rPr>
        <w:t xml:space="preserve"> It has been much repaired, reducing its use as a reliable record of the events which it portrays. Musset has much to say on this and on the authenticity of the Tapestry in his book The Bayeux Tapestry</w:t>
      </w:r>
      <w:r>
        <w:rPr>
          <w:rStyle w:val="FootnoteReference"/>
          <w:rFonts w:ascii="Calibri" w:hAnsi="Calibri"/>
          <w:sz w:val="24"/>
          <w:szCs w:val="24"/>
        </w:rPr>
        <w:footnoteReference w:id="1"/>
      </w:r>
      <w:r>
        <w:rPr>
          <w:rFonts w:ascii="Calibri" w:hAnsi="Calibri"/>
          <w:sz w:val="24"/>
          <w:szCs w:val="24"/>
        </w:rPr>
        <w:t>. Although it is an embroidery (rather than a tapestry) it must be regarded as a document just as a manuscript would be</w:t>
      </w:r>
      <w:r>
        <w:rPr>
          <w:rStyle w:val="FootnoteReference"/>
          <w:rFonts w:ascii="Calibri" w:hAnsi="Calibri"/>
          <w:sz w:val="24"/>
          <w:szCs w:val="24"/>
        </w:rPr>
        <w:footnoteReference w:id="2"/>
      </w:r>
      <w:r>
        <w:rPr>
          <w:rFonts w:ascii="Calibri" w:hAnsi="Calibri"/>
          <w:sz w:val="24"/>
          <w:szCs w:val="24"/>
        </w:rPr>
        <w:t>. Although it has a small amount of text it is still overwhelmingly pictorial, clearly intended to be seen and understood by illiterate members of its audience while the use of text lends a perhaps spurious verisimilitude. Clanchy says that the Tapestry: ‘with its summary captions in Latin … assumes an audience in which someone could read</w:t>
      </w:r>
      <w:r>
        <w:rPr>
          <w:rStyle w:val="FootnoteReference"/>
          <w:rFonts w:ascii="Calibri" w:hAnsi="Calibri"/>
          <w:sz w:val="24"/>
          <w:szCs w:val="24"/>
        </w:rPr>
        <w:footnoteReference w:id="3"/>
      </w:r>
      <w:r>
        <w:rPr>
          <w:rFonts w:ascii="Calibri" w:hAnsi="Calibri"/>
          <w:sz w:val="24"/>
          <w:szCs w:val="24"/>
        </w:rPr>
        <w:t>’, thus the text could be read aloud to the less literate. It is generally believed that it was designed by a man and worked mainly by women (probably in Kent) to the commission of Bishop Odo, William’s half-brother</w:t>
      </w:r>
      <w:r>
        <w:rPr>
          <w:rStyle w:val="FootnoteReference"/>
          <w:rFonts w:ascii="Calibri" w:hAnsi="Calibri"/>
          <w:sz w:val="24"/>
          <w:szCs w:val="24"/>
        </w:rPr>
        <w:footnoteReference w:id="4"/>
      </w:r>
      <w:r>
        <w:rPr>
          <w:rFonts w:ascii="Calibri" w:hAnsi="Calibri"/>
          <w:sz w:val="24"/>
          <w:szCs w:val="24"/>
        </w:rPr>
        <w:t>.</w:t>
      </w:r>
      <w:r w:rsidRPr="005E17BF">
        <w:rPr>
          <w:sz w:val="24"/>
          <w:szCs w:val="24"/>
        </w:rPr>
        <w:t xml:space="preserve"> </w:t>
      </w:r>
      <w:r>
        <w:rPr>
          <w:sz w:val="24"/>
          <w:szCs w:val="24"/>
        </w:rPr>
        <w:t>The many Anglo-Saxonisms in the text have led many historians to believe that the designer was Anglo-Saxon</w:t>
      </w:r>
      <w:r>
        <w:rPr>
          <w:rStyle w:val="FootnoteReference"/>
          <w:sz w:val="24"/>
          <w:szCs w:val="24"/>
        </w:rPr>
        <w:footnoteReference w:id="5"/>
      </w:r>
      <w:r>
        <w:rPr>
          <w:sz w:val="24"/>
          <w:szCs w:val="24"/>
        </w:rPr>
        <w:t>. When using the Tapestry as a source, one should be wary of any bias introduced into the story by its designer in deference to the commissioner. Any such bias will affect the verisimilitude of the piece, although it is a valuable part of the whole meaning.</w:t>
      </w:r>
      <w:r>
        <w:rPr>
          <w:rFonts w:ascii="Calibri" w:hAnsi="Calibri"/>
          <w:sz w:val="24"/>
          <w:szCs w:val="24"/>
        </w:rPr>
        <w:t xml:space="preserve"> For the sake of simplicity, it will be referred to as the Tapestry throughout this essay.</w:t>
      </w:r>
    </w:p>
    <w:p w14:paraId="1C400FCA" w14:textId="77777777" w:rsidR="00340C87" w:rsidRDefault="00340C87" w:rsidP="00340C87">
      <w:pPr>
        <w:spacing w:line="360" w:lineRule="auto"/>
        <w:rPr>
          <w:sz w:val="24"/>
          <w:szCs w:val="24"/>
        </w:rPr>
      </w:pPr>
      <w:r w:rsidRPr="00D82576">
        <w:rPr>
          <w:rFonts w:ascii="Calibri" w:hAnsi="Calibri"/>
          <w:sz w:val="24"/>
          <w:szCs w:val="24"/>
        </w:rPr>
        <w:lastRenderedPageBreak/>
        <w:t>As well as portraying major events of the time, it shows glimpses into the work of carpenters and shipbuilders,</w:t>
      </w:r>
      <w:r>
        <w:rPr>
          <w:rFonts w:ascii="Calibri" w:hAnsi="Calibri"/>
          <w:sz w:val="24"/>
          <w:szCs w:val="24"/>
        </w:rPr>
        <w:t xml:space="preserve"> cooks and soldiers. Musset considers this everyday detail crucial in dating the Tapestry: ‘The technical details of the shipping and weaponry, not to mention the artistic style are simply too authentic to have been subsequent fabrications</w:t>
      </w:r>
      <w:r>
        <w:rPr>
          <w:rStyle w:val="FootnoteReference"/>
          <w:rFonts w:ascii="Calibri" w:hAnsi="Calibri"/>
          <w:sz w:val="24"/>
          <w:szCs w:val="24"/>
        </w:rPr>
        <w:footnoteReference w:id="6"/>
      </w:r>
      <w:r>
        <w:rPr>
          <w:rFonts w:ascii="Calibri" w:hAnsi="Calibri"/>
          <w:sz w:val="24"/>
          <w:szCs w:val="24"/>
        </w:rPr>
        <w:t xml:space="preserve">.’ This makes the Tapestry invaluable to those interested in recreating life and working practices of the late eleventh century. The </w:t>
      </w:r>
      <w:r w:rsidRPr="008619FB">
        <w:rPr>
          <w:rFonts w:ascii="Calibri" w:hAnsi="Calibri"/>
          <w:sz w:val="24"/>
          <w:szCs w:val="24"/>
        </w:rPr>
        <w:t xml:space="preserve">borders show many things: fables, </w:t>
      </w:r>
      <w:r>
        <w:rPr>
          <w:rFonts w:ascii="Calibri" w:hAnsi="Calibri"/>
          <w:sz w:val="24"/>
          <w:szCs w:val="24"/>
        </w:rPr>
        <w:t xml:space="preserve">real or fabulous creatures, comments on the main panel, people working, battle scenes, </w:t>
      </w:r>
      <w:r w:rsidRPr="008619FB">
        <w:rPr>
          <w:rFonts w:ascii="Calibri" w:hAnsi="Calibri"/>
          <w:sz w:val="24"/>
          <w:szCs w:val="24"/>
        </w:rPr>
        <w:t>and there has been much debate</w:t>
      </w:r>
      <w:r>
        <w:rPr>
          <w:rFonts w:ascii="Calibri" w:hAnsi="Calibri"/>
          <w:sz w:val="24"/>
          <w:szCs w:val="24"/>
        </w:rPr>
        <w:t xml:space="preserve"> over their meaning</w:t>
      </w:r>
      <w:r>
        <w:rPr>
          <w:rStyle w:val="FootnoteReference"/>
          <w:rFonts w:ascii="Calibri" w:hAnsi="Calibri"/>
          <w:sz w:val="24"/>
          <w:szCs w:val="24"/>
        </w:rPr>
        <w:footnoteReference w:id="7"/>
      </w:r>
      <w:r>
        <w:rPr>
          <w:rFonts w:ascii="Calibri" w:hAnsi="Calibri"/>
          <w:sz w:val="24"/>
          <w:szCs w:val="24"/>
        </w:rPr>
        <w:t xml:space="preserve">. Some may have been mere whimsy on the part of the designer or embroiderer, but others surely have meaning. Do the foxes and wolves represent William the crafty Norman or Harold the perfidious Anglo-Saxon? The latter seems more probable, given the Tapestry’s likely provenance and there is much more to say about these borders, but it falls outside the remit of this essay. </w:t>
      </w:r>
    </w:p>
    <w:p w14:paraId="60AA687C" w14:textId="77777777" w:rsidR="00340C87" w:rsidRDefault="00340C87" w:rsidP="00340C87">
      <w:pPr>
        <w:spacing w:line="360" w:lineRule="auto"/>
        <w:rPr>
          <w:sz w:val="24"/>
          <w:szCs w:val="24"/>
        </w:rPr>
      </w:pPr>
      <w:r>
        <w:rPr>
          <w:sz w:val="24"/>
          <w:szCs w:val="24"/>
        </w:rPr>
        <w:t xml:space="preserve">There are manuscripts from the period and from shortly afterwards dealing with Battle of Hastings and its surrounding events, including the Anglo-Saxon Chronicle, the work of Henry of Huntingdon, William of Jumieges, William of Newburgh, William of Poitiers </w:t>
      </w:r>
      <w:r w:rsidRPr="00140CB6">
        <w:rPr>
          <w:sz w:val="24"/>
          <w:szCs w:val="24"/>
        </w:rPr>
        <w:t>and Guy of Amiens</w:t>
      </w:r>
      <w:r>
        <w:rPr>
          <w:sz w:val="24"/>
          <w:szCs w:val="24"/>
        </w:rPr>
        <w:t>’</w:t>
      </w:r>
      <w:r w:rsidRPr="00140CB6">
        <w:rPr>
          <w:sz w:val="24"/>
          <w:szCs w:val="24"/>
        </w:rPr>
        <w:t xml:space="preserve"> </w:t>
      </w:r>
      <w:r w:rsidRPr="000D5303">
        <w:rPr>
          <w:i/>
          <w:sz w:val="24"/>
          <w:szCs w:val="24"/>
        </w:rPr>
        <w:t>Carmen de Hastingae Proelio</w:t>
      </w:r>
      <w:r w:rsidRPr="00140CB6">
        <w:rPr>
          <w:sz w:val="24"/>
          <w:szCs w:val="24"/>
        </w:rPr>
        <w:t>.</w:t>
      </w:r>
      <w:r>
        <w:rPr>
          <w:sz w:val="24"/>
          <w:szCs w:val="24"/>
        </w:rPr>
        <w:t xml:space="preserve"> I shall attempt to find verification or contradiction of the events shown in the Tapestry from these and other works, focussing on just a few of the events shown. </w:t>
      </w:r>
    </w:p>
    <w:p w14:paraId="04774E6B" w14:textId="77777777" w:rsidR="00340C87" w:rsidRPr="009D7C9E" w:rsidRDefault="00340C87" w:rsidP="00340C87">
      <w:pPr>
        <w:spacing w:line="360" w:lineRule="auto"/>
        <w:rPr>
          <w:sz w:val="24"/>
          <w:szCs w:val="24"/>
        </w:rPr>
      </w:pPr>
      <w:r>
        <w:rPr>
          <w:sz w:val="24"/>
          <w:szCs w:val="24"/>
        </w:rPr>
        <w:t xml:space="preserve">It may be helpful here to review the sources I have used and compare them with the Tapestry. Some primary sources are more biased than others. The Anglo-Saxon Chronicle, written in the vernacular rather than Latin, has a generally Anglo-Saxon bias, although it does seem to try to be an accurate record of events. Presumably the dated entries in the Chronicle were compiled very shortly after the events which they record. William of Jumieges’ </w:t>
      </w:r>
      <w:r w:rsidRPr="00323160">
        <w:rPr>
          <w:i/>
          <w:sz w:val="24"/>
          <w:szCs w:val="24"/>
        </w:rPr>
        <w:t>Gesta Ducum Normannorum</w:t>
      </w:r>
      <w:r>
        <w:rPr>
          <w:sz w:val="24"/>
          <w:szCs w:val="24"/>
        </w:rPr>
        <w:t>, is called by Van Houts ‘… a piece of propaganda justifying William the Conqueror’s actions</w:t>
      </w:r>
      <w:r>
        <w:rPr>
          <w:rStyle w:val="FootnoteReference"/>
          <w:sz w:val="24"/>
          <w:szCs w:val="24"/>
        </w:rPr>
        <w:footnoteReference w:id="8"/>
      </w:r>
      <w:r>
        <w:rPr>
          <w:sz w:val="24"/>
          <w:szCs w:val="24"/>
        </w:rPr>
        <w:t>.’ Written between the late 1050s and around 1070</w:t>
      </w:r>
      <w:r>
        <w:rPr>
          <w:rStyle w:val="FootnoteReference"/>
          <w:sz w:val="24"/>
          <w:szCs w:val="24"/>
        </w:rPr>
        <w:footnoteReference w:id="9"/>
      </w:r>
      <w:r>
        <w:rPr>
          <w:sz w:val="24"/>
          <w:szCs w:val="24"/>
        </w:rPr>
        <w:t>, this work is also contemporary. William of Poitiers had been William I’s chaplain and wrote a biography of that king and</w:t>
      </w:r>
      <w:r>
        <w:rPr>
          <w:rFonts w:ascii="Calibri" w:hAnsi="Calibri"/>
          <w:sz w:val="24"/>
          <w:szCs w:val="24"/>
        </w:rPr>
        <w:t xml:space="preserve"> based his account of the battle on eye-witness </w:t>
      </w:r>
      <w:r>
        <w:rPr>
          <w:rFonts w:ascii="Calibri" w:hAnsi="Calibri"/>
          <w:sz w:val="24"/>
          <w:szCs w:val="24"/>
        </w:rPr>
        <w:lastRenderedPageBreak/>
        <w:t>accounts</w:t>
      </w:r>
      <w:r>
        <w:rPr>
          <w:rStyle w:val="FootnoteReference"/>
          <w:rFonts w:ascii="Calibri" w:hAnsi="Calibri"/>
          <w:sz w:val="24"/>
          <w:szCs w:val="24"/>
        </w:rPr>
        <w:footnoteReference w:id="10"/>
      </w:r>
      <w:r>
        <w:rPr>
          <w:rFonts w:ascii="Calibri" w:hAnsi="Calibri"/>
          <w:sz w:val="24"/>
          <w:szCs w:val="24"/>
        </w:rPr>
        <w:t xml:space="preserve">. </w:t>
      </w:r>
      <w:r>
        <w:rPr>
          <w:sz w:val="24"/>
          <w:szCs w:val="24"/>
        </w:rPr>
        <w:t xml:space="preserve">Both of these men show bias towards William I. Guy of Amiens was chaplain to William’s queen Matilda and wrote the </w:t>
      </w:r>
      <w:r w:rsidRPr="0041585A">
        <w:rPr>
          <w:i/>
          <w:sz w:val="24"/>
          <w:szCs w:val="24"/>
        </w:rPr>
        <w:t>Carmen de Hastingae Proelio</w:t>
      </w:r>
      <w:r>
        <w:rPr>
          <w:sz w:val="24"/>
          <w:szCs w:val="24"/>
        </w:rPr>
        <w:t xml:space="preserve"> in around 1068. Henry of Huntingdon was an Anglo-Norman arch-deacon with a Norman father and an Anglo-Saxon mother writing in the twelfth century and seems ambivalent towards of William: while he felt that Harold, as an oath-breaker deserved his fate, he considered William rapacious, unreliable and savage</w:t>
      </w:r>
      <w:r>
        <w:rPr>
          <w:rStyle w:val="FootnoteReference"/>
          <w:sz w:val="24"/>
          <w:szCs w:val="24"/>
        </w:rPr>
        <w:footnoteReference w:id="11"/>
      </w:r>
      <w:r>
        <w:rPr>
          <w:sz w:val="24"/>
          <w:szCs w:val="24"/>
        </w:rPr>
        <w:t>. While William of Jumieges and William of Poitiers were writing at the time of these events, our other two chroniclers wrote during the twelfth century. The tapestry and all our sources contain indisputable facts: Edward died, Harold took the throne, William invaded and won the battle in which Harold died, but where a difference of opinion arises, we see that bias taints all these works as much as it does the Tapestry.</w:t>
      </w:r>
    </w:p>
    <w:p w14:paraId="70080B87" w14:textId="77777777" w:rsidR="00340C87" w:rsidRDefault="00340C87" w:rsidP="00340C87">
      <w:pPr>
        <w:spacing w:line="360" w:lineRule="auto"/>
        <w:rPr>
          <w:rFonts w:ascii="Calibri" w:hAnsi="Calibri"/>
          <w:sz w:val="24"/>
          <w:szCs w:val="24"/>
        </w:rPr>
      </w:pPr>
    </w:p>
    <w:p w14:paraId="7FAF1DC5" w14:textId="77777777" w:rsidR="00340C87" w:rsidRDefault="00340C87" w:rsidP="00340C87">
      <w:pPr>
        <w:spacing w:line="360" w:lineRule="auto"/>
        <w:rPr>
          <w:rFonts w:ascii="Calibri" w:hAnsi="Calibri"/>
          <w:sz w:val="24"/>
          <w:szCs w:val="24"/>
        </w:rPr>
      </w:pPr>
      <w:r>
        <w:rPr>
          <w:rFonts w:ascii="Calibri" w:hAnsi="Calibri"/>
          <w:sz w:val="24"/>
          <w:szCs w:val="24"/>
        </w:rPr>
        <w:t>THE OATH</w:t>
      </w:r>
    </w:p>
    <w:p w14:paraId="7C1605C6" w14:textId="77777777" w:rsidR="00340C87" w:rsidRDefault="00340C87" w:rsidP="00340C87">
      <w:pPr>
        <w:spacing w:line="360" w:lineRule="auto"/>
        <w:rPr>
          <w:rFonts w:ascii="Calibri" w:hAnsi="Calibri"/>
          <w:sz w:val="24"/>
          <w:szCs w:val="24"/>
        </w:rPr>
      </w:pPr>
      <w:r>
        <w:rPr>
          <w:rStyle w:val="FootnoteReference"/>
          <w:rFonts w:ascii="Calibri" w:hAnsi="Calibri"/>
          <w:sz w:val="24"/>
          <w:szCs w:val="24"/>
        </w:rPr>
        <w:footnoteReference w:id="12"/>
      </w:r>
      <w:r>
        <w:rPr>
          <w:noProof/>
        </w:rPr>
        <w:drawing>
          <wp:anchor distT="0" distB="0" distL="114300" distR="114300" simplePos="0" relativeHeight="251659264" behindDoc="0" locked="0" layoutInCell="1" allowOverlap="1" wp14:anchorId="49B55A45" wp14:editId="4D54E215">
            <wp:simplePos x="0" y="0"/>
            <wp:positionH relativeFrom="column">
              <wp:posOffset>0</wp:posOffset>
            </wp:positionH>
            <wp:positionV relativeFrom="paragraph">
              <wp:posOffset>-1964</wp:posOffset>
            </wp:positionV>
            <wp:extent cx="3426357" cy="2054269"/>
            <wp:effectExtent l="0" t="0" r="3175" b="3175"/>
            <wp:wrapSquare wrapText="bothSides"/>
            <wp:docPr id="12" name="Picture 12" descr="http://anglosaxon.archeurope.info/uploads/images/Bayeux%20Tapestry/scene%2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anglosaxon.archeurope.info/uploads/images/Bayeux%20Tapestry/scene%203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26357" cy="2054269"/>
                    </a:xfrm>
                    <a:prstGeom prst="rect">
                      <a:avLst/>
                    </a:prstGeom>
                    <a:noFill/>
                    <a:ln>
                      <a:noFill/>
                    </a:ln>
                  </pic:spPr>
                </pic:pic>
              </a:graphicData>
            </a:graphic>
          </wp:anchor>
        </w:drawing>
      </w:r>
      <w:r>
        <w:rPr>
          <w:rFonts w:ascii="Calibri" w:hAnsi="Calibri"/>
          <w:sz w:val="24"/>
          <w:szCs w:val="24"/>
        </w:rPr>
        <w:t xml:space="preserve"> In this evocative scene, Harold stands touching two reliquaries, swearing an oath before Duke William. The text says ‘</w:t>
      </w:r>
      <w:r w:rsidRPr="00541674">
        <w:rPr>
          <w:rFonts w:ascii="Calibri" w:hAnsi="Calibri"/>
          <w:i/>
          <w:sz w:val="24"/>
          <w:szCs w:val="24"/>
        </w:rPr>
        <w:t>Ubi Harold sacramentum fecit</w:t>
      </w:r>
      <w:r>
        <w:rPr>
          <w:rFonts w:ascii="Calibri" w:hAnsi="Calibri"/>
          <w:i/>
          <w:sz w:val="24"/>
          <w:szCs w:val="24"/>
        </w:rPr>
        <w:t xml:space="preserve">’ </w:t>
      </w:r>
      <w:r>
        <w:rPr>
          <w:rFonts w:ascii="Calibri" w:hAnsi="Calibri"/>
          <w:sz w:val="24"/>
          <w:szCs w:val="24"/>
        </w:rPr>
        <w:t>(Where Harold makes an oath). There is no mention of the subject of the oath, yet almost every historian, both modern and contemporary, tells us that Harold swore to help ensure William’s succession to the English throne on the death of Edward. William of Jumieges says: ‘After Harold had … sworn fealty to him [William] about the kingdom with many oaths…</w:t>
      </w:r>
      <w:r>
        <w:rPr>
          <w:rStyle w:val="FootnoteReference"/>
          <w:rFonts w:ascii="Calibri" w:hAnsi="Calibri"/>
          <w:sz w:val="24"/>
          <w:szCs w:val="24"/>
        </w:rPr>
        <w:footnoteReference w:id="13"/>
      </w:r>
      <w:r>
        <w:rPr>
          <w:rFonts w:ascii="Calibri" w:hAnsi="Calibri"/>
          <w:sz w:val="24"/>
          <w:szCs w:val="24"/>
        </w:rPr>
        <w:t xml:space="preserve">’, and in his edition of </w:t>
      </w:r>
      <w:r w:rsidRPr="00687E1E">
        <w:rPr>
          <w:rFonts w:ascii="Calibri" w:hAnsi="Calibri"/>
          <w:i/>
          <w:sz w:val="24"/>
          <w:szCs w:val="24"/>
        </w:rPr>
        <w:t>Gesta Ducum Normannorum</w:t>
      </w:r>
      <w:r>
        <w:rPr>
          <w:rFonts w:ascii="Calibri" w:hAnsi="Calibri"/>
          <w:sz w:val="24"/>
          <w:szCs w:val="24"/>
        </w:rPr>
        <w:t>, Orderic Vitalis repeats this claim</w:t>
      </w:r>
      <w:r>
        <w:rPr>
          <w:rStyle w:val="FootnoteReference"/>
          <w:rFonts w:ascii="Calibri" w:hAnsi="Calibri"/>
          <w:sz w:val="24"/>
          <w:szCs w:val="24"/>
        </w:rPr>
        <w:footnoteReference w:id="14"/>
      </w:r>
      <w:r>
        <w:rPr>
          <w:rFonts w:ascii="Calibri" w:hAnsi="Calibri"/>
          <w:sz w:val="24"/>
          <w:szCs w:val="24"/>
        </w:rPr>
        <w:t>.</w:t>
      </w:r>
    </w:p>
    <w:p w14:paraId="73E87CD4" w14:textId="77777777" w:rsidR="00340C87" w:rsidRPr="00541674" w:rsidRDefault="00340C87" w:rsidP="00340C87">
      <w:pPr>
        <w:spacing w:line="360" w:lineRule="auto"/>
        <w:rPr>
          <w:rFonts w:ascii="Calibri" w:hAnsi="Calibri"/>
          <w:sz w:val="24"/>
          <w:szCs w:val="24"/>
        </w:rPr>
      </w:pPr>
    </w:p>
    <w:p w14:paraId="3909D39E" w14:textId="77777777" w:rsidR="00340C87" w:rsidRDefault="00340C87" w:rsidP="00340C87">
      <w:pPr>
        <w:spacing w:line="360" w:lineRule="auto"/>
        <w:rPr>
          <w:rFonts w:ascii="Calibri" w:hAnsi="Calibri"/>
          <w:sz w:val="24"/>
          <w:szCs w:val="24"/>
        </w:rPr>
      </w:pPr>
      <w:r>
        <w:rPr>
          <w:rFonts w:ascii="Calibri" w:hAnsi="Calibri"/>
          <w:sz w:val="24"/>
          <w:szCs w:val="24"/>
        </w:rPr>
        <w:lastRenderedPageBreak/>
        <w:t>THE DEATH OF EDWARD THE CONFESSOR</w:t>
      </w:r>
    </w:p>
    <w:p w14:paraId="49081EF4" w14:textId="77777777" w:rsidR="00340C87" w:rsidRDefault="00340C87" w:rsidP="00340C87">
      <w:pPr>
        <w:spacing w:line="360" w:lineRule="auto"/>
        <w:rPr>
          <w:rFonts w:ascii="Calibri" w:hAnsi="Calibri"/>
          <w:sz w:val="24"/>
          <w:szCs w:val="24"/>
        </w:rPr>
      </w:pPr>
      <w:r>
        <w:rPr>
          <w:noProof/>
        </w:rPr>
        <w:drawing>
          <wp:anchor distT="0" distB="0" distL="114300" distR="114300" simplePos="0" relativeHeight="251660288" behindDoc="0" locked="0" layoutInCell="1" allowOverlap="1" wp14:anchorId="4C721160" wp14:editId="4F11703B">
            <wp:simplePos x="0" y="0"/>
            <wp:positionH relativeFrom="column">
              <wp:posOffset>0</wp:posOffset>
            </wp:positionH>
            <wp:positionV relativeFrom="paragraph">
              <wp:posOffset>1270</wp:posOffset>
            </wp:positionV>
            <wp:extent cx="3655695" cy="2177415"/>
            <wp:effectExtent l="0" t="0" r="1905" b="0"/>
            <wp:wrapSquare wrapText="bothSides"/>
            <wp:docPr id="14" name="Picture 14" descr="http://anglosaxon.archeurope.info/uploads/images/Bayeux%20Tapestry/scene%2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anglosaxon.archeurope.info/uploads/images/Bayeux%20Tapestry/scene%2036.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55695" cy="2177415"/>
                    </a:xfrm>
                    <a:prstGeom prst="rect">
                      <a:avLst/>
                    </a:prstGeom>
                    <a:noFill/>
                    <a:ln>
                      <a:noFill/>
                    </a:ln>
                  </pic:spPr>
                </pic:pic>
              </a:graphicData>
            </a:graphic>
          </wp:anchor>
        </w:drawing>
      </w:r>
      <w:r>
        <w:rPr>
          <w:rStyle w:val="FootnoteReference"/>
          <w:rFonts w:ascii="Calibri" w:hAnsi="Calibri"/>
          <w:sz w:val="24"/>
          <w:szCs w:val="24"/>
        </w:rPr>
        <w:footnoteReference w:id="15"/>
      </w:r>
    </w:p>
    <w:p w14:paraId="57984637" w14:textId="77777777" w:rsidR="00340C87" w:rsidRDefault="00340C87" w:rsidP="00340C87">
      <w:pPr>
        <w:spacing w:line="360" w:lineRule="auto"/>
        <w:rPr>
          <w:rFonts w:ascii="Calibri" w:hAnsi="Calibri"/>
          <w:sz w:val="24"/>
          <w:szCs w:val="24"/>
        </w:rPr>
      </w:pPr>
      <w:r>
        <w:rPr>
          <w:rFonts w:ascii="Calibri" w:hAnsi="Calibri"/>
          <w:sz w:val="24"/>
          <w:szCs w:val="24"/>
        </w:rPr>
        <w:t>Several versions of the Anglo-Saxon Chronicles record the death of Edward although none tell us who was present. The C and D versions give us this:</w:t>
      </w:r>
    </w:p>
    <w:p w14:paraId="07CA8214" w14:textId="77777777" w:rsidR="00340C87" w:rsidRDefault="00340C87" w:rsidP="00340C87">
      <w:pPr>
        <w:spacing w:line="360" w:lineRule="auto"/>
        <w:rPr>
          <w:rFonts w:ascii="Calibri" w:hAnsi="Calibri"/>
          <w:sz w:val="24"/>
          <w:szCs w:val="24"/>
        </w:rPr>
      </w:pPr>
    </w:p>
    <w:p w14:paraId="7EECE16C" w14:textId="77777777" w:rsidR="00340C87" w:rsidRDefault="00340C87" w:rsidP="00340C87">
      <w:pPr>
        <w:spacing w:line="360" w:lineRule="auto"/>
        <w:ind w:left="720"/>
        <w:rPr>
          <w:rFonts w:ascii="Calibri" w:hAnsi="Calibri"/>
          <w:sz w:val="24"/>
          <w:szCs w:val="24"/>
        </w:rPr>
      </w:pPr>
      <w:r>
        <w:rPr>
          <w:rFonts w:ascii="Calibri" w:hAnsi="Calibri"/>
          <w:sz w:val="24"/>
          <w:szCs w:val="24"/>
        </w:rPr>
        <w:t>Yet did the wise king entrust his kingdom</w:t>
      </w:r>
    </w:p>
    <w:p w14:paraId="6090FA39" w14:textId="77777777" w:rsidR="00340C87" w:rsidRDefault="00340C87" w:rsidP="00340C87">
      <w:pPr>
        <w:spacing w:line="360" w:lineRule="auto"/>
        <w:ind w:left="720"/>
        <w:rPr>
          <w:rFonts w:ascii="Calibri" w:hAnsi="Calibri"/>
          <w:sz w:val="24"/>
          <w:szCs w:val="24"/>
        </w:rPr>
      </w:pPr>
      <w:r>
        <w:rPr>
          <w:rFonts w:ascii="Calibri" w:hAnsi="Calibri"/>
          <w:sz w:val="24"/>
          <w:szCs w:val="24"/>
        </w:rPr>
        <w:t>To a man of high rank, to Harold himself,</w:t>
      </w:r>
    </w:p>
    <w:p w14:paraId="34DC3EA4" w14:textId="77777777" w:rsidR="00340C87" w:rsidRDefault="00340C87" w:rsidP="00340C87">
      <w:pPr>
        <w:spacing w:line="360" w:lineRule="auto"/>
        <w:ind w:left="720"/>
        <w:rPr>
          <w:rFonts w:ascii="Calibri" w:hAnsi="Calibri"/>
          <w:sz w:val="24"/>
          <w:szCs w:val="24"/>
        </w:rPr>
      </w:pPr>
      <w:r>
        <w:rPr>
          <w:rFonts w:ascii="Calibri" w:hAnsi="Calibri"/>
          <w:sz w:val="24"/>
          <w:szCs w:val="24"/>
        </w:rPr>
        <w:t>The noble earl, who ever</w:t>
      </w:r>
    </w:p>
    <w:p w14:paraId="005BDC91" w14:textId="77777777" w:rsidR="00340C87" w:rsidRDefault="00340C87" w:rsidP="00340C87">
      <w:pPr>
        <w:spacing w:line="360" w:lineRule="auto"/>
        <w:ind w:left="720"/>
        <w:rPr>
          <w:rFonts w:ascii="Calibri" w:hAnsi="Calibri"/>
          <w:sz w:val="24"/>
          <w:szCs w:val="24"/>
        </w:rPr>
      </w:pPr>
      <w:r>
        <w:rPr>
          <w:rFonts w:ascii="Calibri" w:hAnsi="Calibri"/>
          <w:sz w:val="24"/>
          <w:szCs w:val="24"/>
        </w:rPr>
        <w:t>Faithfully obeyed his noble lord</w:t>
      </w:r>
    </w:p>
    <w:p w14:paraId="5F2968FC" w14:textId="77777777" w:rsidR="00340C87" w:rsidRDefault="00340C87" w:rsidP="00340C87">
      <w:pPr>
        <w:spacing w:line="360" w:lineRule="auto"/>
        <w:ind w:left="720"/>
        <w:rPr>
          <w:rFonts w:ascii="Calibri" w:hAnsi="Calibri"/>
          <w:sz w:val="24"/>
          <w:szCs w:val="24"/>
        </w:rPr>
      </w:pPr>
      <w:r>
        <w:rPr>
          <w:rFonts w:ascii="Calibri" w:hAnsi="Calibri"/>
          <w:sz w:val="24"/>
          <w:szCs w:val="24"/>
        </w:rPr>
        <w:t>In words and deeds, neglecting nothing</w:t>
      </w:r>
    </w:p>
    <w:p w14:paraId="52AD823C" w14:textId="77777777" w:rsidR="00340C87" w:rsidRDefault="00340C87" w:rsidP="00340C87">
      <w:pPr>
        <w:tabs>
          <w:tab w:val="left" w:pos="5547"/>
        </w:tabs>
        <w:spacing w:line="360" w:lineRule="auto"/>
        <w:ind w:left="720"/>
        <w:rPr>
          <w:rFonts w:ascii="Calibri" w:hAnsi="Calibri"/>
          <w:sz w:val="24"/>
          <w:szCs w:val="24"/>
        </w:rPr>
      </w:pPr>
      <w:r>
        <w:rPr>
          <w:rFonts w:ascii="Calibri" w:hAnsi="Calibri"/>
          <w:sz w:val="24"/>
          <w:szCs w:val="24"/>
        </w:rPr>
        <w:t>Whereof the national king stood in need</w:t>
      </w:r>
      <w:r>
        <w:rPr>
          <w:rStyle w:val="FootnoteReference"/>
          <w:rFonts w:ascii="Calibri" w:hAnsi="Calibri"/>
          <w:sz w:val="24"/>
          <w:szCs w:val="24"/>
        </w:rPr>
        <w:footnoteReference w:id="16"/>
      </w:r>
      <w:r>
        <w:rPr>
          <w:rFonts w:ascii="Calibri" w:hAnsi="Calibri"/>
          <w:sz w:val="24"/>
          <w:szCs w:val="24"/>
        </w:rPr>
        <w:t>.</w:t>
      </w:r>
    </w:p>
    <w:p w14:paraId="656A153B" w14:textId="77777777" w:rsidR="00340C87" w:rsidRDefault="00340C87" w:rsidP="00340C87">
      <w:pPr>
        <w:tabs>
          <w:tab w:val="left" w:pos="5547"/>
        </w:tabs>
        <w:spacing w:line="360" w:lineRule="auto"/>
        <w:rPr>
          <w:rFonts w:ascii="Calibri" w:hAnsi="Calibri"/>
          <w:sz w:val="24"/>
          <w:szCs w:val="24"/>
        </w:rPr>
      </w:pPr>
    </w:p>
    <w:p w14:paraId="31BD65AE" w14:textId="77777777" w:rsidR="00340C87" w:rsidRDefault="00340C87" w:rsidP="00340C87">
      <w:pPr>
        <w:spacing w:line="360" w:lineRule="auto"/>
        <w:rPr>
          <w:rFonts w:ascii="Calibri" w:hAnsi="Calibri"/>
          <w:sz w:val="24"/>
          <w:szCs w:val="24"/>
        </w:rPr>
      </w:pPr>
      <w:r>
        <w:rPr>
          <w:rFonts w:ascii="Calibri" w:hAnsi="Calibri"/>
          <w:sz w:val="24"/>
          <w:szCs w:val="24"/>
        </w:rPr>
        <w:t>CORONATION OF HAROLD</w:t>
      </w:r>
    </w:p>
    <w:p w14:paraId="49F2979B" w14:textId="77777777" w:rsidR="00340C87" w:rsidRDefault="00340C87" w:rsidP="00340C87">
      <w:pPr>
        <w:spacing w:line="360" w:lineRule="auto"/>
        <w:rPr>
          <w:rFonts w:ascii="Calibri" w:hAnsi="Calibri"/>
          <w:sz w:val="24"/>
          <w:szCs w:val="24"/>
        </w:rPr>
      </w:pPr>
      <w:r>
        <w:rPr>
          <w:rStyle w:val="FootnoteReference"/>
          <w:rFonts w:ascii="Calibri" w:hAnsi="Calibri"/>
          <w:sz w:val="24"/>
          <w:szCs w:val="24"/>
        </w:rPr>
        <w:footnoteReference w:id="17"/>
      </w:r>
      <w:r>
        <w:rPr>
          <w:noProof/>
        </w:rPr>
        <w:drawing>
          <wp:anchor distT="0" distB="0" distL="114300" distR="114300" simplePos="0" relativeHeight="251666432" behindDoc="1" locked="0" layoutInCell="1" allowOverlap="1" wp14:anchorId="6B0B77E6" wp14:editId="3203A50C">
            <wp:simplePos x="0" y="0"/>
            <wp:positionH relativeFrom="margin">
              <wp:align>left</wp:align>
            </wp:positionH>
            <wp:positionV relativeFrom="paragraph">
              <wp:posOffset>99607</wp:posOffset>
            </wp:positionV>
            <wp:extent cx="3345180" cy="1997075"/>
            <wp:effectExtent l="0" t="0" r="7620" b="3175"/>
            <wp:wrapSquare wrapText="bothSides"/>
            <wp:docPr id="16" name="Picture 16" descr="http://anglosaxon.archeurope.info/uploads/images/Bayeux%20Tapestry/scene%2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anglosaxon.archeurope.info/uploads/images/Bayeux%20Tapestry/scene%2037.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45180" cy="1997075"/>
                    </a:xfrm>
                    <a:prstGeom prst="rect">
                      <a:avLst/>
                    </a:prstGeom>
                    <a:noFill/>
                    <a:ln>
                      <a:noFill/>
                    </a:ln>
                  </pic:spPr>
                </pic:pic>
              </a:graphicData>
            </a:graphic>
          </wp:anchor>
        </w:drawing>
      </w:r>
      <w:r>
        <w:rPr>
          <w:rFonts w:ascii="Calibri" w:hAnsi="Calibri"/>
          <w:sz w:val="24"/>
          <w:szCs w:val="24"/>
        </w:rPr>
        <w:t xml:space="preserve"> William of Poitiers tells us that Harold: ‘… violated his oath and seized the royal throne with acclamation, with the connivance of a few wicked men</w:t>
      </w:r>
      <w:r>
        <w:rPr>
          <w:rStyle w:val="FootnoteReference"/>
          <w:rFonts w:ascii="Calibri" w:hAnsi="Calibri"/>
          <w:sz w:val="24"/>
          <w:szCs w:val="24"/>
        </w:rPr>
        <w:footnoteReference w:id="18"/>
      </w:r>
      <w:r>
        <w:rPr>
          <w:rFonts w:ascii="Calibri" w:hAnsi="Calibri"/>
          <w:sz w:val="24"/>
          <w:szCs w:val="24"/>
        </w:rPr>
        <w:t xml:space="preserve">.’ Henry of </w:t>
      </w:r>
      <w:r>
        <w:rPr>
          <w:rFonts w:ascii="Calibri" w:hAnsi="Calibri"/>
          <w:sz w:val="24"/>
          <w:szCs w:val="24"/>
        </w:rPr>
        <w:lastRenderedPageBreak/>
        <w:t>Huntingdon calls him a usurper</w:t>
      </w:r>
      <w:r>
        <w:rPr>
          <w:rStyle w:val="FootnoteReference"/>
          <w:rFonts w:ascii="Calibri" w:hAnsi="Calibri"/>
          <w:sz w:val="24"/>
          <w:szCs w:val="24"/>
        </w:rPr>
        <w:footnoteReference w:id="19"/>
      </w:r>
      <w:r>
        <w:rPr>
          <w:rFonts w:ascii="Calibri" w:hAnsi="Calibri"/>
          <w:sz w:val="24"/>
          <w:szCs w:val="24"/>
        </w:rPr>
        <w:t xml:space="preserve"> and William of Jumieges says: ‘…Harold immediately seized Edward’s kingdom, thus perjuring the fealty he had sworn to the Duke</w:t>
      </w:r>
      <w:r>
        <w:rPr>
          <w:rStyle w:val="FootnoteReference"/>
          <w:rFonts w:ascii="Calibri" w:hAnsi="Calibri"/>
          <w:sz w:val="24"/>
          <w:szCs w:val="24"/>
        </w:rPr>
        <w:footnoteReference w:id="20"/>
      </w:r>
      <w:r>
        <w:rPr>
          <w:rFonts w:ascii="Calibri" w:hAnsi="Calibri"/>
          <w:sz w:val="24"/>
          <w:szCs w:val="24"/>
        </w:rPr>
        <w:t>.’ No-one disputes the fact that Harold was crowned, but all these commentators agree that he did it unjustly. Alternatively, the A version of the Anglo-Saxon Chronicle tells us that Harold ‘came to the throne and ruled for forty weeks and a day’, the C and D texts that ‘he was consecrated king but was not to enjoy a tranquil reign…</w:t>
      </w:r>
      <w:r>
        <w:rPr>
          <w:rStyle w:val="FootnoteReference"/>
          <w:rFonts w:ascii="Calibri" w:hAnsi="Calibri"/>
          <w:sz w:val="24"/>
          <w:szCs w:val="24"/>
        </w:rPr>
        <w:footnoteReference w:id="21"/>
      </w:r>
      <w:r>
        <w:rPr>
          <w:rFonts w:ascii="Calibri" w:hAnsi="Calibri"/>
          <w:sz w:val="24"/>
          <w:szCs w:val="24"/>
        </w:rPr>
        <w:t>’ while the E version says that Harold ‘succeeded to the kingdom of England as the king granted it to him and as he was elected thereto</w:t>
      </w:r>
      <w:r>
        <w:rPr>
          <w:rStyle w:val="FootnoteReference"/>
          <w:rFonts w:ascii="Calibri" w:hAnsi="Calibri"/>
          <w:sz w:val="24"/>
          <w:szCs w:val="24"/>
        </w:rPr>
        <w:footnoteReference w:id="22"/>
      </w:r>
      <w:r>
        <w:rPr>
          <w:rFonts w:ascii="Calibri" w:hAnsi="Calibri"/>
          <w:sz w:val="24"/>
          <w:szCs w:val="24"/>
        </w:rPr>
        <w:t>.’ None of the versions mention any oath to William.</w:t>
      </w:r>
    </w:p>
    <w:p w14:paraId="7AAEF583" w14:textId="77777777" w:rsidR="00340C87" w:rsidRDefault="00340C87" w:rsidP="00340C87">
      <w:pPr>
        <w:spacing w:line="360" w:lineRule="auto"/>
        <w:rPr>
          <w:rFonts w:ascii="Calibri" w:hAnsi="Calibri"/>
          <w:sz w:val="24"/>
          <w:szCs w:val="24"/>
        </w:rPr>
      </w:pPr>
    </w:p>
    <w:p w14:paraId="250DAB7C" w14:textId="77777777" w:rsidR="00340C87" w:rsidRDefault="00340C87" w:rsidP="00340C87">
      <w:pPr>
        <w:spacing w:line="360" w:lineRule="auto"/>
        <w:rPr>
          <w:rFonts w:ascii="Calibri" w:hAnsi="Calibri"/>
          <w:sz w:val="24"/>
          <w:szCs w:val="24"/>
        </w:rPr>
      </w:pPr>
      <w:r>
        <w:rPr>
          <w:rFonts w:ascii="Calibri" w:hAnsi="Calibri"/>
          <w:sz w:val="24"/>
          <w:szCs w:val="24"/>
        </w:rPr>
        <w:t>THE COMET</w:t>
      </w:r>
    </w:p>
    <w:p w14:paraId="1878887E" w14:textId="77777777" w:rsidR="00340C87" w:rsidRPr="008651BD" w:rsidRDefault="00340C87" w:rsidP="00340C87">
      <w:pPr>
        <w:spacing w:line="360" w:lineRule="auto"/>
        <w:rPr>
          <w:rFonts w:ascii="Calibri" w:hAnsi="Calibri"/>
          <w:sz w:val="24"/>
          <w:szCs w:val="24"/>
        </w:rPr>
      </w:pPr>
      <w:r>
        <w:rPr>
          <w:rStyle w:val="FootnoteReference"/>
          <w:rFonts w:ascii="Calibri" w:hAnsi="Calibri"/>
          <w:sz w:val="24"/>
          <w:szCs w:val="24"/>
        </w:rPr>
        <w:footnoteReference w:id="23"/>
      </w:r>
      <w:r>
        <w:rPr>
          <w:noProof/>
        </w:rPr>
        <w:drawing>
          <wp:anchor distT="0" distB="0" distL="114300" distR="114300" simplePos="0" relativeHeight="251661312" behindDoc="1" locked="0" layoutInCell="1" allowOverlap="1" wp14:anchorId="50DF85D0" wp14:editId="2A1D6F34">
            <wp:simplePos x="0" y="0"/>
            <wp:positionH relativeFrom="column">
              <wp:posOffset>0</wp:posOffset>
            </wp:positionH>
            <wp:positionV relativeFrom="paragraph">
              <wp:posOffset>2762</wp:posOffset>
            </wp:positionV>
            <wp:extent cx="2703896" cy="1814623"/>
            <wp:effectExtent l="0" t="0" r="1270" b="0"/>
            <wp:wrapTight wrapText="bothSides">
              <wp:wrapPolygon edited="0">
                <wp:start x="0" y="0"/>
                <wp:lineTo x="0" y="21320"/>
                <wp:lineTo x="21458" y="21320"/>
                <wp:lineTo x="21458" y="0"/>
                <wp:lineTo x="0" y="0"/>
              </wp:wrapPolygon>
            </wp:wrapTight>
            <wp:docPr id="18" name="Picture 18" descr="http://anglosaxon.archeurope.info/uploads/images/Bayeux%20Tapestry/scene%2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anglosaxon.archeurope.info/uploads/images/Bayeux%20Tapestry/scene%2038.jpg"/>
                    <pic:cNvPicPr>
                      <a:picLocks noChangeAspect="1" noChangeArrowheads="1"/>
                    </pic:cNvPicPr>
                  </pic:nvPicPr>
                  <pic:blipFill rotWithShape="1">
                    <a:blip r:embed="rId11">
                      <a:extLst>
                        <a:ext uri="{28A0092B-C50C-407E-A947-70E740481C1C}">
                          <a14:useLocalDpi xmlns:a14="http://schemas.microsoft.com/office/drawing/2010/main" val="0"/>
                        </a:ext>
                      </a:extLst>
                    </a:blip>
                    <a:srcRect l="19905" t="10145"/>
                    <a:stretch/>
                  </pic:blipFill>
                  <pic:spPr bwMode="auto">
                    <a:xfrm>
                      <a:off x="0" y="0"/>
                      <a:ext cx="2703896" cy="1814623"/>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Calibri" w:hAnsi="Calibri"/>
          <w:sz w:val="24"/>
          <w:szCs w:val="24"/>
        </w:rPr>
        <w:t xml:space="preserve"> The comet which appears in the Tapestry is one thing capable of scientific proof. Broughton in a 1979 article </w:t>
      </w:r>
      <w:r w:rsidRPr="007759A3">
        <w:rPr>
          <w:rFonts w:ascii="Calibri" w:hAnsi="Calibri"/>
          <w:sz w:val="24"/>
          <w:szCs w:val="24"/>
        </w:rPr>
        <w:t xml:space="preserve">for the </w:t>
      </w:r>
      <w:r w:rsidRPr="007759A3">
        <w:rPr>
          <w:color w:val="000000"/>
          <w:sz w:val="24"/>
          <w:szCs w:val="24"/>
          <w:shd w:val="clear" w:color="auto" w:fill="FFFFFF"/>
        </w:rPr>
        <w:t>Journal of the Royal Astronomical Society of Canada gives a table with all appearances of Halley’s Comet</w:t>
      </w:r>
      <w:r>
        <w:rPr>
          <w:color w:val="000000"/>
          <w:sz w:val="24"/>
          <w:szCs w:val="24"/>
          <w:shd w:val="clear" w:color="auto" w:fill="FFFFFF"/>
        </w:rPr>
        <w:t xml:space="preserve"> including that of April to June 1066</w:t>
      </w:r>
      <w:r>
        <w:rPr>
          <w:rStyle w:val="FootnoteReference"/>
          <w:color w:val="000000"/>
          <w:sz w:val="24"/>
          <w:szCs w:val="24"/>
          <w:shd w:val="clear" w:color="auto" w:fill="FFFFFF"/>
        </w:rPr>
        <w:footnoteReference w:id="24"/>
      </w:r>
      <w:r>
        <w:rPr>
          <w:color w:val="000000"/>
          <w:sz w:val="24"/>
          <w:szCs w:val="24"/>
          <w:shd w:val="clear" w:color="auto" w:fill="FFFFFF"/>
        </w:rPr>
        <w:t>. Three versions of the Anglo-Saxon Chronicle mention it, that is A, C and D</w:t>
      </w:r>
      <w:r>
        <w:rPr>
          <w:rStyle w:val="FootnoteReference"/>
          <w:color w:val="000000"/>
          <w:sz w:val="24"/>
          <w:szCs w:val="24"/>
          <w:shd w:val="clear" w:color="auto" w:fill="FFFFFF"/>
        </w:rPr>
        <w:footnoteReference w:id="25"/>
      </w:r>
      <w:r>
        <w:rPr>
          <w:color w:val="000000"/>
          <w:sz w:val="24"/>
          <w:szCs w:val="24"/>
          <w:shd w:val="clear" w:color="auto" w:fill="FFFFFF"/>
        </w:rPr>
        <w:t xml:space="preserve">. The </w:t>
      </w:r>
      <w:r w:rsidRPr="001A743F">
        <w:rPr>
          <w:i/>
          <w:color w:val="000000"/>
          <w:sz w:val="24"/>
          <w:szCs w:val="24"/>
          <w:shd w:val="clear" w:color="auto" w:fill="FFFFFF"/>
        </w:rPr>
        <w:t xml:space="preserve">Carmen de Hastingae </w:t>
      </w:r>
      <w:r>
        <w:rPr>
          <w:color w:val="000000"/>
          <w:sz w:val="24"/>
          <w:szCs w:val="24"/>
          <w:shd w:val="clear" w:color="auto" w:fill="FFFFFF"/>
        </w:rPr>
        <w:t>mentions the comet: ‘… a blazing comet with outstretched tail informed the English of their destined ruin</w:t>
      </w:r>
      <w:r>
        <w:rPr>
          <w:rStyle w:val="FootnoteReference"/>
          <w:color w:val="000000"/>
          <w:sz w:val="24"/>
          <w:szCs w:val="24"/>
          <w:shd w:val="clear" w:color="auto" w:fill="FFFFFF"/>
        </w:rPr>
        <w:footnoteReference w:id="26"/>
      </w:r>
      <w:r>
        <w:rPr>
          <w:color w:val="000000"/>
          <w:sz w:val="24"/>
          <w:szCs w:val="24"/>
          <w:shd w:val="clear" w:color="auto" w:fill="FFFFFF"/>
        </w:rPr>
        <w:t xml:space="preserve">.’ If we are to believe Broughton, the comet would have passed out of visibility before October 1066. </w:t>
      </w:r>
      <w:r>
        <w:rPr>
          <w:rFonts w:ascii="Calibri" w:hAnsi="Calibri"/>
          <w:sz w:val="24"/>
          <w:szCs w:val="24"/>
        </w:rPr>
        <w:t>William of Jumieges mentions it as an omen: ‘At that time a star appeared in the north-west, its three-forked tail stretched far into the southern sky remaining visible for fifteen days; and it portended, as many said, a change in some kingdom</w:t>
      </w:r>
      <w:r>
        <w:rPr>
          <w:rStyle w:val="FootnoteReference"/>
          <w:rFonts w:ascii="Calibri" w:hAnsi="Calibri"/>
          <w:sz w:val="24"/>
          <w:szCs w:val="24"/>
        </w:rPr>
        <w:footnoteReference w:id="27"/>
      </w:r>
      <w:r>
        <w:rPr>
          <w:rFonts w:ascii="Calibri" w:hAnsi="Calibri"/>
          <w:sz w:val="24"/>
          <w:szCs w:val="24"/>
        </w:rPr>
        <w:t>.’ It is also mentioned in the Anglo-Saxon Chronicles. All commentators seem agreed that it was significant.</w:t>
      </w:r>
    </w:p>
    <w:p w14:paraId="63191872" w14:textId="77777777" w:rsidR="00340C87" w:rsidRDefault="00340C87" w:rsidP="00340C87">
      <w:pPr>
        <w:spacing w:line="360" w:lineRule="auto"/>
        <w:rPr>
          <w:rFonts w:ascii="Calibri" w:hAnsi="Calibri"/>
          <w:sz w:val="24"/>
          <w:szCs w:val="24"/>
        </w:rPr>
      </w:pPr>
    </w:p>
    <w:p w14:paraId="54CBC2FA" w14:textId="77777777" w:rsidR="00340C87" w:rsidRDefault="00340C87" w:rsidP="00340C87">
      <w:pPr>
        <w:spacing w:line="360" w:lineRule="auto"/>
        <w:rPr>
          <w:rFonts w:ascii="Calibri" w:hAnsi="Calibri"/>
          <w:sz w:val="24"/>
          <w:szCs w:val="24"/>
        </w:rPr>
      </w:pPr>
      <w:r>
        <w:rPr>
          <w:rFonts w:ascii="Calibri" w:hAnsi="Calibri"/>
          <w:sz w:val="24"/>
          <w:szCs w:val="24"/>
        </w:rPr>
        <w:t>PEVENSEY</w:t>
      </w:r>
    </w:p>
    <w:p w14:paraId="2803CA70" w14:textId="77777777" w:rsidR="00340C87" w:rsidRPr="00CF3EBF" w:rsidRDefault="00340C87" w:rsidP="00340C87">
      <w:pPr>
        <w:spacing w:line="360" w:lineRule="auto"/>
        <w:rPr>
          <w:noProof/>
          <w:sz w:val="24"/>
          <w:szCs w:val="24"/>
        </w:rPr>
      </w:pPr>
      <w:r>
        <w:rPr>
          <w:rStyle w:val="FootnoteReference"/>
          <w:noProof/>
          <w:sz w:val="24"/>
          <w:szCs w:val="24"/>
        </w:rPr>
        <w:footnoteReference w:id="28"/>
      </w:r>
      <w:r>
        <w:rPr>
          <w:noProof/>
        </w:rPr>
        <w:drawing>
          <wp:anchor distT="0" distB="0" distL="114300" distR="114300" simplePos="0" relativeHeight="251662336" behindDoc="1" locked="0" layoutInCell="1" allowOverlap="1" wp14:anchorId="463FF448" wp14:editId="1E8B588F">
            <wp:simplePos x="0" y="0"/>
            <wp:positionH relativeFrom="column">
              <wp:posOffset>0</wp:posOffset>
            </wp:positionH>
            <wp:positionV relativeFrom="paragraph">
              <wp:posOffset>-2141</wp:posOffset>
            </wp:positionV>
            <wp:extent cx="3225209" cy="1925404"/>
            <wp:effectExtent l="0" t="0" r="0" b="0"/>
            <wp:wrapTight wrapText="bothSides">
              <wp:wrapPolygon edited="0">
                <wp:start x="0" y="0"/>
                <wp:lineTo x="0" y="21372"/>
                <wp:lineTo x="21434" y="21372"/>
                <wp:lineTo x="21434" y="0"/>
                <wp:lineTo x="0" y="0"/>
              </wp:wrapPolygon>
            </wp:wrapTight>
            <wp:docPr id="26" name="Picture 26" descr="http://anglosaxon.archeurope.info/uploads/images/Bayeux%20Tapestry/scene%2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anglosaxon.archeurope.info/uploads/images/Bayeux%20Tapestry/scene%205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25209" cy="1925404"/>
                    </a:xfrm>
                    <a:prstGeom prst="rect">
                      <a:avLst/>
                    </a:prstGeom>
                    <a:noFill/>
                    <a:ln>
                      <a:noFill/>
                    </a:ln>
                  </pic:spPr>
                </pic:pic>
              </a:graphicData>
            </a:graphic>
          </wp:anchor>
        </w:drawing>
      </w:r>
      <w:r w:rsidRPr="008651BD">
        <w:rPr>
          <w:noProof/>
          <w:sz w:val="24"/>
          <w:szCs w:val="24"/>
        </w:rPr>
        <w:t xml:space="preserve"> </w:t>
      </w:r>
      <w:r w:rsidRPr="00C62262">
        <w:rPr>
          <w:noProof/>
          <w:sz w:val="24"/>
          <w:szCs w:val="24"/>
        </w:rPr>
        <w:t>The site of the landing at Pevensey is generally agreed upon.</w:t>
      </w:r>
      <w:r>
        <w:rPr>
          <w:noProof/>
        </w:rPr>
        <w:t xml:space="preserve"> </w:t>
      </w:r>
      <w:r>
        <w:rPr>
          <w:rFonts w:ascii="Calibri" w:hAnsi="Calibri"/>
          <w:sz w:val="24"/>
          <w:szCs w:val="24"/>
        </w:rPr>
        <w:t>William of Poitiers says: ‘Carried by a favourable breeze to Pevensey, they [the Norman fleet] disembarked easily from the ships without having to offer battle</w:t>
      </w:r>
      <w:r>
        <w:rPr>
          <w:rStyle w:val="FootnoteReference"/>
          <w:rFonts w:ascii="Calibri" w:hAnsi="Calibri"/>
          <w:sz w:val="24"/>
          <w:szCs w:val="24"/>
        </w:rPr>
        <w:footnoteReference w:id="29"/>
      </w:r>
      <w:r>
        <w:rPr>
          <w:rFonts w:ascii="Calibri" w:hAnsi="Calibri"/>
          <w:sz w:val="24"/>
          <w:szCs w:val="24"/>
        </w:rPr>
        <w:t>.’</w:t>
      </w:r>
    </w:p>
    <w:p w14:paraId="3479E775" w14:textId="77777777" w:rsidR="00340C87" w:rsidRDefault="00340C87" w:rsidP="00340C87">
      <w:pPr>
        <w:spacing w:line="360" w:lineRule="auto"/>
        <w:rPr>
          <w:rFonts w:ascii="Calibri" w:hAnsi="Calibri"/>
          <w:sz w:val="24"/>
          <w:szCs w:val="24"/>
        </w:rPr>
      </w:pPr>
    </w:p>
    <w:p w14:paraId="43B132E5" w14:textId="77777777" w:rsidR="00340C87" w:rsidRDefault="00340C87" w:rsidP="00340C87">
      <w:pPr>
        <w:spacing w:line="360" w:lineRule="auto"/>
        <w:rPr>
          <w:rFonts w:ascii="Calibri" w:hAnsi="Calibri"/>
          <w:sz w:val="24"/>
          <w:szCs w:val="24"/>
        </w:rPr>
      </w:pPr>
      <w:r>
        <w:rPr>
          <w:rStyle w:val="FootnoteReference"/>
          <w:rFonts w:ascii="Calibri" w:hAnsi="Calibri"/>
          <w:sz w:val="24"/>
          <w:szCs w:val="24"/>
        </w:rPr>
        <w:footnoteReference w:id="30"/>
      </w:r>
      <w:r>
        <w:rPr>
          <w:noProof/>
        </w:rPr>
        <w:drawing>
          <wp:anchor distT="0" distB="0" distL="114300" distR="114300" simplePos="0" relativeHeight="251663360" behindDoc="1" locked="0" layoutInCell="1" allowOverlap="1" wp14:anchorId="62D116BA" wp14:editId="0A61C0EE">
            <wp:simplePos x="0" y="0"/>
            <wp:positionH relativeFrom="column">
              <wp:posOffset>0</wp:posOffset>
            </wp:positionH>
            <wp:positionV relativeFrom="paragraph">
              <wp:posOffset>-1964</wp:posOffset>
            </wp:positionV>
            <wp:extent cx="3225600" cy="1929600"/>
            <wp:effectExtent l="0" t="0" r="0" b="0"/>
            <wp:wrapTight wrapText="bothSides">
              <wp:wrapPolygon edited="0">
                <wp:start x="0" y="0"/>
                <wp:lineTo x="0" y="21330"/>
                <wp:lineTo x="21434" y="21330"/>
                <wp:lineTo x="21434" y="0"/>
                <wp:lineTo x="0" y="0"/>
              </wp:wrapPolygon>
            </wp:wrapTight>
            <wp:docPr id="28" name="Picture 28" descr="http://anglosaxon.archeurope.info/uploads/images/Bayeux%20Tapestry/scene%20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anglosaxon.archeurope.info/uploads/images/Bayeux%20Tapestry/scene%206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25600" cy="1929600"/>
                    </a:xfrm>
                    <a:prstGeom prst="rect">
                      <a:avLst/>
                    </a:prstGeom>
                    <a:noFill/>
                    <a:ln>
                      <a:noFill/>
                    </a:ln>
                  </pic:spPr>
                </pic:pic>
              </a:graphicData>
            </a:graphic>
          </wp:anchor>
        </w:drawing>
      </w:r>
      <w:r>
        <w:rPr>
          <w:rFonts w:ascii="Calibri" w:hAnsi="Calibri"/>
          <w:sz w:val="24"/>
          <w:szCs w:val="24"/>
        </w:rPr>
        <w:t xml:space="preserve"> Orderic Vitalis goes on to tell us that the Normans built there ‘a strongly entrenched fortification’ and then did the same in Hastings</w:t>
      </w:r>
      <w:r>
        <w:rPr>
          <w:rStyle w:val="FootnoteReference"/>
          <w:rFonts w:ascii="Calibri" w:hAnsi="Calibri"/>
          <w:sz w:val="24"/>
          <w:szCs w:val="24"/>
        </w:rPr>
        <w:footnoteReference w:id="31"/>
      </w:r>
      <w:r>
        <w:rPr>
          <w:rFonts w:ascii="Calibri" w:hAnsi="Calibri"/>
          <w:sz w:val="24"/>
          <w:szCs w:val="24"/>
        </w:rPr>
        <w:t>. The D version of the Anglo-Saxon Chronicle agrees with this</w:t>
      </w:r>
      <w:r>
        <w:rPr>
          <w:rStyle w:val="FootnoteReference"/>
          <w:rFonts w:ascii="Calibri" w:hAnsi="Calibri"/>
          <w:sz w:val="24"/>
          <w:szCs w:val="24"/>
        </w:rPr>
        <w:footnoteReference w:id="32"/>
      </w:r>
      <w:r>
        <w:rPr>
          <w:rFonts w:ascii="Calibri" w:hAnsi="Calibri"/>
          <w:sz w:val="24"/>
          <w:szCs w:val="24"/>
        </w:rPr>
        <w:t xml:space="preserve"> as does William of Poitiers</w:t>
      </w:r>
      <w:r>
        <w:rPr>
          <w:rStyle w:val="FootnoteReference"/>
          <w:rFonts w:ascii="Calibri" w:hAnsi="Calibri"/>
          <w:sz w:val="24"/>
          <w:szCs w:val="24"/>
        </w:rPr>
        <w:footnoteReference w:id="33"/>
      </w:r>
      <w:r>
        <w:rPr>
          <w:rFonts w:ascii="Calibri" w:hAnsi="Calibri"/>
          <w:sz w:val="24"/>
          <w:szCs w:val="24"/>
        </w:rPr>
        <w:t>.</w:t>
      </w:r>
    </w:p>
    <w:p w14:paraId="7FFA484A" w14:textId="77777777" w:rsidR="00340C87" w:rsidRDefault="00340C87" w:rsidP="00340C87">
      <w:pPr>
        <w:spacing w:line="360" w:lineRule="auto"/>
        <w:rPr>
          <w:rFonts w:ascii="Calibri" w:hAnsi="Calibri"/>
          <w:sz w:val="24"/>
          <w:szCs w:val="24"/>
        </w:rPr>
      </w:pPr>
    </w:p>
    <w:p w14:paraId="3FB43B90" w14:textId="77777777" w:rsidR="00340C87" w:rsidRDefault="00340C87" w:rsidP="00340C87">
      <w:pPr>
        <w:spacing w:line="360" w:lineRule="auto"/>
        <w:rPr>
          <w:rFonts w:ascii="Calibri" w:hAnsi="Calibri"/>
          <w:sz w:val="24"/>
          <w:szCs w:val="24"/>
        </w:rPr>
      </w:pPr>
      <w:r>
        <w:rPr>
          <w:rFonts w:ascii="Calibri" w:hAnsi="Calibri"/>
          <w:sz w:val="24"/>
          <w:szCs w:val="24"/>
        </w:rPr>
        <w:t>THE SAXONS DEFEND A HILL</w:t>
      </w:r>
    </w:p>
    <w:p w14:paraId="005DE6BF" w14:textId="77777777" w:rsidR="00340C87" w:rsidRPr="00747CE7" w:rsidRDefault="00340C87" w:rsidP="00340C87">
      <w:pPr>
        <w:spacing w:line="360" w:lineRule="auto"/>
        <w:rPr>
          <w:rFonts w:ascii="Calibri" w:hAnsi="Calibri"/>
          <w:sz w:val="24"/>
          <w:szCs w:val="24"/>
        </w:rPr>
      </w:pPr>
      <w:r>
        <w:rPr>
          <w:rStyle w:val="FootnoteReference"/>
          <w:rFonts w:ascii="Calibri" w:hAnsi="Calibri"/>
          <w:sz w:val="24"/>
          <w:szCs w:val="24"/>
        </w:rPr>
        <w:footnoteReference w:id="34"/>
      </w:r>
      <w:r>
        <w:rPr>
          <w:noProof/>
        </w:rPr>
        <w:drawing>
          <wp:anchor distT="0" distB="0" distL="114300" distR="114300" simplePos="0" relativeHeight="251664384" behindDoc="1" locked="0" layoutInCell="1" allowOverlap="1" wp14:anchorId="63331864" wp14:editId="3A3B9B6E">
            <wp:simplePos x="0" y="0"/>
            <wp:positionH relativeFrom="column">
              <wp:posOffset>0</wp:posOffset>
            </wp:positionH>
            <wp:positionV relativeFrom="paragraph">
              <wp:posOffset>2082</wp:posOffset>
            </wp:positionV>
            <wp:extent cx="2941320" cy="1508734"/>
            <wp:effectExtent l="0" t="0" r="0" b="0"/>
            <wp:wrapTight wrapText="bothSides">
              <wp:wrapPolygon edited="0">
                <wp:start x="0" y="0"/>
                <wp:lineTo x="0" y="21282"/>
                <wp:lineTo x="21404" y="21282"/>
                <wp:lineTo x="21404" y="0"/>
                <wp:lineTo x="0" y="0"/>
              </wp:wrapPolygon>
            </wp:wrapTight>
            <wp:docPr id="32" name="Picture 32" descr="http://anglosaxon.archeurope.info/uploads/images/Bayeux%20Tapestry/scene%20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anglosaxon.archeurope.info/uploads/images/Bayeux%20Tapestry/scene%2081.jpg"/>
                    <pic:cNvPicPr>
                      <a:picLocks noChangeAspect="1" noChangeArrowheads="1"/>
                    </pic:cNvPicPr>
                  </pic:nvPicPr>
                  <pic:blipFill rotWithShape="1">
                    <a:blip r:embed="rId14">
                      <a:extLst>
                        <a:ext uri="{28A0092B-C50C-407E-A947-70E740481C1C}">
                          <a14:useLocalDpi xmlns:a14="http://schemas.microsoft.com/office/drawing/2010/main" val="0"/>
                        </a:ext>
                      </a:extLst>
                    </a:blip>
                    <a:srcRect t="14809"/>
                    <a:stretch/>
                  </pic:blipFill>
                  <pic:spPr bwMode="auto">
                    <a:xfrm>
                      <a:off x="0" y="0"/>
                      <a:ext cx="2941320" cy="1508734"/>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Calibri" w:hAnsi="Calibri"/>
          <w:sz w:val="24"/>
          <w:szCs w:val="24"/>
        </w:rPr>
        <w:t xml:space="preserve"> During the battle depiction, a group of Saxons is seen defending a hill with Normans </w:t>
      </w:r>
      <w:r w:rsidRPr="00B3130B">
        <w:rPr>
          <w:rFonts w:cstheme="minorHAnsi"/>
          <w:sz w:val="24"/>
          <w:szCs w:val="24"/>
        </w:rPr>
        <w:t xml:space="preserve">attacking. </w:t>
      </w:r>
      <w:r>
        <w:rPr>
          <w:rFonts w:cstheme="minorHAnsi"/>
          <w:sz w:val="24"/>
          <w:szCs w:val="24"/>
        </w:rPr>
        <w:t xml:space="preserve">William of Poitiers says: ‘they [Harold et al.] took their stand on higher ground, on a hill near to the wood… they lined up all on foot in a dense </w:t>
      </w:r>
      <w:r>
        <w:rPr>
          <w:rFonts w:cstheme="minorHAnsi"/>
          <w:sz w:val="24"/>
          <w:szCs w:val="24"/>
        </w:rPr>
        <w:lastRenderedPageBreak/>
        <w:t xml:space="preserve">formation’ and </w:t>
      </w:r>
      <w:r w:rsidRPr="00B3130B">
        <w:rPr>
          <w:rFonts w:cstheme="minorHAnsi"/>
          <w:color w:val="000000"/>
          <w:sz w:val="24"/>
          <w:szCs w:val="24"/>
        </w:rPr>
        <w:t>William of Malmesbury: ‘Getting possession of an eminence, they drove back the Normans, who in the heat of pursuit were struggling up the slope, into the valley beneath, where, by hurling their javelins and rolling down stones on them as they stood below, the English easily destroyed them to a man</w:t>
      </w:r>
      <w:r w:rsidRPr="00B3130B">
        <w:rPr>
          <w:rStyle w:val="FootnoteReference"/>
          <w:rFonts w:cstheme="minorHAnsi"/>
          <w:color w:val="000000"/>
          <w:sz w:val="24"/>
          <w:szCs w:val="24"/>
        </w:rPr>
        <w:footnoteReference w:id="35"/>
      </w:r>
      <w:r w:rsidRPr="00B3130B">
        <w:rPr>
          <w:rFonts w:cstheme="minorHAnsi"/>
          <w:color w:val="000000"/>
          <w:sz w:val="24"/>
          <w:szCs w:val="24"/>
        </w:rPr>
        <w:t>. </w:t>
      </w:r>
      <w:r>
        <w:rPr>
          <w:rFonts w:cstheme="minorHAnsi"/>
          <w:color w:val="000000"/>
          <w:sz w:val="24"/>
          <w:szCs w:val="24"/>
        </w:rPr>
        <w:t xml:space="preserve">This latter is more in favour of the English. The </w:t>
      </w:r>
      <w:r w:rsidRPr="00F2423B">
        <w:rPr>
          <w:rFonts w:cstheme="minorHAnsi"/>
          <w:i/>
          <w:sz w:val="24"/>
          <w:szCs w:val="24"/>
        </w:rPr>
        <w:t>Carmen de Hastingae</w:t>
      </w:r>
      <w:r>
        <w:rPr>
          <w:rFonts w:cstheme="minorHAnsi"/>
          <w:sz w:val="24"/>
          <w:szCs w:val="24"/>
        </w:rPr>
        <w:t>: ‘Near the forest was a hill and a valley and land too rough to be tilled. The English, as was their custom, advanced in mass formation and seized this position on which to fight</w:t>
      </w:r>
      <w:r>
        <w:rPr>
          <w:rStyle w:val="FootnoteReference"/>
          <w:rFonts w:cstheme="minorHAnsi"/>
          <w:sz w:val="24"/>
          <w:szCs w:val="24"/>
        </w:rPr>
        <w:footnoteReference w:id="36"/>
      </w:r>
      <w:r>
        <w:rPr>
          <w:rFonts w:cstheme="minorHAnsi"/>
          <w:sz w:val="24"/>
          <w:szCs w:val="24"/>
        </w:rPr>
        <w:t>.’</w:t>
      </w:r>
    </w:p>
    <w:p w14:paraId="2D69E24A" w14:textId="77777777" w:rsidR="00340C87" w:rsidRDefault="00340C87" w:rsidP="00340C87">
      <w:pPr>
        <w:spacing w:line="360" w:lineRule="auto"/>
        <w:rPr>
          <w:rFonts w:cstheme="minorHAnsi"/>
          <w:sz w:val="24"/>
          <w:szCs w:val="24"/>
        </w:rPr>
      </w:pPr>
    </w:p>
    <w:p w14:paraId="521AED80" w14:textId="77777777" w:rsidR="00340C87" w:rsidRDefault="00340C87" w:rsidP="00340C87">
      <w:pPr>
        <w:spacing w:line="360" w:lineRule="auto"/>
        <w:rPr>
          <w:sz w:val="24"/>
          <w:szCs w:val="24"/>
        </w:rPr>
      </w:pPr>
      <w:r>
        <w:rPr>
          <w:sz w:val="24"/>
          <w:szCs w:val="24"/>
        </w:rPr>
        <w:t>THE DEATH OF HAROLD</w:t>
      </w:r>
    </w:p>
    <w:p w14:paraId="6E162DB3" w14:textId="77777777" w:rsidR="00340C87" w:rsidRDefault="00340C87" w:rsidP="00340C87">
      <w:pPr>
        <w:spacing w:line="360" w:lineRule="auto"/>
        <w:rPr>
          <w:rFonts w:cstheme="minorHAnsi"/>
          <w:sz w:val="24"/>
          <w:szCs w:val="24"/>
        </w:rPr>
      </w:pPr>
      <w:r>
        <w:rPr>
          <w:rStyle w:val="FootnoteReference"/>
          <w:sz w:val="24"/>
          <w:szCs w:val="24"/>
        </w:rPr>
        <w:footnoteReference w:id="37"/>
      </w:r>
      <w:r>
        <w:rPr>
          <w:noProof/>
        </w:rPr>
        <w:drawing>
          <wp:anchor distT="0" distB="0" distL="114300" distR="114300" simplePos="0" relativeHeight="251665408" behindDoc="1" locked="0" layoutInCell="1" allowOverlap="1" wp14:anchorId="1BC6A268" wp14:editId="2E512249">
            <wp:simplePos x="0" y="0"/>
            <wp:positionH relativeFrom="column">
              <wp:posOffset>0</wp:posOffset>
            </wp:positionH>
            <wp:positionV relativeFrom="paragraph">
              <wp:posOffset>-2732</wp:posOffset>
            </wp:positionV>
            <wp:extent cx="3679170" cy="2200939"/>
            <wp:effectExtent l="0" t="0" r="0" b="8890"/>
            <wp:wrapTight wrapText="bothSides">
              <wp:wrapPolygon edited="0">
                <wp:start x="0" y="0"/>
                <wp:lineTo x="0" y="21500"/>
                <wp:lineTo x="21477" y="21500"/>
                <wp:lineTo x="21477" y="0"/>
                <wp:lineTo x="0" y="0"/>
              </wp:wrapPolygon>
            </wp:wrapTight>
            <wp:docPr id="36" name="Picture 36" descr="http://anglosaxon.archeurope.info/uploads/images/Bayeux%20Tapestry/scene%20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anglosaxon.archeurope.info/uploads/images/Bayeux%20Tapestry/scene%2086.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79170" cy="2200939"/>
                    </a:xfrm>
                    <a:prstGeom prst="rect">
                      <a:avLst/>
                    </a:prstGeom>
                    <a:noFill/>
                    <a:ln>
                      <a:noFill/>
                    </a:ln>
                  </pic:spPr>
                </pic:pic>
              </a:graphicData>
            </a:graphic>
          </wp:anchor>
        </w:drawing>
      </w:r>
      <w:r>
        <w:rPr>
          <w:sz w:val="24"/>
          <w:szCs w:val="24"/>
        </w:rPr>
        <w:t xml:space="preserve"> Perhaps the most famous scene is towards the end with a figure usually thought to be Harold holding the shaft of an arrow which seems to protrude from his eye. This scene in the Tapestry is uncertain: there has been repair in this area, and it is not completely certain that the figure in question is Harold. That the specific circumstance of Harold’s death is not mentioned in any other contemporary source is suspicious in itself. </w:t>
      </w:r>
      <w:r w:rsidRPr="00EE1978">
        <w:rPr>
          <w:rFonts w:cstheme="minorHAnsi"/>
          <w:color w:val="000000"/>
          <w:sz w:val="24"/>
          <w:szCs w:val="24"/>
        </w:rPr>
        <w:t>William of Malmesbury</w:t>
      </w:r>
      <w:r>
        <w:rPr>
          <w:rFonts w:cstheme="minorHAnsi"/>
          <w:color w:val="000000"/>
          <w:sz w:val="24"/>
          <w:szCs w:val="24"/>
        </w:rPr>
        <w:t xml:space="preserve"> says:</w:t>
      </w:r>
      <w:r w:rsidRPr="00EE1978">
        <w:rPr>
          <w:rFonts w:cstheme="minorHAnsi"/>
          <w:color w:val="000000"/>
          <w:sz w:val="24"/>
          <w:szCs w:val="24"/>
        </w:rPr>
        <w:t xml:space="preserve"> ‘He </w:t>
      </w:r>
      <w:r>
        <w:rPr>
          <w:rFonts w:cstheme="minorHAnsi"/>
          <w:color w:val="000000"/>
          <w:sz w:val="24"/>
          <w:szCs w:val="24"/>
        </w:rPr>
        <w:t xml:space="preserve">[Harold] </w:t>
      </w:r>
      <w:r w:rsidRPr="00EE1978">
        <w:rPr>
          <w:rFonts w:cstheme="minorHAnsi"/>
          <w:color w:val="000000"/>
          <w:sz w:val="24"/>
          <w:szCs w:val="24"/>
        </w:rPr>
        <w:t>was constantly striking down the enemy at close quarters, so that no one could approach him with impunity, for straightway both horse and rider would be felled by a single blow. So it was at long range, as I have said, that the enemy</w:t>
      </w:r>
      <w:r>
        <w:rPr>
          <w:rFonts w:cstheme="minorHAnsi"/>
          <w:color w:val="000000"/>
          <w:sz w:val="24"/>
          <w:szCs w:val="24"/>
        </w:rPr>
        <w:t>’</w:t>
      </w:r>
      <w:r w:rsidRPr="00EE1978">
        <w:rPr>
          <w:rFonts w:cstheme="minorHAnsi"/>
          <w:color w:val="000000"/>
          <w:sz w:val="24"/>
          <w:szCs w:val="24"/>
        </w:rPr>
        <w:t>s deadly arrow brought him to his death</w:t>
      </w:r>
      <w:r w:rsidRPr="00EE1978">
        <w:rPr>
          <w:rStyle w:val="FootnoteReference"/>
          <w:rFonts w:cstheme="minorHAnsi"/>
          <w:color w:val="000000"/>
          <w:sz w:val="24"/>
          <w:szCs w:val="24"/>
        </w:rPr>
        <w:footnoteReference w:id="38"/>
      </w:r>
      <w:r w:rsidRPr="00EE1978">
        <w:rPr>
          <w:rFonts w:cstheme="minorHAnsi"/>
          <w:color w:val="000000"/>
          <w:sz w:val="24"/>
          <w:szCs w:val="24"/>
        </w:rPr>
        <w:t>.</w:t>
      </w:r>
      <w:r>
        <w:rPr>
          <w:rFonts w:cstheme="minorHAnsi"/>
          <w:color w:val="000000"/>
          <w:sz w:val="24"/>
          <w:szCs w:val="24"/>
        </w:rPr>
        <w:t xml:space="preserve"> </w:t>
      </w:r>
      <w:r w:rsidRPr="00EE1978">
        <w:rPr>
          <w:rFonts w:cstheme="minorHAnsi"/>
          <w:sz w:val="24"/>
          <w:szCs w:val="24"/>
        </w:rPr>
        <w:t>William</w:t>
      </w:r>
      <w:r>
        <w:rPr>
          <w:sz w:val="24"/>
          <w:szCs w:val="24"/>
        </w:rPr>
        <w:t xml:space="preserve"> of Jumieges says only that ‘Harold himself fell mortally wounded, at the first encounter of the troops</w:t>
      </w:r>
      <w:r>
        <w:rPr>
          <w:rStyle w:val="FootnoteReference"/>
          <w:sz w:val="24"/>
          <w:szCs w:val="24"/>
        </w:rPr>
        <w:footnoteReference w:id="39"/>
      </w:r>
      <w:r>
        <w:rPr>
          <w:sz w:val="24"/>
          <w:szCs w:val="24"/>
        </w:rPr>
        <w:t xml:space="preserve">. William of Newburgh has only this to </w:t>
      </w:r>
      <w:r w:rsidRPr="005F698D">
        <w:rPr>
          <w:rFonts w:cstheme="minorHAnsi"/>
          <w:sz w:val="24"/>
          <w:szCs w:val="24"/>
        </w:rPr>
        <w:t>say: ‘</w:t>
      </w:r>
      <w:r w:rsidRPr="005F698D">
        <w:rPr>
          <w:rFonts w:cstheme="minorHAnsi"/>
          <w:color w:val="000000"/>
          <w:sz w:val="24"/>
          <w:szCs w:val="24"/>
        </w:rPr>
        <w:t>The latter</w:t>
      </w:r>
      <w:r>
        <w:rPr>
          <w:rFonts w:cstheme="minorHAnsi"/>
          <w:color w:val="000000"/>
          <w:sz w:val="24"/>
          <w:szCs w:val="24"/>
        </w:rPr>
        <w:t xml:space="preserve"> [Harold]</w:t>
      </w:r>
      <w:r w:rsidRPr="005F698D">
        <w:rPr>
          <w:rFonts w:cstheme="minorHAnsi"/>
          <w:color w:val="000000"/>
          <w:sz w:val="24"/>
          <w:szCs w:val="24"/>
        </w:rPr>
        <w:t xml:space="preserve"> falling by the chance of battle…</w:t>
      </w:r>
      <w:r>
        <w:rPr>
          <w:rStyle w:val="FootnoteReference"/>
          <w:rFonts w:cstheme="minorHAnsi"/>
          <w:color w:val="000000"/>
          <w:sz w:val="24"/>
          <w:szCs w:val="24"/>
        </w:rPr>
        <w:footnoteReference w:id="40"/>
      </w:r>
      <w:r w:rsidRPr="005F698D">
        <w:rPr>
          <w:rFonts w:cstheme="minorHAnsi"/>
          <w:color w:val="000000"/>
          <w:sz w:val="24"/>
          <w:szCs w:val="24"/>
        </w:rPr>
        <w:t>’</w:t>
      </w:r>
      <w:r>
        <w:rPr>
          <w:rFonts w:cstheme="minorHAnsi"/>
          <w:color w:val="000000"/>
          <w:sz w:val="24"/>
          <w:szCs w:val="24"/>
        </w:rPr>
        <w:t xml:space="preserve"> Henry of Huntingdon: ‘Meanwhile the whole shower sent by the archers fell around King Harold, and </w:t>
      </w:r>
      <w:r>
        <w:rPr>
          <w:rFonts w:cstheme="minorHAnsi"/>
          <w:color w:val="000000"/>
          <w:sz w:val="24"/>
          <w:szCs w:val="24"/>
        </w:rPr>
        <w:lastRenderedPageBreak/>
        <w:t>he himself sank to the ground, struck in the eye</w:t>
      </w:r>
      <w:r>
        <w:rPr>
          <w:rStyle w:val="FootnoteReference"/>
          <w:rFonts w:cstheme="minorHAnsi"/>
          <w:color w:val="000000"/>
          <w:sz w:val="24"/>
          <w:szCs w:val="24"/>
        </w:rPr>
        <w:footnoteReference w:id="41"/>
      </w:r>
      <w:r>
        <w:rPr>
          <w:rFonts w:cstheme="minorHAnsi"/>
          <w:color w:val="000000"/>
          <w:sz w:val="24"/>
          <w:szCs w:val="24"/>
        </w:rPr>
        <w:t xml:space="preserve">.’ </w:t>
      </w:r>
      <w:r>
        <w:rPr>
          <w:rFonts w:cstheme="minorHAnsi"/>
          <w:sz w:val="24"/>
          <w:szCs w:val="24"/>
        </w:rPr>
        <w:t xml:space="preserve">The </w:t>
      </w:r>
      <w:r w:rsidRPr="00367915">
        <w:rPr>
          <w:rFonts w:cstheme="minorHAnsi"/>
          <w:i/>
          <w:sz w:val="24"/>
          <w:szCs w:val="24"/>
        </w:rPr>
        <w:t>Carmen de Hastingae</w:t>
      </w:r>
      <w:r>
        <w:rPr>
          <w:rFonts w:cstheme="minorHAnsi"/>
          <w:sz w:val="24"/>
          <w:szCs w:val="24"/>
        </w:rPr>
        <w:t xml:space="preserve"> tells us that William with three knights attacked Harold: ‘The first of the four, piercing the king’s shield and chest with his lance, drenched the ground with a gushing stream of blood. The second with his sword cut of his head below the protection of his helm. The third liquefied his entrails with his spear. And the fourth cut off his thigh and carried it some distance away</w:t>
      </w:r>
      <w:r>
        <w:rPr>
          <w:rStyle w:val="FootnoteReference"/>
          <w:rFonts w:cstheme="minorHAnsi"/>
          <w:sz w:val="24"/>
          <w:szCs w:val="24"/>
        </w:rPr>
        <w:footnoteReference w:id="42"/>
      </w:r>
      <w:r>
        <w:rPr>
          <w:rFonts w:cstheme="minorHAnsi"/>
          <w:sz w:val="24"/>
          <w:szCs w:val="24"/>
        </w:rPr>
        <w:t xml:space="preserve">.’ </w:t>
      </w:r>
      <w:r>
        <w:rPr>
          <w:sz w:val="24"/>
          <w:szCs w:val="24"/>
        </w:rPr>
        <w:t xml:space="preserve">The translation of Amatus of Montecassino’s </w:t>
      </w:r>
      <w:r w:rsidRPr="005E07F7">
        <w:rPr>
          <w:i/>
          <w:sz w:val="24"/>
          <w:szCs w:val="24"/>
        </w:rPr>
        <w:t>Historia Normannorum</w:t>
      </w:r>
      <w:r>
        <w:rPr>
          <w:sz w:val="24"/>
          <w:szCs w:val="24"/>
        </w:rPr>
        <w:t xml:space="preserve"> in the early fourteenth century says that William gouged out the eye with an arrow, not that Harold was shot in the eye</w:t>
      </w:r>
      <w:r>
        <w:rPr>
          <w:rStyle w:val="FootnoteReference"/>
          <w:sz w:val="24"/>
          <w:szCs w:val="24"/>
        </w:rPr>
        <w:footnoteReference w:id="43"/>
      </w:r>
      <w:r>
        <w:rPr>
          <w:sz w:val="24"/>
          <w:szCs w:val="24"/>
        </w:rPr>
        <w:t xml:space="preserve">. The fact that Amatus original text is lost and what remains is a not particularly reliable translation leads one to think that one should not put too much faith in this work. </w:t>
      </w:r>
      <w:r>
        <w:rPr>
          <w:rFonts w:cstheme="minorHAnsi"/>
          <w:sz w:val="24"/>
          <w:szCs w:val="24"/>
        </w:rPr>
        <w:t xml:space="preserve"> The question of Harold’s death has become so muddied with time that it is now impossible to know which account is true.</w:t>
      </w:r>
    </w:p>
    <w:p w14:paraId="63E422F0" w14:textId="77777777" w:rsidR="00340C87" w:rsidRPr="005F698D" w:rsidRDefault="00340C87" w:rsidP="00340C87">
      <w:pPr>
        <w:spacing w:line="360" w:lineRule="auto"/>
        <w:rPr>
          <w:rFonts w:cstheme="minorHAnsi"/>
          <w:sz w:val="24"/>
          <w:szCs w:val="24"/>
        </w:rPr>
      </w:pPr>
    </w:p>
    <w:p w14:paraId="421D3538" w14:textId="77777777" w:rsidR="00340C87" w:rsidRDefault="00340C87" w:rsidP="00340C87">
      <w:pPr>
        <w:spacing w:line="360" w:lineRule="auto"/>
        <w:rPr>
          <w:sz w:val="24"/>
          <w:szCs w:val="24"/>
        </w:rPr>
      </w:pPr>
      <w:r>
        <w:rPr>
          <w:sz w:val="24"/>
          <w:szCs w:val="24"/>
        </w:rPr>
        <w:t xml:space="preserve">Something which should be addressed here is relative meaning of history both for us as twenty first century historians and for the intended audiences of these primary sources. Although we may require facts and the analysis of those facts now, a thousand years ago the purpose of a </w:t>
      </w:r>
      <w:r w:rsidRPr="004F60B0">
        <w:rPr>
          <w:i/>
          <w:sz w:val="24"/>
          <w:szCs w:val="24"/>
        </w:rPr>
        <w:t>Historia</w:t>
      </w:r>
      <w:r>
        <w:rPr>
          <w:sz w:val="24"/>
          <w:szCs w:val="24"/>
        </w:rPr>
        <w:t xml:space="preserve"> was different: the writer needed to find approval from the person commissioning the work and he needed to convince his audience that what he said was right (not necessarily true). We can see from the variety of primary source material used that right and true were not always the same: what was right for William the Conqueror and his followers was not necessarily so for an Anglo-Saxon, displaced from his home and deprived of his title. What we would now consider the facts of the conquest take on different colouring for different participants in those events. Many of the events portrayed in the Tapestry happened, others may have happened, some probably did not. That is not the point of the Tapestry: it was designed and made to convey a point of view: that of the conquerors of Hastings.</w:t>
      </w:r>
    </w:p>
    <w:p w14:paraId="758F6BA0" w14:textId="77777777" w:rsidR="00340C87" w:rsidRDefault="00340C87" w:rsidP="00340C87">
      <w:pPr>
        <w:spacing w:line="360" w:lineRule="auto"/>
        <w:rPr>
          <w:sz w:val="24"/>
          <w:szCs w:val="24"/>
        </w:rPr>
      </w:pPr>
    </w:p>
    <w:p w14:paraId="1A20C181" w14:textId="77777777" w:rsidR="00340C87" w:rsidRDefault="00340C87" w:rsidP="00340C87">
      <w:pPr>
        <w:spacing w:line="360" w:lineRule="auto"/>
        <w:rPr>
          <w:sz w:val="24"/>
          <w:szCs w:val="24"/>
        </w:rPr>
      </w:pPr>
      <w:r>
        <w:rPr>
          <w:sz w:val="24"/>
          <w:szCs w:val="24"/>
        </w:rPr>
        <w:lastRenderedPageBreak/>
        <w:t>Shortly after the scene showing Harold’s death the Tapestry ends abruptly and perhaps appropriately with fleeing Saxons. How much has been lost can never be known, but we may assume that it went on to show William’s coronation. What remains, presumably the great bulk of the work, is now a national treasure to both the countries involved in the battle and although the Tapestry has been shown to be unreliable to our twenty-first century minds, for the audience for whom it was created I suspect it sufficed.</w:t>
      </w:r>
    </w:p>
    <w:p w14:paraId="75AC2663" w14:textId="77777777" w:rsidR="00340C87" w:rsidRDefault="00340C87" w:rsidP="00340C87">
      <w:pPr>
        <w:spacing w:line="360" w:lineRule="auto"/>
        <w:rPr>
          <w:sz w:val="24"/>
          <w:szCs w:val="24"/>
        </w:rPr>
      </w:pPr>
    </w:p>
    <w:p w14:paraId="68498A77" w14:textId="77777777" w:rsidR="00340C87" w:rsidRPr="008F7C48" w:rsidRDefault="00340C87" w:rsidP="00340C87">
      <w:pPr>
        <w:spacing w:line="240" w:lineRule="auto"/>
        <w:rPr>
          <w:rFonts w:ascii="Calibri" w:hAnsi="Calibri"/>
          <w:sz w:val="20"/>
          <w:szCs w:val="20"/>
        </w:rPr>
      </w:pPr>
      <w:r w:rsidRPr="008F7C48">
        <w:rPr>
          <w:rFonts w:ascii="Calibri" w:hAnsi="Calibri"/>
          <w:sz w:val="20"/>
          <w:szCs w:val="20"/>
        </w:rPr>
        <w:t>BIBLIOGRAPHY</w:t>
      </w:r>
    </w:p>
    <w:p w14:paraId="6851E3A6" w14:textId="77777777" w:rsidR="00340C87" w:rsidRPr="008F7C48" w:rsidRDefault="00340C87" w:rsidP="00340C87">
      <w:pPr>
        <w:spacing w:line="360" w:lineRule="auto"/>
        <w:rPr>
          <w:sz w:val="20"/>
          <w:szCs w:val="20"/>
        </w:rPr>
      </w:pPr>
      <w:r w:rsidRPr="008F7C48">
        <w:rPr>
          <w:sz w:val="20"/>
          <w:szCs w:val="20"/>
        </w:rPr>
        <w:t xml:space="preserve">All tapestry images from the Anglo-Saxon Archaeology website: </w:t>
      </w:r>
      <w:hyperlink r:id="rId16" w:history="1">
        <w:r w:rsidRPr="008F7C48">
          <w:rPr>
            <w:rStyle w:val="Hyperlink"/>
            <w:sz w:val="20"/>
            <w:szCs w:val="20"/>
          </w:rPr>
          <w:t>http://anglosaxon.archeurope.info/index.php?page=bayeux-tapestry</w:t>
        </w:r>
      </w:hyperlink>
    </w:p>
    <w:p w14:paraId="28975124" w14:textId="77777777" w:rsidR="00340C87" w:rsidRDefault="00340C87" w:rsidP="00340C87">
      <w:pPr>
        <w:spacing w:after="0" w:line="360" w:lineRule="auto"/>
        <w:rPr>
          <w:rFonts w:eastAsia="Times New Roman" w:cs="Times New Roman"/>
          <w:sz w:val="20"/>
          <w:szCs w:val="20"/>
          <w:lang w:eastAsia="en-GB"/>
        </w:rPr>
      </w:pPr>
      <w:r w:rsidRPr="008F7C48">
        <w:rPr>
          <w:rFonts w:eastAsia="Times New Roman" w:cs="Times New Roman"/>
          <w:sz w:val="20"/>
          <w:szCs w:val="20"/>
          <w:lang w:eastAsia="en-GB"/>
        </w:rPr>
        <w:t>Amatus</w:t>
      </w:r>
      <w:r w:rsidRPr="008C2F76">
        <w:rPr>
          <w:rFonts w:eastAsia="Times New Roman" w:cs="Times New Roman"/>
          <w:sz w:val="20"/>
          <w:szCs w:val="20"/>
          <w:lang w:eastAsia="en-GB"/>
        </w:rPr>
        <w:t xml:space="preserve"> of Montecassino, </w:t>
      </w:r>
      <w:r w:rsidRPr="008C2F76">
        <w:rPr>
          <w:rFonts w:eastAsia="Times New Roman" w:cs="Times New Roman"/>
          <w:i/>
          <w:sz w:val="20"/>
          <w:szCs w:val="20"/>
          <w:lang w:eastAsia="en-GB"/>
        </w:rPr>
        <w:t>The History of the Normans,</w:t>
      </w:r>
      <w:r w:rsidRPr="008C2F76">
        <w:rPr>
          <w:rFonts w:eastAsia="Times New Roman" w:cs="Times New Roman"/>
          <w:sz w:val="20"/>
          <w:szCs w:val="20"/>
          <w:lang w:eastAsia="en-GB"/>
        </w:rPr>
        <w:t xml:space="preserve"> ed. &amp; trans. Dunbar, Prescott H, intro. Loud,</w:t>
      </w:r>
      <w:r w:rsidRPr="008C2F76">
        <w:rPr>
          <w:rFonts w:eastAsia="Times New Roman" w:cs="Times New Roman"/>
          <w:sz w:val="20"/>
          <w:szCs w:val="20"/>
          <w:lang w:eastAsia="en-GB"/>
        </w:rPr>
        <w:tab/>
        <w:t>Graham (Woodbridge: The Boydell Press, 2004)</w:t>
      </w:r>
    </w:p>
    <w:p w14:paraId="501092E4" w14:textId="77777777" w:rsidR="00340C87" w:rsidRDefault="00340C87" w:rsidP="00340C87">
      <w:pPr>
        <w:spacing w:after="0" w:line="240" w:lineRule="auto"/>
        <w:contextualSpacing/>
        <w:rPr>
          <w:rFonts w:eastAsiaTheme="minorEastAsia" w:cstheme="minorHAnsi"/>
          <w:color w:val="000000" w:themeColor="text1"/>
          <w:kern w:val="24"/>
          <w:sz w:val="20"/>
          <w:szCs w:val="20"/>
          <w:lang w:eastAsia="en-GB"/>
        </w:rPr>
      </w:pPr>
      <w:r w:rsidRPr="00856FD4">
        <w:rPr>
          <w:rFonts w:eastAsia="Times New Roman" w:cs="Times New Roman"/>
          <w:i/>
          <w:sz w:val="20"/>
          <w:szCs w:val="20"/>
          <w:lang w:eastAsia="en-GB"/>
        </w:rPr>
        <w:t>The Anglo-Saxon Chronicle</w:t>
      </w:r>
      <w:r>
        <w:rPr>
          <w:rFonts w:eastAsia="Times New Roman" w:cs="Times New Roman"/>
          <w:sz w:val="20"/>
          <w:szCs w:val="20"/>
          <w:lang w:eastAsia="en-GB"/>
        </w:rPr>
        <w:t xml:space="preserve">, ed. &amp; trans. </w:t>
      </w:r>
      <w:r>
        <w:rPr>
          <w:rFonts w:eastAsiaTheme="minorEastAsia" w:cstheme="minorHAnsi"/>
          <w:color w:val="000000" w:themeColor="text1"/>
          <w:kern w:val="24"/>
          <w:sz w:val="20"/>
          <w:szCs w:val="20"/>
          <w:lang w:eastAsia="en-GB"/>
        </w:rPr>
        <w:t>Garmonsway, G N, (London: Everyman, 1975).</w:t>
      </w:r>
    </w:p>
    <w:p w14:paraId="26E0133D" w14:textId="77777777" w:rsidR="00340C87" w:rsidRPr="008C2F76" w:rsidRDefault="00340C87" w:rsidP="00340C87">
      <w:pPr>
        <w:spacing w:after="0" w:line="240" w:lineRule="auto"/>
        <w:contextualSpacing/>
        <w:rPr>
          <w:rFonts w:eastAsiaTheme="minorEastAsia" w:cstheme="minorHAnsi"/>
          <w:color w:val="000000" w:themeColor="text1"/>
          <w:kern w:val="24"/>
          <w:sz w:val="20"/>
          <w:szCs w:val="20"/>
          <w:lang w:eastAsia="en-GB"/>
        </w:rPr>
      </w:pPr>
    </w:p>
    <w:p w14:paraId="7D4EDFE7" w14:textId="77777777" w:rsidR="00340C87" w:rsidRDefault="00340C87" w:rsidP="00340C87">
      <w:pPr>
        <w:spacing w:line="240" w:lineRule="auto"/>
        <w:rPr>
          <w:rFonts w:ascii="Calibri" w:hAnsi="Calibri"/>
          <w:sz w:val="20"/>
          <w:szCs w:val="20"/>
        </w:rPr>
      </w:pPr>
      <w:r w:rsidRPr="00133612">
        <w:rPr>
          <w:rFonts w:ascii="Calibri" w:hAnsi="Calibri"/>
          <w:i/>
          <w:sz w:val="20"/>
          <w:szCs w:val="20"/>
        </w:rPr>
        <w:t>Carmen de Hastingae Proelio</w:t>
      </w:r>
      <w:r>
        <w:rPr>
          <w:rFonts w:ascii="Calibri" w:hAnsi="Calibri"/>
          <w:sz w:val="20"/>
          <w:szCs w:val="20"/>
        </w:rPr>
        <w:t>,</w:t>
      </w:r>
      <w:r w:rsidRPr="00D43237">
        <w:rPr>
          <w:rFonts w:ascii="Calibri" w:hAnsi="Calibri"/>
          <w:sz w:val="20"/>
          <w:szCs w:val="20"/>
        </w:rPr>
        <w:t xml:space="preserve"> </w:t>
      </w:r>
      <w:bookmarkStart w:id="6" w:name="_Hlk530057512"/>
      <w:r w:rsidRPr="00D43237">
        <w:rPr>
          <w:rFonts w:ascii="Calibri" w:hAnsi="Calibri"/>
          <w:sz w:val="20"/>
          <w:szCs w:val="20"/>
        </w:rPr>
        <w:t>as provided in course reader.</w:t>
      </w:r>
      <w:bookmarkEnd w:id="6"/>
    </w:p>
    <w:p w14:paraId="55F08B77" w14:textId="77777777" w:rsidR="00340C87" w:rsidRDefault="00340C87" w:rsidP="00340C87">
      <w:pPr>
        <w:spacing w:line="240" w:lineRule="auto"/>
        <w:rPr>
          <w:rFonts w:ascii="Calibri" w:hAnsi="Calibri"/>
          <w:sz w:val="20"/>
          <w:szCs w:val="20"/>
        </w:rPr>
      </w:pPr>
      <w:r w:rsidRPr="00D43237">
        <w:rPr>
          <w:rFonts w:ascii="Calibri" w:hAnsi="Calibri"/>
          <w:sz w:val="20"/>
          <w:szCs w:val="20"/>
        </w:rPr>
        <w:t>Henry of Huntigdon</w:t>
      </w:r>
      <w:r>
        <w:rPr>
          <w:rFonts w:ascii="Calibri" w:hAnsi="Calibri"/>
          <w:sz w:val="20"/>
          <w:szCs w:val="20"/>
        </w:rPr>
        <w:t>,</w:t>
      </w:r>
      <w:r w:rsidRPr="00D43237">
        <w:rPr>
          <w:rFonts w:ascii="Calibri" w:hAnsi="Calibri"/>
          <w:sz w:val="20"/>
          <w:szCs w:val="20"/>
        </w:rPr>
        <w:t xml:space="preserve"> </w:t>
      </w:r>
      <w:r w:rsidRPr="00D43237">
        <w:rPr>
          <w:rFonts w:ascii="Calibri" w:hAnsi="Calibri"/>
          <w:i/>
          <w:sz w:val="20"/>
          <w:szCs w:val="20"/>
        </w:rPr>
        <w:t>Historia Anglorum</w:t>
      </w:r>
      <w:r>
        <w:rPr>
          <w:rFonts w:ascii="Calibri" w:hAnsi="Calibri"/>
          <w:i/>
          <w:sz w:val="20"/>
          <w:szCs w:val="20"/>
        </w:rPr>
        <w:t>,</w:t>
      </w:r>
      <w:r w:rsidRPr="00D43237">
        <w:rPr>
          <w:rFonts w:ascii="Calibri" w:hAnsi="Calibri"/>
          <w:sz w:val="20"/>
          <w:szCs w:val="20"/>
        </w:rPr>
        <w:t xml:space="preserve"> as provided in course reader</w:t>
      </w:r>
      <w:r>
        <w:rPr>
          <w:rFonts w:ascii="Calibri" w:hAnsi="Calibri"/>
          <w:sz w:val="20"/>
          <w:szCs w:val="20"/>
        </w:rPr>
        <w:t>.</w:t>
      </w:r>
    </w:p>
    <w:p w14:paraId="08233976" w14:textId="77777777" w:rsidR="00340C87" w:rsidRPr="00D43237" w:rsidRDefault="00340C87" w:rsidP="00340C87">
      <w:pPr>
        <w:spacing w:line="240" w:lineRule="auto"/>
        <w:rPr>
          <w:rFonts w:ascii="Calibri" w:hAnsi="Calibri"/>
          <w:sz w:val="20"/>
          <w:szCs w:val="20"/>
        </w:rPr>
      </w:pPr>
      <w:r>
        <w:rPr>
          <w:rFonts w:ascii="Calibri" w:hAnsi="Calibri"/>
          <w:sz w:val="20"/>
          <w:szCs w:val="20"/>
        </w:rPr>
        <w:t xml:space="preserve">Orderic Vitalis, </w:t>
      </w:r>
      <w:r w:rsidRPr="00D43237">
        <w:rPr>
          <w:rFonts w:ascii="Calibri" w:hAnsi="Calibri"/>
          <w:i/>
          <w:sz w:val="20"/>
          <w:szCs w:val="20"/>
        </w:rPr>
        <w:t>Gesta Normannorum Ducum</w:t>
      </w:r>
      <w:r>
        <w:rPr>
          <w:rFonts w:ascii="Calibri" w:hAnsi="Calibri"/>
          <w:i/>
          <w:sz w:val="20"/>
          <w:szCs w:val="20"/>
        </w:rPr>
        <w:t>,</w:t>
      </w:r>
      <w:r>
        <w:rPr>
          <w:rFonts w:ascii="Calibri" w:hAnsi="Calibri"/>
          <w:sz w:val="20"/>
          <w:szCs w:val="20"/>
        </w:rPr>
        <w:t xml:space="preserve"> as provided in course reader.</w:t>
      </w:r>
    </w:p>
    <w:p w14:paraId="4A60268E" w14:textId="77777777" w:rsidR="00340C87" w:rsidRDefault="00340C87" w:rsidP="00340C87">
      <w:pPr>
        <w:spacing w:line="240" w:lineRule="auto"/>
        <w:rPr>
          <w:rFonts w:ascii="Calibri" w:hAnsi="Calibri"/>
          <w:sz w:val="20"/>
          <w:szCs w:val="20"/>
        </w:rPr>
      </w:pPr>
      <w:r w:rsidRPr="00D43237">
        <w:rPr>
          <w:rFonts w:ascii="Calibri" w:hAnsi="Calibri"/>
          <w:sz w:val="20"/>
          <w:szCs w:val="20"/>
        </w:rPr>
        <w:t>William of Jumieges</w:t>
      </w:r>
      <w:r>
        <w:rPr>
          <w:rFonts w:ascii="Calibri" w:hAnsi="Calibri"/>
          <w:sz w:val="20"/>
          <w:szCs w:val="20"/>
        </w:rPr>
        <w:t>,</w:t>
      </w:r>
      <w:r w:rsidRPr="00D43237">
        <w:rPr>
          <w:rFonts w:ascii="Calibri" w:hAnsi="Calibri"/>
          <w:sz w:val="20"/>
          <w:szCs w:val="20"/>
        </w:rPr>
        <w:t xml:space="preserve"> </w:t>
      </w:r>
      <w:bookmarkStart w:id="7" w:name="_Hlk530067035"/>
      <w:r w:rsidRPr="00D43237">
        <w:rPr>
          <w:rFonts w:ascii="Calibri" w:hAnsi="Calibri"/>
          <w:i/>
          <w:sz w:val="20"/>
          <w:szCs w:val="20"/>
        </w:rPr>
        <w:t>Gesta Normannorum Ducum</w:t>
      </w:r>
      <w:bookmarkEnd w:id="7"/>
      <w:r>
        <w:rPr>
          <w:rFonts w:ascii="Calibri" w:hAnsi="Calibri"/>
          <w:i/>
          <w:sz w:val="20"/>
          <w:szCs w:val="20"/>
        </w:rPr>
        <w:t>,</w:t>
      </w:r>
      <w:r w:rsidRPr="00D43237">
        <w:rPr>
          <w:rFonts w:ascii="Calibri" w:hAnsi="Calibri"/>
          <w:sz w:val="20"/>
          <w:szCs w:val="20"/>
        </w:rPr>
        <w:t xml:space="preserve"> as provided in course reader.</w:t>
      </w:r>
    </w:p>
    <w:p w14:paraId="65B3E263" w14:textId="77777777" w:rsidR="00340C87" w:rsidRPr="00D43237" w:rsidRDefault="00340C87" w:rsidP="00340C87">
      <w:pPr>
        <w:spacing w:line="240" w:lineRule="auto"/>
        <w:rPr>
          <w:rFonts w:ascii="Calibri" w:hAnsi="Calibri"/>
          <w:sz w:val="20"/>
          <w:szCs w:val="20"/>
        </w:rPr>
      </w:pPr>
      <w:r>
        <w:rPr>
          <w:rFonts w:ascii="Calibri" w:hAnsi="Calibri"/>
          <w:sz w:val="20"/>
          <w:szCs w:val="20"/>
        </w:rPr>
        <w:t xml:space="preserve">William of Malmesbury, </w:t>
      </w:r>
      <w:r w:rsidRPr="00703619">
        <w:rPr>
          <w:rFonts w:ascii="Calibri" w:hAnsi="Calibri"/>
          <w:i/>
          <w:sz w:val="20"/>
          <w:szCs w:val="20"/>
        </w:rPr>
        <w:t>Gesta Regum Anglorum,</w:t>
      </w:r>
      <w:r>
        <w:rPr>
          <w:rFonts w:ascii="Calibri" w:hAnsi="Calibri"/>
          <w:sz w:val="20"/>
          <w:szCs w:val="20"/>
        </w:rPr>
        <w:t xml:space="preserve"> as provided in course reader.</w:t>
      </w:r>
    </w:p>
    <w:p w14:paraId="4100D0C6" w14:textId="77777777" w:rsidR="00340C87" w:rsidRPr="00D43237" w:rsidRDefault="00340C87" w:rsidP="00340C87">
      <w:pPr>
        <w:spacing w:line="240" w:lineRule="auto"/>
        <w:rPr>
          <w:rFonts w:ascii="Calibri" w:hAnsi="Calibri"/>
          <w:sz w:val="20"/>
          <w:szCs w:val="20"/>
        </w:rPr>
      </w:pPr>
      <w:r w:rsidRPr="00D43237">
        <w:rPr>
          <w:rFonts w:ascii="Calibri" w:hAnsi="Calibri"/>
          <w:sz w:val="20"/>
          <w:szCs w:val="20"/>
        </w:rPr>
        <w:t>William of Newburgh</w:t>
      </w:r>
      <w:r>
        <w:rPr>
          <w:rFonts w:ascii="Calibri" w:hAnsi="Calibri"/>
          <w:sz w:val="20"/>
          <w:szCs w:val="20"/>
        </w:rPr>
        <w:t>,</w:t>
      </w:r>
      <w:r w:rsidRPr="00D43237">
        <w:rPr>
          <w:rFonts w:ascii="Calibri" w:hAnsi="Calibri"/>
          <w:sz w:val="20"/>
          <w:szCs w:val="20"/>
        </w:rPr>
        <w:t xml:space="preserve"> </w:t>
      </w:r>
      <w:r w:rsidRPr="00D43237">
        <w:rPr>
          <w:rFonts w:ascii="Calibri" w:hAnsi="Calibri"/>
          <w:i/>
          <w:sz w:val="20"/>
          <w:szCs w:val="20"/>
        </w:rPr>
        <w:t>Historia Rerum Anglicarum</w:t>
      </w:r>
      <w:r>
        <w:rPr>
          <w:rFonts w:ascii="Calibri" w:hAnsi="Calibri"/>
          <w:i/>
          <w:sz w:val="20"/>
          <w:szCs w:val="20"/>
        </w:rPr>
        <w:t>,</w:t>
      </w:r>
      <w:r w:rsidRPr="00D43237">
        <w:rPr>
          <w:rFonts w:ascii="Calibri" w:hAnsi="Calibri"/>
          <w:sz w:val="20"/>
          <w:szCs w:val="20"/>
        </w:rPr>
        <w:t xml:space="preserve"> as provided in course reader.</w:t>
      </w:r>
    </w:p>
    <w:p w14:paraId="5756097B" w14:textId="77777777" w:rsidR="00340C87" w:rsidRPr="00D43237" w:rsidRDefault="00340C87" w:rsidP="00340C87">
      <w:pPr>
        <w:spacing w:line="240" w:lineRule="auto"/>
        <w:rPr>
          <w:rFonts w:ascii="Calibri" w:hAnsi="Calibri"/>
          <w:sz w:val="20"/>
          <w:szCs w:val="20"/>
        </w:rPr>
      </w:pPr>
      <w:r w:rsidRPr="00D43237">
        <w:rPr>
          <w:rFonts w:ascii="Calibri" w:hAnsi="Calibri"/>
          <w:sz w:val="20"/>
          <w:szCs w:val="20"/>
        </w:rPr>
        <w:t>William of Poitier</w:t>
      </w:r>
      <w:r>
        <w:rPr>
          <w:rFonts w:ascii="Calibri" w:hAnsi="Calibri"/>
          <w:sz w:val="20"/>
          <w:szCs w:val="20"/>
        </w:rPr>
        <w:t>s,</w:t>
      </w:r>
      <w:r w:rsidRPr="00D43237">
        <w:rPr>
          <w:rFonts w:ascii="Calibri" w:hAnsi="Calibri"/>
          <w:sz w:val="20"/>
          <w:szCs w:val="20"/>
        </w:rPr>
        <w:t xml:space="preserve"> </w:t>
      </w:r>
      <w:r w:rsidRPr="00D43237">
        <w:rPr>
          <w:rFonts w:ascii="Calibri" w:hAnsi="Calibri"/>
          <w:i/>
          <w:sz w:val="20"/>
          <w:szCs w:val="20"/>
        </w:rPr>
        <w:t>Gesta Guillelmi</w:t>
      </w:r>
      <w:r>
        <w:rPr>
          <w:rFonts w:ascii="Calibri" w:hAnsi="Calibri"/>
          <w:i/>
          <w:sz w:val="20"/>
          <w:szCs w:val="20"/>
        </w:rPr>
        <w:t>,</w:t>
      </w:r>
      <w:r w:rsidRPr="00D43237">
        <w:rPr>
          <w:rFonts w:ascii="Calibri" w:hAnsi="Calibri"/>
          <w:sz w:val="20"/>
          <w:szCs w:val="20"/>
        </w:rPr>
        <w:t xml:space="preserve"> as provided in course reader.</w:t>
      </w:r>
    </w:p>
    <w:p w14:paraId="1AB68D73" w14:textId="77777777" w:rsidR="00340C87" w:rsidRPr="00906663" w:rsidRDefault="00340C87" w:rsidP="00340C87">
      <w:pPr>
        <w:spacing w:line="240" w:lineRule="auto"/>
        <w:rPr>
          <w:rFonts w:ascii="Calibri" w:hAnsi="Calibri"/>
          <w:sz w:val="20"/>
          <w:szCs w:val="20"/>
        </w:rPr>
      </w:pPr>
    </w:p>
    <w:p w14:paraId="685D3F7B" w14:textId="77777777" w:rsidR="00340C87" w:rsidRDefault="00340C87" w:rsidP="00340C87">
      <w:pPr>
        <w:spacing w:after="0" w:line="240" w:lineRule="auto"/>
        <w:contextualSpacing/>
        <w:rPr>
          <w:rFonts w:eastAsiaTheme="minorEastAsia" w:hAnsi="King Harold"/>
          <w:color w:val="000000" w:themeColor="text1"/>
          <w:kern w:val="24"/>
          <w:sz w:val="20"/>
          <w:szCs w:val="20"/>
          <w:lang w:eastAsia="en-GB"/>
        </w:rPr>
      </w:pPr>
      <w:r w:rsidRPr="00906663">
        <w:rPr>
          <w:rFonts w:eastAsiaTheme="minorEastAsia" w:hAnsi="King Harold"/>
          <w:color w:val="000000" w:themeColor="text1"/>
          <w:kern w:val="24"/>
          <w:sz w:val="20"/>
          <w:szCs w:val="20"/>
          <w:lang w:eastAsia="en-GB"/>
        </w:rPr>
        <w:t>Anderson, John D., 'The Bayeux Tapestry: A 900-Year-Old Latin Cartoon',</w:t>
      </w:r>
      <w:r w:rsidRPr="00906663">
        <w:rPr>
          <w:rFonts w:eastAsiaTheme="minorEastAsia" w:hAnsi="King Harold"/>
          <w:color w:val="000000" w:themeColor="text1"/>
          <w:kern w:val="24"/>
          <w:sz w:val="20"/>
          <w:szCs w:val="20"/>
          <w:lang w:eastAsia="en-GB"/>
        </w:rPr>
        <w:t> </w:t>
      </w:r>
      <w:r w:rsidRPr="00906663">
        <w:rPr>
          <w:rFonts w:eastAsiaTheme="minorEastAsia" w:hAnsi="King Harold"/>
          <w:i/>
          <w:iCs/>
          <w:color w:val="000000" w:themeColor="text1"/>
          <w:kern w:val="24"/>
          <w:sz w:val="20"/>
          <w:szCs w:val="20"/>
          <w:lang w:eastAsia="en-GB"/>
        </w:rPr>
        <w:t>The Classical Journal,</w:t>
      </w:r>
      <w:r w:rsidRPr="00906663">
        <w:rPr>
          <w:rFonts w:eastAsiaTheme="minorEastAsia" w:hAnsi="King Harold"/>
          <w:i/>
          <w:iCs/>
          <w:color w:val="000000" w:themeColor="text1"/>
          <w:kern w:val="24"/>
          <w:sz w:val="20"/>
          <w:szCs w:val="20"/>
          <w:lang w:eastAsia="en-GB"/>
        </w:rPr>
        <w:t> </w:t>
      </w:r>
      <w:r w:rsidRPr="00906663">
        <w:rPr>
          <w:rFonts w:eastAsiaTheme="minorEastAsia" w:hAnsi="King Harold"/>
          <w:color w:val="000000" w:themeColor="text1"/>
          <w:kern w:val="24"/>
          <w:sz w:val="20"/>
          <w:szCs w:val="20"/>
          <w:lang w:eastAsia="en-GB"/>
        </w:rPr>
        <w:t>81</w:t>
      </w:r>
      <w:r w:rsidRPr="00906663">
        <w:rPr>
          <w:rFonts w:eastAsiaTheme="minorEastAsia" w:hAnsi="King Harold"/>
          <w:color w:val="000000" w:themeColor="text1"/>
          <w:kern w:val="24"/>
          <w:sz w:val="20"/>
          <w:szCs w:val="20"/>
          <w:lang w:eastAsia="en-GB"/>
        </w:rPr>
        <w:tab/>
        <w:t>(1986),</w:t>
      </w:r>
      <w:r>
        <w:rPr>
          <w:rFonts w:eastAsiaTheme="minorEastAsia" w:hAnsi="King Harold"/>
          <w:color w:val="000000" w:themeColor="text1"/>
          <w:kern w:val="24"/>
          <w:sz w:val="20"/>
          <w:szCs w:val="20"/>
          <w:lang w:eastAsia="en-GB"/>
        </w:rPr>
        <w:t xml:space="preserve"> pp.</w:t>
      </w:r>
      <w:r w:rsidRPr="00906663">
        <w:rPr>
          <w:rFonts w:eastAsiaTheme="minorEastAsia" w:hAnsi="King Harold"/>
          <w:color w:val="000000" w:themeColor="text1"/>
          <w:kern w:val="24"/>
          <w:sz w:val="20"/>
          <w:szCs w:val="20"/>
          <w:lang w:eastAsia="en-GB"/>
        </w:rPr>
        <w:t xml:space="preserve"> 253-257</w:t>
      </w:r>
      <w:r>
        <w:rPr>
          <w:rFonts w:eastAsiaTheme="minorEastAsia" w:hAnsi="King Harold"/>
          <w:color w:val="000000" w:themeColor="text1"/>
          <w:kern w:val="24"/>
          <w:sz w:val="20"/>
          <w:szCs w:val="20"/>
          <w:lang w:eastAsia="en-GB"/>
        </w:rPr>
        <w:t>.</w:t>
      </w:r>
    </w:p>
    <w:p w14:paraId="5C592F31" w14:textId="77777777" w:rsidR="00340C87" w:rsidRPr="000421F4" w:rsidRDefault="00340C87" w:rsidP="00340C87">
      <w:pPr>
        <w:spacing w:after="0" w:line="240" w:lineRule="auto"/>
        <w:contextualSpacing/>
        <w:rPr>
          <w:rFonts w:eastAsiaTheme="minorEastAsia" w:cstheme="minorHAnsi"/>
          <w:color w:val="000000" w:themeColor="text1"/>
          <w:kern w:val="24"/>
          <w:sz w:val="20"/>
          <w:szCs w:val="20"/>
          <w:lang w:eastAsia="en-GB"/>
        </w:rPr>
      </w:pPr>
      <w:r w:rsidRPr="000421F4">
        <w:rPr>
          <w:rFonts w:eastAsiaTheme="minorEastAsia" w:cstheme="minorHAnsi"/>
          <w:color w:val="000000" w:themeColor="text1"/>
          <w:kern w:val="24"/>
          <w:sz w:val="20"/>
          <w:szCs w:val="20"/>
          <w:lang w:eastAsia="en-GB"/>
        </w:rPr>
        <w:t xml:space="preserve">Broughton, R. P.,’ The Visibility of Halley’s Comet’, </w:t>
      </w:r>
      <w:r w:rsidRPr="000421F4">
        <w:rPr>
          <w:rFonts w:cstheme="minorHAnsi"/>
          <w:i/>
          <w:color w:val="000000"/>
          <w:sz w:val="20"/>
          <w:szCs w:val="20"/>
          <w:shd w:val="clear" w:color="auto" w:fill="FFFFFF"/>
        </w:rPr>
        <w:t>Journal of the Royal Astronomical Society of Canada</w:t>
      </w:r>
      <w:r w:rsidRPr="000421F4">
        <w:rPr>
          <w:rFonts w:cstheme="minorHAnsi"/>
          <w:color w:val="000000"/>
          <w:sz w:val="20"/>
          <w:szCs w:val="20"/>
          <w:shd w:val="clear" w:color="auto" w:fill="FFFFFF"/>
        </w:rPr>
        <w:t>, vol. 73,</w:t>
      </w:r>
      <w:r>
        <w:rPr>
          <w:rFonts w:cstheme="minorHAnsi"/>
          <w:color w:val="000000"/>
          <w:sz w:val="20"/>
          <w:szCs w:val="20"/>
          <w:shd w:val="clear" w:color="auto" w:fill="FFFFFF"/>
        </w:rPr>
        <w:tab/>
      </w:r>
      <w:r w:rsidRPr="000421F4">
        <w:rPr>
          <w:rFonts w:cstheme="minorHAnsi"/>
          <w:color w:val="000000"/>
          <w:sz w:val="20"/>
          <w:szCs w:val="20"/>
          <w:shd w:val="clear" w:color="auto" w:fill="FFFFFF"/>
        </w:rPr>
        <w:t>Feb. 1979, p</w:t>
      </w:r>
      <w:r>
        <w:rPr>
          <w:rFonts w:cstheme="minorHAnsi"/>
          <w:color w:val="000000"/>
          <w:sz w:val="20"/>
          <w:szCs w:val="20"/>
          <w:shd w:val="clear" w:color="auto" w:fill="FFFFFF"/>
        </w:rPr>
        <w:t>p</w:t>
      </w:r>
      <w:r w:rsidRPr="000421F4">
        <w:rPr>
          <w:rFonts w:cstheme="minorHAnsi"/>
          <w:color w:val="000000"/>
          <w:sz w:val="20"/>
          <w:szCs w:val="20"/>
          <w:shd w:val="clear" w:color="auto" w:fill="FFFFFF"/>
        </w:rPr>
        <w:t>. 24-36.</w:t>
      </w:r>
    </w:p>
    <w:p w14:paraId="64745F03" w14:textId="77777777" w:rsidR="00340C87" w:rsidRDefault="00340C87" w:rsidP="00340C87">
      <w:pPr>
        <w:spacing w:after="0" w:line="240" w:lineRule="auto"/>
        <w:contextualSpacing/>
        <w:rPr>
          <w:rFonts w:eastAsiaTheme="minorEastAsia" w:hAnsi="King Harold"/>
          <w:color w:val="000000" w:themeColor="text1"/>
          <w:kern w:val="24"/>
          <w:sz w:val="20"/>
          <w:szCs w:val="20"/>
          <w:lang w:eastAsia="en-GB"/>
        </w:rPr>
      </w:pPr>
      <w:r w:rsidRPr="00906663">
        <w:rPr>
          <w:rFonts w:eastAsiaTheme="minorEastAsia" w:hAnsi="King Harold"/>
          <w:color w:val="000000" w:themeColor="text1"/>
          <w:kern w:val="24"/>
          <w:sz w:val="20"/>
          <w:szCs w:val="20"/>
          <w:lang w:eastAsia="en-GB"/>
        </w:rPr>
        <w:t>Carter, John M., 'Writing Games in the Bayeux Tapestry',</w:t>
      </w:r>
      <w:r w:rsidRPr="00906663">
        <w:rPr>
          <w:rFonts w:eastAsiaTheme="minorEastAsia" w:hAnsi="King Harold"/>
          <w:color w:val="000000" w:themeColor="text1"/>
          <w:kern w:val="24"/>
          <w:sz w:val="20"/>
          <w:szCs w:val="20"/>
          <w:lang w:eastAsia="en-GB"/>
        </w:rPr>
        <w:t> </w:t>
      </w:r>
      <w:r w:rsidRPr="00906663">
        <w:rPr>
          <w:rFonts w:eastAsiaTheme="minorEastAsia" w:hAnsi="King Harold"/>
          <w:i/>
          <w:iCs/>
          <w:color w:val="000000" w:themeColor="text1"/>
          <w:kern w:val="24"/>
          <w:sz w:val="20"/>
          <w:szCs w:val="20"/>
          <w:lang w:eastAsia="en-GB"/>
        </w:rPr>
        <w:t>The English Journal,</w:t>
      </w:r>
      <w:r w:rsidRPr="00906663">
        <w:rPr>
          <w:rFonts w:eastAsiaTheme="minorEastAsia" w:hAnsi="King Harold"/>
          <w:i/>
          <w:iCs/>
          <w:color w:val="000000" w:themeColor="text1"/>
          <w:kern w:val="24"/>
          <w:sz w:val="20"/>
          <w:szCs w:val="20"/>
          <w:lang w:eastAsia="en-GB"/>
        </w:rPr>
        <w:t> </w:t>
      </w:r>
      <w:r w:rsidRPr="00906663">
        <w:rPr>
          <w:rFonts w:eastAsiaTheme="minorEastAsia" w:hAnsi="King Harold"/>
          <w:color w:val="000000" w:themeColor="text1"/>
          <w:kern w:val="24"/>
          <w:sz w:val="20"/>
          <w:szCs w:val="20"/>
          <w:lang w:eastAsia="en-GB"/>
        </w:rPr>
        <w:t>74 (1985),</w:t>
      </w:r>
      <w:r>
        <w:rPr>
          <w:rFonts w:eastAsiaTheme="minorEastAsia" w:hAnsi="King Harold"/>
          <w:color w:val="000000" w:themeColor="text1"/>
          <w:kern w:val="24"/>
          <w:sz w:val="20"/>
          <w:szCs w:val="20"/>
          <w:lang w:eastAsia="en-GB"/>
        </w:rPr>
        <w:t xml:space="preserve"> pp. </w:t>
      </w:r>
      <w:r w:rsidRPr="00906663">
        <w:rPr>
          <w:rFonts w:eastAsiaTheme="minorEastAsia" w:hAnsi="King Harold"/>
          <w:color w:val="000000" w:themeColor="text1"/>
          <w:kern w:val="24"/>
          <w:sz w:val="20"/>
          <w:szCs w:val="20"/>
          <w:lang w:eastAsia="en-GB"/>
        </w:rPr>
        <w:t>31-34</w:t>
      </w:r>
      <w:r>
        <w:rPr>
          <w:rFonts w:eastAsiaTheme="minorEastAsia" w:hAnsi="King Harold"/>
          <w:color w:val="000000" w:themeColor="text1"/>
          <w:kern w:val="24"/>
          <w:sz w:val="20"/>
          <w:szCs w:val="20"/>
          <w:lang w:eastAsia="en-GB"/>
        </w:rPr>
        <w:t>.</w:t>
      </w:r>
    </w:p>
    <w:p w14:paraId="5F6DEBBA" w14:textId="77777777" w:rsidR="00340C87" w:rsidRPr="00906663" w:rsidRDefault="00340C87" w:rsidP="00340C87">
      <w:pPr>
        <w:spacing w:after="0" w:line="240" w:lineRule="auto"/>
        <w:contextualSpacing/>
        <w:rPr>
          <w:rFonts w:eastAsiaTheme="minorEastAsia" w:hAnsi="King Harold"/>
          <w:color w:val="000000" w:themeColor="text1"/>
          <w:kern w:val="24"/>
          <w:sz w:val="20"/>
          <w:szCs w:val="20"/>
          <w:lang w:eastAsia="en-GB"/>
        </w:rPr>
      </w:pPr>
      <w:r>
        <w:rPr>
          <w:rFonts w:eastAsiaTheme="minorEastAsia" w:hAnsi="King Harold"/>
          <w:color w:val="000000" w:themeColor="text1"/>
          <w:kern w:val="24"/>
          <w:sz w:val="20"/>
          <w:szCs w:val="20"/>
          <w:lang w:eastAsia="en-GB"/>
        </w:rPr>
        <w:t xml:space="preserve">Clanchy, M. T., </w:t>
      </w:r>
      <w:r w:rsidRPr="00C54785">
        <w:rPr>
          <w:rFonts w:eastAsiaTheme="minorEastAsia" w:hAnsi="King Harold"/>
          <w:i/>
          <w:color w:val="000000" w:themeColor="text1"/>
          <w:kern w:val="24"/>
          <w:sz w:val="20"/>
          <w:szCs w:val="20"/>
          <w:lang w:eastAsia="en-GB"/>
        </w:rPr>
        <w:t>From Memory to Written Record: England 1066-1307</w:t>
      </w:r>
      <w:r>
        <w:rPr>
          <w:rFonts w:eastAsiaTheme="minorEastAsia" w:hAnsi="King Harold"/>
          <w:color w:val="000000" w:themeColor="text1"/>
          <w:kern w:val="24"/>
          <w:sz w:val="20"/>
          <w:szCs w:val="20"/>
          <w:lang w:eastAsia="en-GB"/>
        </w:rPr>
        <w:t xml:space="preserve"> (Oxford: Blackwell, 1996).</w:t>
      </w:r>
    </w:p>
    <w:p w14:paraId="16F91F28" w14:textId="77777777" w:rsidR="00340C87" w:rsidRDefault="00340C87" w:rsidP="00340C87">
      <w:pPr>
        <w:spacing w:after="0" w:line="240" w:lineRule="auto"/>
        <w:contextualSpacing/>
        <w:rPr>
          <w:rFonts w:eastAsiaTheme="minorEastAsia" w:cstheme="minorHAnsi"/>
          <w:color w:val="000000" w:themeColor="text1"/>
          <w:kern w:val="24"/>
          <w:sz w:val="20"/>
          <w:szCs w:val="20"/>
          <w:lang w:eastAsia="en-GB"/>
        </w:rPr>
      </w:pPr>
      <w:r w:rsidRPr="00906663">
        <w:rPr>
          <w:rFonts w:eastAsiaTheme="minorEastAsia" w:cstheme="minorHAnsi"/>
          <w:color w:val="000000" w:themeColor="text1"/>
          <w:kern w:val="24"/>
          <w:sz w:val="20"/>
          <w:szCs w:val="20"/>
          <w:lang w:eastAsia="en-GB"/>
        </w:rPr>
        <w:t>Dodwell, C. R</w:t>
      </w:r>
      <w:bookmarkStart w:id="8" w:name="_Hlk529951304"/>
      <w:r w:rsidRPr="00906663">
        <w:rPr>
          <w:rFonts w:eastAsiaTheme="minorEastAsia" w:cstheme="minorHAnsi"/>
          <w:color w:val="000000" w:themeColor="text1"/>
          <w:kern w:val="24"/>
          <w:sz w:val="20"/>
          <w:szCs w:val="20"/>
          <w:lang w:eastAsia="en-GB"/>
        </w:rPr>
        <w:t>., 'The Bayeux Tapestry and the French Secular Epic', </w:t>
      </w:r>
      <w:r w:rsidRPr="00906663">
        <w:rPr>
          <w:rFonts w:eastAsiaTheme="minorEastAsia" w:cstheme="minorHAnsi"/>
          <w:i/>
          <w:iCs/>
          <w:color w:val="000000" w:themeColor="text1"/>
          <w:kern w:val="24"/>
          <w:sz w:val="20"/>
          <w:szCs w:val="20"/>
          <w:lang w:eastAsia="en-GB"/>
        </w:rPr>
        <w:t>The Burlington Magazine, </w:t>
      </w:r>
      <w:r w:rsidRPr="00906663">
        <w:rPr>
          <w:rFonts w:eastAsiaTheme="minorEastAsia" w:cstheme="minorHAnsi"/>
          <w:color w:val="000000" w:themeColor="text1"/>
          <w:kern w:val="24"/>
          <w:sz w:val="20"/>
          <w:szCs w:val="20"/>
          <w:lang w:eastAsia="en-GB"/>
        </w:rPr>
        <w:t>108</w:t>
      </w:r>
      <w:r w:rsidRPr="00906663">
        <w:rPr>
          <w:rFonts w:eastAsiaTheme="minorEastAsia" w:cstheme="minorHAnsi"/>
          <w:color w:val="000000" w:themeColor="text1"/>
          <w:kern w:val="24"/>
          <w:sz w:val="20"/>
          <w:szCs w:val="20"/>
          <w:lang w:eastAsia="en-GB"/>
        </w:rPr>
        <w:tab/>
      </w:r>
      <w:r w:rsidRPr="00906663">
        <w:rPr>
          <w:rFonts w:eastAsiaTheme="minorEastAsia" w:cstheme="minorHAnsi"/>
          <w:color w:val="000000" w:themeColor="text1"/>
          <w:kern w:val="24"/>
          <w:sz w:val="20"/>
          <w:szCs w:val="20"/>
          <w:lang w:eastAsia="en-GB"/>
        </w:rPr>
        <w:tab/>
        <w:t>(1966),</w:t>
      </w:r>
      <w:r>
        <w:rPr>
          <w:rFonts w:eastAsiaTheme="minorEastAsia" w:cstheme="minorHAnsi"/>
          <w:color w:val="000000" w:themeColor="text1"/>
          <w:kern w:val="24"/>
          <w:sz w:val="20"/>
          <w:szCs w:val="20"/>
          <w:lang w:eastAsia="en-GB"/>
        </w:rPr>
        <w:t xml:space="preserve"> </w:t>
      </w:r>
      <w:bookmarkEnd w:id="8"/>
      <w:r>
        <w:rPr>
          <w:rFonts w:eastAsiaTheme="minorEastAsia" w:cstheme="minorHAnsi"/>
          <w:color w:val="000000" w:themeColor="text1"/>
          <w:kern w:val="24"/>
          <w:sz w:val="20"/>
          <w:szCs w:val="20"/>
          <w:lang w:eastAsia="en-GB"/>
        </w:rPr>
        <w:t>pp.</w:t>
      </w:r>
      <w:r w:rsidRPr="00906663">
        <w:rPr>
          <w:rFonts w:eastAsiaTheme="minorEastAsia" w:cstheme="minorHAnsi"/>
          <w:color w:val="000000" w:themeColor="text1"/>
          <w:kern w:val="24"/>
          <w:sz w:val="20"/>
          <w:szCs w:val="20"/>
          <w:lang w:eastAsia="en-GB"/>
        </w:rPr>
        <w:t xml:space="preserve"> 549-560</w:t>
      </w:r>
      <w:r>
        <w:rPr>
          <w:rFonts w:eastAsiaTheme="minorEastAsia" w:cstheme="minorHAnsi"/>
          <w:color w:val="000000" w:themeColor="text1"/>
          <w:kern w:val="24"/>
          <w:sz w:val="20"/>
          <w:szCs w:val="20"/>
          <w:lang w:eastAsia="en-GB"/>
        </w:rPr>
        <w:t>.</w:t>
      </w:r>
    </w:p>
    <w:p w14:paraId="6E2CFA2D" w14:textId="77777777" w:rsidR="00340C87" w:rsidRDefault="00340C87" w:rsidP="00340C87">
      <w:pPr>
        <w:spacing w:after="0" w:line="240" w:lineRule="auto"/>
        <w:contextualSpacing/>
        <w:rPr>
          <w:rFonts w:eastAsiaTheme="minorEastAsia" w:cstheme="minorHAnsi"/>
          <w:color w:val="000000" w:themeColor="text1"/>
          <w:kern w:val="24"/>
          <w:sz w:val="20"/>
          <w:szCs w:val="20"/>
          <w:lang w:eastAsia="en-GB"/>
        </w:rPr>
      </w:pPr>
      <w:r w:rsidRPr="00906663">
        <w:rPr>
          <w:rFonts w:eastAsiaTheme="minorEastAsia" w:cstheme="minorHAnsi"/>
          <w:color w:val="000000" w:themeColor="text1"/>
          <w:kern w:val="24"/>
          <w:sz w:val="20"/>
          <w:szCs w:val="20"/>
          <w:lang w:eastAsia="en-GB"/>
        </w:rPr>
        <w:t>Holmes, Urban T., 'The Houses of the Bayeux Tapestry', </w:t>
      </w:r>
      <w:r w:rsidRPr="00906663">
        <w:rPr>
          <w:rFonts w:eastAsiaTheme="minorEastAsia" w:cstheme="minorHAnsi"/>
          <w:i/>
          <w:iCs/>
          <w:color w:val="000000" w:themeColor="text1"/>
          <w:kern w:val="24"/>
          <w:sz w:val="20"/>
          <w:szCs w:val="20"/>
          <w:lang w:eastAsia="en-GB"/>
        </w:rPr>
        <w:t>Speculum, </w:t>
      </w:r>
      <w:r w:rsidRPr="00906663">
        <w:rPr>
          <w:rFonts w:eastAsiaTheme="minorEastAsia" w:cstheme="minorHAnsi"/>
          <w:color w:val="000000" w:themeColor="text1"/>
          <w:kern w:val="24"/>
          <w:sz w:val="20"/>
          <w:szCs w:val="20"/>
          <w:lang w:eastAsia="en-GB"/>
        </w:rPr>
        <w:t xml:space="preserve">34 (1959), </w:t>
      </w:r>
      <w:r>
        <w:rPr>
          <w:rFonts w:eastAsiaTheme="minorEastAsia" w:cstheme="minorHAnsi"/>
          <w:color w:val="000000" w:themeColor="text1"/>
          <w:kern w:val="24"/>
          <w:sz w:val="20"/>
          <w:szCs w:val="20"/>
          <w:lang w:eastAsia="en-GB"/>
        </w:rPr>
        <w:t xml:space="preserve">pp. </w:t>
      </w:r>
      <w:r w:rsidRPr="00906663">
        <w:rPr>
          <w:rFonts w:eastAsiaTheme="minorEastAsia" w:cstheme="minorHAnsi"/>
          <w:color w:val="000000" w:themeColor="text1"/>
          <w:kern w:val="24"/>
          <w:sz w:val="20"/>
          <w:szCs w:val="20"/>
          <w:lang w:eastAsia="en-GB"/>
        </w:rPr>
        <w:t>179-183</w:t>
      </w:r>
      <w:r>
        <w:rPr>
          <w:rFonts w:eastAsiaTheme="minorEastAsia" w:cstheme="minorHAnsi"/>
          <w:color w:val="000000" w:themeColor="text1"/>
          <w:kern w:val="24"/>
          <w:sz w:val="20"/>
          <w:szCs w:val="20"/>
          <w:lang w:eastAsia="en-GB"/>
        </w:rPr>
        <w:t>.</w:t>
      </w:r>
    </w:p>
    <w:p w14:paraId="4E867679" w14:textId="77777777" w:rsidR="00340C87" w:rsidRDefault="00340C87" w:rsidP="00340C87">
      <w:pPr>
        <w:spacing w:after="0" w:line="240" w:lineRule="auto"/>
        <w:contextualSpacing/>
        <w:rPr>
          <w:rFonts w:eastAsiaTheme="minorEastAsia" w:cstheme="minorHAnsi"/>
          <w:color w:val="000000" w:themeColor="text1"/>
          <w:kern w:val="24"/>
          <w:sz w:val="20"/>
          <w:szCs w:val="20"/>
          <w:lang w:eastAsia="en-GB"/>
        </w:rPr>
      </w:pPr>
      <w:bookmarkStart w:id="9" w:name="_Hlk529951181"/>
      <w:r>
        <w:rPr>
          <w:rFonts w:eastAsiaTheme="minorEastAsia" w:cstheme="minorHAnsi"/>
          <w:color w:val="000000" w:themeColor="text1"/>
          <w:kern w:val="24"/>
          <w:sz w:val="20"/>
          <w:szCs w:val="20"/>
          <w:lang w:eastAsia="en-GB"/>
        </w:rPr>
        <w:t xml:space="preserve">Lewis, Suzanne, </w:t>
      </w:r>
      <w:r w:rsidRPr="004603E8">
        <w:rPr>
          <w:rFonts w:eastAsiaTheme="minorEastAsia" w:cstheme="minorHAnsi"/>
          <w:i/>
          <w:color w:val="000000" w:themeColor="text1"/>
          <w:kern w:val="24"/>
          <w:sz w:val="20"/>
          <w:szCs w:val="20"/>
          <w:lang w:eastAsia="en-GB"/>
        </w:rPr>
        <w:t>The Rhetoric of Power in the Bayeux Tapestry</w:t>
      </w:r>
      <w:r>
        <w:rPr>
          <w:rFonts w:eastAsiaTheme="minorEastAsia" w:cstheme="minorHAnsi"/>
          <w:i/>
          <w:color w:val="000000" w:themeColor="text1"/>
          <w:kern w:val="24"/>
          <w:sz w:val="20"/>
          <w:szCs w:val="20"/>
          <w:lang w:eastAsia="en-GB"/>
        </w:rPr>
        <w:t>,</w:t>
      </w:r>
      <w:r>
        <w:rPr>
          <w:rFonts w:eastAsiaTheme="minorEastAsia" w:cstheme="minorHAnsi"/>
          <w:color w:val="000000" w:themeColor="text1"/>
          <w:kern w:val="24"/>
          <w:sz w:val="20"/>
          <w:szCs w:val="20"/>
          <w:lang w:eastAsia="en-GB"/>
        </w:rPr>
        <w:t xml:space="preserve"> (Cambridge: Cambridge University Press, 1998).</w:t>
      </w:r>
      <w:bookmarkEnd w:id="9"/>
    </w:p>
    <w:p w14:paraId="177BEFFA" w14:textId="77777777" w:rsidR="00340C87" w:rsidRPr="00906663" w:rsidRDefault="00340C87" w:rsidP="00340C87">
      <w:pPr>
        <w:spacing w:after="0" w:line="240" w:lineRule="auto"/>
        <w:contextualSpacing/>
        <w:rPr>
          <w:rFonts w:eastAsiaTheme="minorEastAsia" w:cstheme="minorHAnsi"/>
          <w:color w:val="000000" w:themeColor="text1"/>
          <w:kern w:val="24"/>
          <w:sz w:val="20"/>
          <w:szCs w:val="20"/>
          <w:lang w:eastAsia="en-GB"/>
        </w:rPr>
      </w:pPr>
      <w:r w:rsidRPr="00906663">
        <w:rPr>
          <w:rFonts w:eastAsiaTheme="minorEastAsia" w:cstheme="minorHAnsi"/>
          <w:color w:val="000000" w:themeColor="text1"/>
          <w:kern w:val="24"/>
          <w:sz w:val="20"/>
          <w:szCs w:val="20"/>
          <w:lang w:eastAsia="en-GB"/>
        </w:rPr>
        <w:t>McNulty, J. B., 'The Lady Aelfgyva in the Bayeux Tapestry', </w:t>
      </w:r>
      <w:r w:rsidRPr="00906663">
        <w:rPr>
          <w:rFonts w:eastAsiaTheme="minorEastAsia" w:cstheme="minorHAnsi"/>
          <w:i/>
          <w:iCs/>
          <w:color w:val="000000" w:themeColor="text1"/>
          <w:kern w:val="24"/>
          <w:sz w:val="20"/>
          <w:szCs w:val="20"/>
          <w:lang w:eastAsia="en-GB"/>
        </w:rPr>
        <w:t>Speculum, </w:t>
      </w:r>
      <w:r w:rsidRPr="00906663">
        <w:rPr>
          <w:rFonts w:eastAsiaTheme="minorEastAsia" w:cstheme="minorHAnsi"/>
          <w:color w:val="000000" w:themeColor="text1"/>
          <w:kern w:val="24"/>
          <w:sz w:val="20"/>
          <w:szCs w:val="20"/>
          <w:lang w:eastAsia="en-GB"/>
        </w:rPr>
        <w:t xml:space="preserve">55 (1980), </w:t>
      </w:r>
      <w:r>
        <w:rPr>
          <w:rFonts w:eastAsiaTheme="minorEastAsia" w:cstheme="minorHAnsi"/>
          <w:color w:val="000000" w:themeColor="text1"/>
          <w:kern w:val="24"/>
          <w:sz w:val="20"/>
          <w:szCs w:val="20"/>
          <w:lang w:eastAsia="en-GB"/>
        </w:rPr>
        <w:t xml:space="preserve">pp. </w:t>
      </w:r>
      <w:r w:rsidRPr="00906663">
        <w:rPr>
          <w:rFonts w:eastAsiaTheme="minorEastAsia" w:cstheme="minorHAnsi"/>
          <w:color w:val="000000" w:themeColor="text1"/>
          <w:kern w:val="24"/>
          <w:sz w:val="20"/>
          <w:szCs w:val="20"/>
          <w:lang w:eastAsia="en-GB"/>
        </w:rPr>
        <w:t>659-668</w:t>
      </w:r>
      <w:r>
        <w:rPr>
          <w:rFonts w:eastAsiaTheme="minorEastAsia" w:cstheme="minorHAnsi"/>
          <w:color w:val="000000" w:themeColor="text1"/>
          <w:kern w:val="24"/>
          <w:sz w:val="20"/>
          <w:szCs w:val="20"/>
          <w:lang w:eastAsia="en-GB"/>
        </w:rPr>
        <w:t>.</w:t>
      </w:r>
    </w:p>
    <w:p w14:paraId="08B21281" w14:textId="77777777" w:rsidR="00340C87" w:rsidRPr="00906663" w:rsidRDefault="00340C87" w:rsidP="00340C87">
      <w:pPr>
        <w:spacing w:after="0" w:line="240" w:lineRule="auto"/>
        <w:contextualSpacing/>
        <w:rPr>
          <w:rFonts w:eastAsiaTheme="minorEastAsia" w:cstheme="minorHAnsi"/>
          <w:color w:val="000000" w:themeColor="text1"/>
          <w:kern w:val="24"/>
          <w:sz w:val="20"/>
          <w:szCs w:val="20"/>
          <w:lang w:eastAsia="en-GB"/>
        </w:rPr>
      </w:pPr>
      <w:r w:rsidRPr="00906663">
        <w:rPr>
          <w:rFonts w:eastAsiaTheme="minorEastAsia" w:cstheme="minorHAnsi"/>
          <w:color w:val="000000" w:themeColor="text1"/>
          <w:kern w:val="24"/>
          <w:sz w:val="20"/>
          <w:szCs w:val="20"/>
          <w:lang w:eastAsia="en-GB"/>
        </w:rPr>
        <w:t>Musset, Lucien, </w:t>
      </w:r>
      <w:r w:rsidRPr="00906663">
        <w:rPr>
          <w:rFonts w:eastAsiaTheme="minorEastAsia" w:cstheme="minorHAnsi"/>
          <w:i/>
          <w:iCs/>
          <w:color w:val="000000" w:themeColor="text1"/>
          <w:kern w:val="24"/>
          <w:sz w:val="20"/>
          <w:szCs w:val="20"/>
          <w:lang w:eastAsia="en-GB"/>
        </w:rPr>
        <w:t>The Bayeux Tapestry</w:t>
      </w:r>
      <w:r w:rsidRPr="00906663">
        <w:rPr>
          <w:rFonts w:eastAsiaTheme="minorEastAsia" w:cstheme="minorHAnsi"/>
          <w:color w:val="000000" w:themeColor="text1"/>
          <w:kern w:val="24"/>
          <w:sz w:val="20"/>
          <w:szCs w:val="20"/>
          <w:lang w:eastAsia="en-GB"/>
        </w:rPr>
        <w:t>, New ed. (Woodbridge: Boydell Press, 2005)</w:t>
      </w:r>
      <w:r>
        <w:rPr>
          <w:rFonts w:eastAsiaTheme="minorEastAsia" w:cstheme="minorHAnsi"/>
          <w:color w:val="000000" w:themeColor="text1"/>
          <w:kern w:val="24"/>
          <w:sz w:val="20"/>
          <w:szCs w:val="20"/>
          <w:lang w:eastAsia="en-GB"/>
        </w:rPr>
        <w:t>.</w:t>
      </w:r>
    </w:p>
    <w:p w14:paraId="327C99AF" w14:textId="77777777" w:rsidR="00340C87" w:rsidRPr="00906663" w:rsidRDefault="00340C87" w:rsidP="00340C87">
      <w:pPr>
        <w:spacing w:after="0" w:line="240" w:lineRule="auto"/>
        <w:contextualSpacing/>
        <w:rPr>
          <w:rFonts w:eastAsiaTheme="minorEastAsia" w:cstheme="minorHAnsi"/>
          <w:color w:val="000000" w:themeColor="text1"/>
          <w:kern w:val="24"/>
          <w:sz w:val="20"/>
          <w:szCs w:val="20"/>
          <w:lang w:eastAsia="en-GB"/>
        </w:rPr>
      </w:pPr>
      <w:r w:rsidRPr="00906663">
        <w:rPr>
          <w:rFonts w:eastAsiaTheme="minorEastAsia" w:cstheme="minorHAnsi"/>
          <w:color w:val="000000" w:themeColor="text1"/>
          <w:kern w:val="24"/>
          <w:sz w:val="20"/>
          <w:szCs w:val="20"/>
          <w:lang w:eastAsia="en-GB"/>
        </w:rPr>
        <w:t>Noxon, Gerald, 'The Bayeux Tapestry', </w:t>
      </w:r>
      <w:r w:rsidRPr="00906663">
        <w:rPr>
          <w:rFonts w:eastAsiaTheme="minorEastAsia" w:cstheme="minorHAnsi"/>
          <w:i/>
          <w:iCs/>
          <w:color w:val="000000" w:themeColor="text1"/>
          <w:kern w:val="24"/>
          <w:sz w:val="20"/>
          <w:szCs w:val="20"/>
          <w:lang w:eastAsia="en-GB"/>
        </w:rPr>
        <w:t>Cinema Journal, </w:t>
      </w:r>
      <w:r w:rsidRPr="00906663">
        <w:rPr>
          <w:rFonts w:eastAsiaTheme="minorEastAsia" w:cstheme="minorHAnsi"/>
          <w:color w:val="000000" w:themeColor="text1"/>
          <w:kern w:val="24"/>
          <w:sz w:val="20"/>
          <w:szCs w:val="20"/>
          <w:lang w:eastAsia="en-GB"/>
        </w:rPr>
        <w:t xml:space="preserve">7 (1967), </w:t>
      </w:r>
      <w:r>
        <w:rPr>
          <w:rFonts w:eastAsiaTheme="minorEastAsia" w:cstheme="minorHAnsi"/>
          <w:color w:val="000000" w:themeColor="text1"/>
          <w:kern w:val="24"/>
          <w:sz w:val="20"/>
          <w:szCs w:val="20"/>
          <w:lang w:eastAsia="en-GB"/>
        </w:rPr>
        <w:t xml:space="preserve">pp. </w:t>
      </w:r>
      <w:r w:rsidRPr="00906663">
        <w:rPr>
          <w:rFonts w:eastAsiaTheme="minorEastAsia" w:cstheme="minorHAnsi"/>
          <w:color w:val="000000" w:themeColor="text1"/>
          <w:kern w:val="24"/>
          <w:sz w:val="20"/>
          <w:szCs w:val="20"/>
          <w:lang w:eastAsia="en-GB"/>
        </w:rPr>
        <w:t>29-35</w:t>
      </w:r>
      <w:r>
        <w:rPr>
          <w:rFonts w:eastAsiaTheme="minorEastAsia" w:cstheme="minorHAnsi"/>
          <w:color w:val="000000" w:themeColor="text1"/>
          <w:kern w:val="24"/>
          <w:sz w:val="20"/>
          <w:szCs w:val="20"/>
          <w:lang w:eastAsia="en-GB"/>
        </w:rPr>
        <w:t>.</w:t>
      </w:r>
    </w:p>
    <w:p w14:paraId="7120989A" w14:textId="77777777" w:rsidR="00340C87" w:rsidRPr="00906663" w:rsidRDefault="00340C87" w:rsidP="00340C87">
      <w:pPr>
        <w:spacing w:after="0" w:line="240" w:lineRule="auto"/>
        <w:contextualSpacing/>
        <w:rPr>
          <w:rFonts w:eastAsiaTheme="minorEastAsia" w:cstheme="minorHAnsi"/>
          <w:color w:val="000000" w:themeColor="text1"/>
          <w:kern w:val="24"/>
          <w:sz w:val="20"/>
          <w:szCs w:val="20"/>
          <w:lang w:eastAsia="en-GB"/>
        </w:rPr>
      </w:pPr>
      <w:r w:rsidRPr="00906663">
        <w:rPr>
          <w:rFonts w:eastAsiaTheme="minorEastAsia" w:cstheme="minorHAnsi"/>
          <w:color w:val="000000" w:themeColor="text1"/>
          <w:kern w:val="24"/>
          <w:sz w:val="20"/>
          <w:szCs w:val="20"/>
          <w:lang w:eastAsia="en-GB"/>
        </w:rPr>
        <w:t xml:space="preserve">Owen-Crocker, Gale ed. </w:t>
      </w:r>
      <w:r w:rsidRPr="00906663">
        <w:rPr>
          <w:rFonts w:eastAsiaTheme="minorEastAsia" w:cstheme="minorHAnsi"/>
          <w:i/>
          <w:color w:val="000000" w:themeColor="text1"/>
          <w:kern w:val="24"/>
          <w:sz w:val="20"/>
          <w:szCs w:val="20"/>
          <w:lang w:eastAsia="en-GB"/>
        </w:rPr>
        <w:t>King Harold II and the Bayeux Tapestry,</w:t>
      </w:r>
      <w:r w:rsidRPr="00906663">
        <w:rPr>
          <w:rFonts w:eastAsiaTheme="minorEastAsia" w:cstheme="minorHAnsi"/>
          <w:color w:val="000000" w:themeColor="text1"/>
          <w:kern w:val="24"/>
          <w:sz w:val="20"/>
          <w:szCs w:val="20"/>
          <w:lang w:eastAsia="en-GB"/>
        </w:rPr>
        <w:t xml:space="preserve"> </w:t>
      </w:r>
      <w:bookmarkStart w:id="10" w:name="_Hlk529958375"/>
      <w:r w:rsidRPr="00906663">
        <w:rPr>
          <w:rFonts w:eastAsiaTheme="minorEastAsia" w:cstheme="minorHAnsi"/>
          <w:color w:val="000000" w:themeColor="text1"/>
          <w:kern w:val="24"/>
          <w:sz w:val="20"/>
          <w:szCs w:val="20"/>
          <w:lang w:eastAsia="en-GB"/>
        </w:rPr>
        <w:t>(Woodbridge: The Boydell Press,</w:t>
      </w:r>
      <w:r w:rsidRPr="00906663">
        <w:rPr>
          <w:rFonts w:eastAsiaTheme="minorEastAsia" w:cstheme="minorHAnsi"/>
          <w:color w:val="000000" w:themeColor="text1"/>
          <w:kern w:val="24"/>
          <w:sz w:val="20"/>
          <w:szCs w:val="20"/>
          <w:lang w:eastAsia="en-GB"/>
        </w:rPr>
        <w:tab/>
      </w:r>
      <w:r w:rsidRPr="00906663">
        <w:rPr>
          <w:rFonts w:eastAsiaTheme="minorEastAsia" w:cstheme="minorHAnsi"/>
          <w:color w:val="000000" w:themeColor="text1"/>
          <w:kern w:val="24"/>
          <w:sz w:val="20"/>
          <w:szCs w:val="20"/>
          <w:lang w:eastAsia="en-GB"/>
        </w:rPr>
        <w:tab/>
        <w:t>2005)</w:t>
      </w:r>
      <w:r>
        <w:rPr>
          <w:rFonts w:eastAsiaTheme="minorEastAsia" w:cstheme="minorHAnsi"/>
          <w:color w:val="000000" w:themeColor="text1"/>
          <w:kern w:val="24"/>
          <w:sz w:val="20"/>
          <w:szCs w:val="20"/>
          <w:lang w:eastAsia="en-GB"/>
        </w:rPr>
        <w:t>.</w:t>
      </w:r>
      <w:bookmarkEnd w:id="10"/>
    </w:p>
    <w:p w14:paraId="0A8B3779" w14:textId="77777777" w:rsidR="00340C87" w:rsidRPr="00906663" w:rsidRDefault="00340C87" w:rsidP="00340C87">
      <w:pPr>
        <w:spacing w:after="0" w:line="240" w:lineRule="auto"/>
        <w:contextualSpacing/>
        <w:rPr>
          <w:rFonts w:eastAsiaTheme="minorEastAsia" w:cstheme="minorHAnsi"/>
          <w:color w:val="000000" w:themeColor="text1"/>
          <w:kern w:val="24"/>
          <w:sz w:val="20"/>
          <w:szCs w:val="20"/>
          <w:lang w:eastAsia="en-GB"/>
        </w:rPr>
      </w:pPr>
      <w:r w:rsidRPr="00906663">
        <w:rPr>
          <w:rFonts w:eastAsiaTheme="minorEastAsia" w:cstheme="minorHAnsi"/>
          <w:color w:val="000000" w:themeColor="text1"/>
          <w:kern w:val="24"/>
          <w:sz w:val="20"/>
          <w:szCs w:val="20"/>
          <w:lang w:eastAsia="en-GB"/>
        </w:rPr>
        <w:t>Parker, Rozsika, </w:t>
      </w:r>
      <w:r w:rsidRPr="00906663">
        <w:rPr>
          <w:rFonts w:eastAsiaTheme="minorEastAsia" w:cstheme="minorHAnsi"/>
          <w:i/>
          <w:iCs/>
          <w:color w:val="000000" w:themeColor="text1"/>
          <w:kern w:val="24"/>
          <w:sz w:val="20"/>
          <w:szCs w:val="20"/>
          <w:lang w:eastAsia="en-GB"/>
        </w:rPr>
        <w:t>The Subversive Stitch: Embroidery and the Making of the Feminine</w:t>
      </w:r>
      <w:r w:rsidRPr="00906663">
        <w:rPr>
          <w:rFonts w:eastAsiaTheme="minorEastAsia" w:cstheme="minorHAnsi"/>
          <w:color w:val="000000" w:themeColor="text1"/>
          <w:kern w:val="24"/>
          <w:sz w:val="20"/>
          <w:szCs w:val="20"/>
          <w:lang w:eastAsia="en-GB"/>
        </w:rPr>
        <w:t>, Rev. reprint. Edn.</w:t>
      </w:r>
      <w:r w:rsidRPr="00906663">
        <w:rPr>
          <w:rFonts w:eastAsiaTheme="minorEastAsia" w:cstheme="minorHAnsi"/>
          <w:color w:val="000000" w:themeColor="text1"/>
          <w:kern w:val="24"/>
          <w:sz w:val="20"/>
          <w:szCs w:val="20"/>
          <w:lang w:eastAsia="en-GB"/>
        </w:rPr>
        <w:tab/>
        <w:t>(London: Women's Press, 1996)</w:t>
      </w:r>
      <w:r>
        <w:rPr>
          <w:rFonts w:eastAsiaTheme="minorEastAsia" w:cstheme="minorHAnsi"/>
          <w:color w:val="000000" w:themeColor="text1"/>
          <w:kern w:val="24"/>
          <w:sz w:val="20"/>
          <w:szCs w:val="20"/>
          <w:lang w:eastAsia="en-GB"/>
        </w:rPr>
        <w:t>.</w:t>
      </w:r>
    </w:p>
    <w:p w14:paraId="19DBC340" w14:textId="77777777" w:rsidR="00340C87" w:rsidRDefault="00340C87" w:rsidP="00340C87">
      <w:pPr>
        <w:spacing w:after="0" w:line="240" w:lineRule="auto"/>
        <w:contextualSpacing/>
        <w:rPr>
          <w:rFonts w:eastAsia="Times New Roman" w:cstheme="minorHAnsi"/>
          <w:sz w:val="20"/>
          <w:szCs w:val="20"/>
          <w:lang w:eastAsia="en-GB"/>
        </w:rPr>
      </w:pPr>
      <w:r w:rsidRPr="00C54785">
        <w:rPr>
          <w:rFonts w:eastAsia="Times New Roman" w:cstheme="minorHAnsi"/>
          <w:sz w:val="20"/>
          <w:szCs w:val="20"/>
          <w:lang w:eastAsia="en-GB"/>
        </w:rPr>
        <w:t xml:space="preserve">Stenton, Frank, </w:t>
      </w:r>
      <w:r w:rsidRPr="00C54785">
        <w:rPr>
          <w:rFonts w:eastAsia="Times New Roman" w:cstheme="minorHAnsi"/>
          <w:i/>
          <w:sz w:val="20"/>
          <w:szCs w:val="20"/>
          <w:lang w:eastAsia="en-GB"/>
        </w:rPr>
        <w:t>The Bayeux Tapestry</w:t>
      </w:r>
      <w:r w:rsidRPr="00C54785">
        <w:rPr>
          <w:rFonts w:eastAsia="Times New Roman" w:cstheme="minorHAnsi"/>
          <w:sz w:val="20"/>
          <w:szCs w:val="20"/>
          <w:lang w:eastAsia="en-GB"/>
        </w:rPr>
        <w:t xml:space="preserve"> (London: Phaidon, 1965)</w:t>
      </w:r>
      <w:r>
        <w:rPr>
          <w:rFonts w:eastAsia="Times New Roman" w:cstheme="minorHAnsi"/>
          <w:sz w:val="20"/>
          <w:szCs w:val="20"/>
          <w:lang w:eastAsia="en-GB"/>
        </w:rPr>
        <w:t>.</w:t>
      </w:r>
      <w:bookmarkEnd w:id="0"/>
    </w:p>
    <w:p w14:paraId="765F5F51" w14:textId="1030C9BB" w:rsidR="00856FD4" w:rsidRPr="00C54785" w:rsidRDefault="00340C87" w:rsidP="00B406CE">
      <w:pPr>
        <w:spacing w:after="0" w:line="240" w:lineRule="auto"/>
        <w:contextualSpacing/>
        <w:rPr>
          <w:sz w:val="20"/>
          <w:szCs w:val="20"/>
        </w:rPr>
      </w:pPr>
      <w:r>
        <w:rPr>
          <w:sz w:val="20"/>
          <w:szCs w:val="20"/>
        </w:rPr>
        <w:t xml:space="preserve">Van Houts, Elizabeth, </w:t>
      </w:r>
      <w:r w:rsidRPr="00856FD4">
        <w:rPr>
          <w:i/>
          <w:sz w:val="20"/>
          <w:szCs w:val="20"/>
        </w:rPr>
        <w:t>The Normans in Europe</w:t>
      </w:r>
      <w:r>
        <w:rPr>
          <w:sz w:val="20"/>
          <w:szCs w:val="20"/>
        </w:rPr>
        <w:t xml:space="preserve"> (Manchester: Manchester University Press, 2000)</w:t>
      </w:r>
      <w:bookmarkStart w:id="11" w:name="_GoBack"/>
      <w:bookmarkEnd w:id="11"/>
    </w:p>
    <w:sectPr w:rsidR="00856FD4" w:rsidRPr="00C54785">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361471" w14:textId="77777777" w:rsidR="000C7B7B" w:rsidRDefault="000C7B7B" w:rsidP="00853E33">
      <w:pPr>
        <w:spacing w:after="0" w:line="240" w:lineRule="auto"/>
      </w:pPr>
      <w:r>
        <w:separator/>
      </w:r>
    </w:p>
  </w:endnote>
  <w:endnote w:type="continuationSeparator" w:id="0">
    <w:p w14:paraId="1585E88A" w14:textId="77777777" w:rsidR="000C7B7B" w:rsidRDefault="000C7B7B" w:rsidP="00853E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New York">
    <w:panose1 w:val="02040503060506020304"/>
    <w:charset w:val="00"/>
    <w:family w:val="roman"/>
    <w:pitch w:val="variable"/>
    <w:sig w:usb0="00000003" w:usb1="00000000" w:usb2="00000000" w:usb3="00000000" w:csb0="00000001" w:csb1="00000000"/>
  </w:font>
  <w:font w:name="King Harold">
    <w:panose1 w:val="000004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7557756"/>
      <w:docPartObj>
        <w:docPartGallery w:val="Page Numbers (Bottom of Page)"/>
        <w:docPartUnique/>
      </w:docPartObj>
    </w:sdtPr>
    <w:sdtEndPr>
      <w:rPr>
        <w:noProof/>
      </w:rPr>
    </w:sdtEndPr>
    <w:sdtContent>
      <w:p w14:paraId="7377F3AD" w14:textId="44C1BF5D" w:rsidR="00D803F5" w:rsidRDefault="00D803F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A5A552" w14:textId="77777777" w:rsidR="00D803F5" w:rsidRDefault="00D803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A0DC8A" w14:textId="77777777" w:rsidR="000C7B7B" w:rsidRDefault="000C7B7B" w:rsidP="00853E33">
      <w:pPr>
        <w:spacing w:after="0" w:line="240" w:lineRule="auto"/>
      </w:pPr>
      <w:r>
        <w:separator/>
      </w:r>
    </w:p>
  </w:footnote>
  <w:footnote w:type="continuationSeparator" w:id="0">
    <w:p w14:paraId="23DAE0DB" w14:textId="77777777" w:rsidR="000C7B7B" w:rsidRDefault="000C7B7B" w:rsidP="00853E33">
      <w:pPr>
        <w:spacing w:after="0" w:line="240" w:lineRule="auto"/>
      </w:pPr>
      <w:r>
        <w:continuationSeparator/>
      </w:r>
    </w:p>
  </w:footnote>
  <w:footnote w:id="1">
    <w:p w14:paraId="799D0E54" w14:textId="77777777" w:rsidR="00340C87" w:rsidRDefault="00340C87" w:rsidP="00340C87">
      <w:pPr>
        <w:pStyle w:val="FootnoteText"/>
      </w:pPr>
      <w:r>
        <w:rPr>
          <w:rStyle w:val="FootnoteReference"/>
        </w:rPr>
        <w:footnoteRef/>
      </w:r>
      <w:r>
        <w:t xml:space="preserve"> Lucien Musset, </w:t>
      </w:r>
      <w:r w:rsidRPr="00C85C47">
        <w:rPr>
          <w:i/>
        </w:rPr>
        <w:t>The Bayeux Tapestry</w:t>
      </w:r>
      <w:r>
        <w:t xml:space="preserve"> trans. Rex, Richard (Wooddbridge: Boydell, 2002) pp. 14-17.</w:t>
      </w:r>
    </w:p>
  </w:footnote>
  <w:footnote w:id="2">
    <w:p w14:paraId="193B951E" w14:textId="77777777" w:rsidR="00340C87" w:rsidRDefault="00340C87" w:rsidP="00340C87">
      <w:pPr>
        <w:pStyle w:val="FootnoteText"/>
      </w:pPr>
      <w:r>
        <w:rPr>
          <w:rStyle w:val="FootnoteReference"/>
        </w:rPr>
        <w:footnoteRef/>
      </w:r>
      <w:r>
        <w:t xml:space="preserve"> Suzanne Lewis</w:t>
      </w:r>
      <w:r>
        <w:rPr>
          <w:rFonts w:eastAsiaTheme="minorEastAsia" w:cstheme="minorHAnsi"/>
          <w:color w:val="000000" w:themeColor="text1"/>
          <w:kern w:val="24"/>
          <w:lang w:eastAsia="en-GB"/>
        </w:rPr>
        <w:t xml:space="preserve">, </w:t>
      </w:r>
      <w:r w:rsidRPr="009A0279">
        <w:rPr>
          <w:rFonts w:eastAsiaTheme="minorEastAsia" w:cstheme="minorHAnsi"/>
          <w:i/>
          <w:color w:val="000000" w:themeColor="text1"/>
          <w:kern w:val="24"/>
          <w:lang w:eastAsia="en-GB"/>
        </w:rPr>
        <w:t>The Rhetoric of Power in the Bayeux Tapestry</w:t>
      </w:r>
      <w:r>
        <w:rPr>
          <w:rFonts w:eastAsiaTheme="minorEastAsia" w:cstheme="minorHAnsi"/>
          <w:color w:val="000000" w:themeColor="text1"/>
          <w:kern w:val="24"/>
          <w:lang w:eastAsia="en-GB"/>
        </w:rPr>
        <w:t xml:space="preserve"> (Cambridge: Cambridge University Press, 1998).</w:t>
      </w:r>
      <w:r>
        <w:t xml:space="preserve"> p. 10. ‘</w:t>
      </w:r>
      <w:r w:rsidRPr="00B30BCC">
        <w:t>When its status as "text" is recognized, however, the Bayeux Tapestry can be seen as a distinctive narrative, uniquely capable of creating a challenging horizon of multiple expectations that defined its purpose or project for late-eleventh -century audiences in ways that have not yet been considered</w:t>
      </w:r>
      <w:r>
        <w:t>.’</w:t>
      </w:r>
    </w:p>
  </w:footnote>
  <w:footnote w:id="3">
    <w:p w14:paraId="1DD46941" w14:textId="77777777" w:rsidR="00340C87" w:rsidRDefault="00340C87" w:rsidP="00340C87">
      <w:pPr>
        <w:pStyle w:val="FootnoteText"/>
      </w:pPr>
      <w:r>
        <w:rPr>
          <w:rStyle w:val="FootnoteReference"/>
        </w:rPr>
        <w:footnoteRef/>
      </w:r>
      <w:r>
        <w:t xml:space="preserve"> M T Clanchy, </w:t>
      </w:r>
      <w:r w:rsidRPr="00C54785">
        <w:rPr>
          <w:rFonts w:eastAsiaTheme="minorEastAsia" w:hAnsi="King Harold"/>
          <w:i/>
          <w:color w:val="000000" w:themeColor="text1"/>
          <w:kern w:val="24"/>
          <w:lang w:eastAsia="en-GB"/>
        </w:rPr>
        <w:t>From Memory to Written Record: England 1066-1307</w:t>
      </w:r>
      <w:r>
        <w:rPr>
          <w:rFonts w:eastAsiaTheme="minorEastAsia" w:hAnsi="King Harold"/>
          <w:color w:val="000000" w:themeColor="text1"/>
          <w:kern w:val="24"/>
          <w:lang w:eastAsia="en-GB"/>
        </w:rPr>
        <w:t xml:space="preserve"> (Oxford: Blackwell, 1996) </w:t>
      </w:r>
      <w:r>
        <w:t>p. 125.</w:t>
      </w:r>
    </w:p>
  </w:footnote>
  <w:footnote w:id="4">
    <w:p w14:paraId="78D6B5C8" w14:textId="77777777" w:rsidR="00340C87" w:rsidRDefault="00340C87" w:rsidP="00340C87">
      <w:pPr>
        <w:pStyle w:val="FootnoteText"/>
      </w:pPr>
      <w:r>
        <w:rPr>
          <w:rStyle w:val="FootnoteReference"/>
        </w:rPr>
        <w:footnoteRef/>
      </w:r>
      <w:r>
        <w:t xml:space="preserve"> C. R. Dodwell</w:t>
      </w:r>
      <w:r w:rsidRPr="00906663">
        <w:rPr>
          <w:rFonts w:eastAsiaTheme="minorEastAsia" w:cstheme="minorHAnsi"/>
          <w:color w:val="000000" w:themeColor="text1"/>
          <w:kern w:val="24"/>
          <w:lang w:eastAsia="en-GB"/>
        </w:rPr>
        <w:t>, 'The Bayeux Tapestry and the French Secular Epic', </w:t>
      </w:r>
      <w:r w:rsidRPr="00906663">
        <w:rPr>
          <w:rFonts w:eastAsiaTheme="minorEastAsia" w:cstheme="minorHAnsi"/>
          <w:i/>
          <w:iCs/>
          <w:color w:val="000000" w:themeColor="text1"/>
          <w:kern w:val="24"/>
          <w:lang w:eastAsia="en-GB"/>
        </w:rPr>
        <w:t>The Burlington Magazine, </w:t>
      </w:r>
      <w:r w:rsidRPr="00906663">
        <w:rPr>
          <w:rFonts w:eastAsiaTheme="minorEastAsia" w:cstheme="minorHAnsi"/>
          <w:color w:val="000000" w:themeColor="text1"/>
          <w:kern w:val="24"/>
          <w:lang w:eastAsia="en-GB"/>
        </w:rPr>
        <w:t>108</w:t>
      </w:r>
      <w:r w:rsidRPr="00906663">
        <w:rPr>
          <w:rFonts w:eastAsiaTheme="minorEastAsia" w:cstheme="minorHAnsi"/>
          <w:color w:val="000000" w:themeColor="text1"/>
          <w:kern w:val="24"/>
          <w:lang w:eastAsia="en-GB"/>
        </w:rPr>
        <w:tab/>
        <w:t>(1966),</w:t>
      </w:r>
      <w:r>
        <w:rPr>
          <w:rFonts w:eastAsiaTheme="minorEastAsia" w:cstheme="minorHAnsi"/>
          <w:color w:val="000000" w:themeColor="text1"/>
          <w:kern w:val="24"/>
          <w:lang w:eastAsia="en-GB"/>
        </w:rPr>
        <w:t xml:space="preserve"> </w:t>
      </w:r>
      <w:r>
        <w:t xml:space="preserve">p. 549; John D. Anderson, </w:t>
      </w:r>
      <w:r w:rsidRPr="00906663">
        <w:rPr>
          <w:rFonts w:eastAsiaTheme="minorEastAsia" w:hAnsi="King Harold"/>
          <w:color w:val="000000" w:themeColor="text1"/>
          <w:kern w:val="24"/>
          <w:lang w:eastAsia="en-GB"/>
        </w:rPr>
        <w:t>'The Bayeux Tapestry: A 900-Year-Old Latin Cartoon',</w:t>
      </w:r>
      <w:r w:rsidRPr="00906663">
        <w:rPr>
          <w:rFonts w:eastAsiaTheme="minorEastAsia" w:hAnsi="King Harold"/>
          <w:color w:val="000000" w:themeColor="text1"/>
          <w:kern w:val="24"/>
          <w:lang w:eastAsia="en-GB"/>
        </w:rPr>
        <w:t> </w:t>
      </w:r>
      <w:r w:rsidRPr="00906663">
        <w:rPr>
          <w:rFonts w:eastAsiaTheme="minorEastAsia" w:hAnsi="King Harold"/>
          <w:i/>
          <w:iCs/>
          <w:color w:val="000000" w:themeColor="text1"/>
          <w:kern w:val="24"/>
          <w:lang w:eastAsia="en-GB"/>
        </w:rPr>
        <w:t>The Classical Journal,</w:t>
      </w:r>
      <w:r w:rsidRPr="00906663">
        <w:rPr>
          <w:rFonts w:eastAsiaTheme="minorEastAsia" w:hAnsi="King Harold"/>
          <w:i/>
          <w:iCs/>
          <w:color w:val="000000" w:themeColor="text1"/>
          <w:kern w:val="24"/>
          <w:lang w:eastAsia="en-GB"/>
        </w:rPr>
        <w:t> </w:t>
      </w:r>
      <w:r w:rsidRPr="00906663">
        <w:rPr>
          <w:rFonts w:eastAsiaTheme="minorEastAsia" w:hAnsi="King Harold"/>
          <w:color w:val="000000" w:themeColor="text1"/>
          <w:kern w:val="24"/>
          <w:lang w:eastAsia="en-GB"/>
        </w:rPr>
        <w:t>81</w:t>
      </w:r>
      <w:r>
        <w:rPr>
          <w:rFonts w:eastAsiaTheme="minorEastAsia" w:hAnsi="King Harold"/>
          <w:color w:val="000000" w:themeColor="text1"/>
          <w:kern w:val="24"/>
          <w:lang w:eastAsia="en-GB"/>
        </w:rPr>
        <w:t xml:space="preserve"> </w:t>
      </w:r>
      <w:r w:rsidRPr="00906663">
        <w:rPr>
          <w:rFonts w:eastAsiaTheme="minorEastAsia" w:hAnsi="King Harold"/>
          <w:color w:val="000000" w:themeColor="text1"/>
          <w:kern w:val="24"/>
          <w:lang w:eastAsia="en-GB"/>
        </w:rPr>
        <w:t>(1986</w:t>
      </w:r>
      <w:r>
        <w:rPr>
          <w:rFonts w:eastAsiaTheme="minorEastAsia" w:hAnsi="King Harold"/>
          <w:color w:val="000000" w:themeColor="text1"/>
          <w:kern w:val="24"/>
          <w:lang w:eastAsia="en-GB"/>
        </w:rPr>
        <w:t xml:space="preserve">) </w:t>
      </w:r>
      <w:r>
        <w:t>p. 253.</w:t>
      </w:r>
    </w:p>
  </w:footnote>
  <w:footnote w:id="5">
    <w:p w14:paraId="6008AB52" w14:textId="77777777" w:rsidR="00340C87" w:rsidRDefault="00340C87" w:rsidP="00340C87">
      <w:pPr>
        <w:pStyle w:val="FootnoteText"/>
      </w:pPr>
      <w:r>
        <w:rPr>
          <w:rStyle w:val="FootnoteReference"/>
        </w:rPr>
        <w:footnoteRef/>
      </w:r>
      <w:r>
        <w:t xml:space="preserve"> Musset, </w:t>
      </w:r>
      <w:r w:rsidRPr="00000892">
        <w:rPr>
          <w:i/>
        </w:rPr>
        <w:t>Bayeux Tapestry</w:t>
      </w:r>
      <w:r>
        <w:t xml:space="preserve"> pp. 36-38.</w:t>
      </w:r>
    </w:p>
  </w:footnote>
  <w:footnote w:id="6">
    <w:p w14:paraId="47A157C2" w14:textId="77777777" w:rsidR="00340C87" w:rsidRDefault="00340C87" w:rsidP="00340C87">
      <w:pPr>
        <w:pStyle w:val="FootnoteText"/>
      </w:pPr>
      <w:r>
        <w:rPr>
          <w:rStyle w:val="FootnoteReference"/>
        </w:rPr>
        <w:footnoteRef/>
      </w:r>
      <w:r>
        <w:t xml:space="preserve"> Musset, </w:t>
      </w:r>
      <w:r w:rsidRPr="006102B1">
        <w:rPr>
          <w:i/>
        </w:rPr>
        <w:t>Bayeux Tapestry</w:t>
      </w:r>
      <w:r>
        <w:t xml:space="preserve"> p. 16.</w:t>
      </w:r>
    </w:p>
  </w:footnote>
  <w:footnote w:id="7">
    <w:p w14:paraId="13B087B1" w14:textId="77777777" w:rsidR="00340C87" w:rsidRPr="007A4FFE" w:rsidRDefault="00340C87" w:rsidP="00340C87">
      <w:pPr>
        <w:pStyle w:val="FootnoteText"/>
      </w:pPr>
      <w:r>
        <w:rPr>
          <w:rStyle w:val="FootnoteReference"/>
        </w:rPr>
        <w:footnoteRef/>
      </w:r>
      <w:r>
        <w:t xml:space="preserve"> Musset, </w:t>
      </w:r>
      <w:r w:rsidRPr="00D36956">
        <w:rPr>
          <w:i/>
        </w:rPr>
        <w:t>Bayeux Tapestry</w:t>
      </w:r>
      <w:r>
        <w:t xml:space="preserve"> pp. 72-75; Shirley Ann Brown, ‘The Bear, Harold and the Tapestry’ in </w:t>
      </w:r>
      <w:r w:rsidRPr="007A4FFE">
        <w:rPr>
          <w:i/>
        </w:rPr>
        <w:t xml:space="preserve">King Harold II and the Bayeux Tapestry </w:t>
      </w:r>
      <w:r>
        <w:rPr>
          <w:rFonts w:eastAsiaTheme="minorEastAsia" w:cstheme="minorHAnsi"/>
          <w:color w:val="000000" w:themeColor="text1"/>
          <w:kern w:val="24"/>
          <w:lang w:eastAsia="en-GB"/>
        </w:rPr>
        <w:t>ed. Gale Owen-Crocker (</w:t>
      </w:r>
      <w:r w:rsidRPr="00906663">
        <w:rPr>
          <w:rFonts w:eastAsiaTheme="minorEastAsia" w:cstheme="minorHAnsi"/>
          <w:color w:val="000000" w:themeColor="text1"/>
          <w:kern w:val="24"/>
          <w:lang w:eastAsia="en-GB"/>
        </w:rPr>
        <w:t>Woodbridge: The Boydell Press,</w:t>
      </w:r>
      <w:r>
        <w:rPr>
          <w:rFonts w:eastAsiaTheme="minorEastAsia" w:cstheme="minorHAnsi"/>
          <w:color w:val="000000" w:themeColor="text1"/>
          <w:kern w:val="24"/>
          <w:lang w:eastAsia="en-GB"/>
        </w:rPr>
        <w:t xml:space="preserve"> </w:t>
      </w:r>
      <w:r w:rsidRPr="00906663">
        <w:rPr>
          <w:rFonts w:eastAsiaTheme="minorEastAsia" w:cstheme="minorHAnsi"/>
          <w:color w:val="000000" w:themeColor="text1"/>
          <w:kern w:val="24"/>
          <w:lang w:eastAsia="en-GB"/>
        </w:rPr>
        <w:t>2005)</w:t>
      </w:r>
      <w:r>
        <w:rPr>
          <w:rFonts w:eastAsiaTheme="minorEastAsia" w:cstheme="minorHAnsi"/>
          <w:color w:val="000000" w:themeColor="text1"/>
          <w:kern w:val="24"/>
          <w:lang w:eastAsia="en-GB"/>
        </w:rPr>
        <w:t>.</w:t>
      </w:r>
    </w:p>
  </w:footnote>
  <w:footnote w:id="8">
    <w:p w14:paraId="76525F73" w14:textId="77777777" w:rsidR="00340C87" w:rsidRPr="00D80D1B" w:rsidRDefault="00340C87" w:rsidP="00340C87">
      <w:pPr>
        <w:pStyle w:val="FootnoteText"/>
      </w:pPr>
      <w:r>
        <w:rPr>
          <w:rStyle w:val="FootnoteReference"/>
        </w:rPr>
        <w:footnoteRef/>
      </w:r>
      <w:r>
        <w:t xml:space="preserve"> </w:t>
      </w:r>
      <w:r w:rsidRPr="00D80D1B">
        <w:t xml:space="preserve">Elizabeth Van Houts, </w:t>
      </w:r>
      <w:r w:rsidRPr="00D80D1B">
        <w:rPr>
          <w:i/>
        </w:rPr>
        <w:t>The Normans in Europe</w:t>
      </w:r>
      <w:r w:rsidRPr="00D80D1B">
        <w:t xml:space="preserve"> (Manchester: Manchester University Press, 2000) p. 113.</w:t>
      </w:r>
    </w:p>
  </w:footnote>
  <w:footnote w:id="9">
    <w:p w14:paraId="5124A9ED" w14:textId="77777777" w:rsidR="00340C87" w:rsidRPr="00D80D1B" w:rsidRDefault="00340C87" w:rsidP="00340C87">
      <w:pPr>
        <w:pStyle w:val="FootnoteText"/>
      </w:pPr>
      <w:r w:rsidRPr="00D80D1B">
        <w:rPr>
          <w:rStyle w:val="FootnoteReference"/>
        </w:rPr>
        <w:footnoteRef/>
      </w:r>
      <w:r w:rsidRPr="00D80D1B">
        <w:t xml:space="preserve"> Van Houts, </w:t>
      </w:r>
      <w:r w:rsidRPr="00D80D1B">
        <w:rPr>
          <w:i/>
        </w:rPr>
        <w:t>Normans</w:t>
      </w:r>
      <w:r w:rsidRPr="00D80D1B">
        <w:t>, p. 34.</w:t>
      </w:r>
    </w:p>
  </w:footnote>
  <w:footnote w:id="10">
    <w:p w14:paraId="0697B95A" w14:textId="77777777" w:rsidR="00340C87" w:rsidRPr="00D80D1B" w:rsidRDefault="00340C87" w:rsidP="00340C87">
      <w:pPr>
        <w:pStyle w:val="FootnoteText"/>
      </w:pPr>
      <w:r w:rsidRPr="00D80D1B">
        <w:rPr>
          <w:rStyle w:val="FootnoteReference"/>
        </w:rPr>
        <w:footnoteRef/>
      </w:r>
      <w:r w:rsidRPr="00D80D1B">
        <w:t xml:space="preserve"> Van Houts, </w:t>
      </w:r>
      <w:r w:rsidRPr="00D80D1B">
        <w:rPr>
          <w:i/>
        </w:rPr>
        <w:t>Normans,</w:t>
      </w:r>
      <w:r w:rsidRPr="00D80D1B">
        <w:t xml:space="preserve"> p.118.</w:t>
      </w:r>
    </w:p>
  </w:footnote>
  <w:footnote w:id="11">
    <w:p w14:paraId="05AE536B" w14:textId="77777777" w:rsidR="00340C87" w:rsidRPr="00D80D1B" w:rsidRDefault="00340C87" w:rsidP="00340C87">
      <w:pPr>
        <w:pStyle w:val="FootnoteText"/>
      </w:pPr>
      <w:r w:rsidRPr="00D80D1B">
        <w:rPr>
          <w:rStyle w:val="FootnoteReference"/>
        </w:rPr>
        <w:footnoteRef/>
      </w:r>
      <w:r w:rsidRPr="00D80D1B">
        <w:t xml:space="preserve"> Henry of Huntingdon, </w:t>
      </w:r>
      <w:r w:rsidRPr="00D80D1B">
        <w:rPr>
          <w:i/>
        </w:rPr>
        <w:t>Historia Anglorum,</w:t>
      </w:r>
      <w:r w:rsidRPr="00D80D1B">
        <w:t xml:space="preserve"> as provided in course reader.</w:t>
      </w:r>
    </w:p>
  </w:footnote>
  <w:footnote w:id="12">
    <w:p w14:paraId="0BC2D94F" w14:textId="77777777" w:rsidR="00340C87" w:rsidRDefault="00340C87" w:rsidP="00340C87">
      <w:pPr>
        <w:pStyle w:val="FootnoteText"/>
      </w:pPr>
      <w:r w:rsidRPr="00D80D1B">
        <w:rPr>
          <w:rStyle w:val="FootnoteReference"/>
        </w:rPr>
        <w:footnoteRef/>
      </w:r>
      <w:r w:rsidRPr="00D80D1B">
        <w:t xml:space="preserve"> Anglo-Saxon Archaeology website</w:t>
      </w:r>
      <w:r>
        <w:t>.</w:t>
      </w:r>
    </w:p>
  </w:footnote>
  <w:footnote w:id="13">
    <w:p w14:paraId="4D177055" w14:textId="77777777" w:rsidR="00340C87" w:rsidRPr="00D80D1B" w:rsidRDefault="00340C87" w:rsidP="00340C87">
      <w:pPr>
        <w:pStyle w:val="FootnoteText"/>
      </w:pPr>
      <w:r>
        <w:rPr>
          <w:rStyle w:val="FootnoteReference"/>
        </w:rPr>
        <w:footnoteRef/>
      </w:r>
      <w:r>
        <w:t xml:space="preserve"> </w:t>
      </w:r>
      <w:r w:rsidRPr="00D80D1B">
        <w:t xml:space="preserve">William of Jumieges in </w:t>
      </w:r>
      <w:r w:rsidRPr="00D80D1B">
        <w:rPr>
          <w:i/>
        </w:rPr>
        <w:t xml:space="preserve">The Normans in Europe, </w:t>
      </w:r>
      <w:r w:rsidRPr="00D80D1B">
        <w:t>ed</w:t>
      </w:r>
      <w:r w:rsidRPr="00D80D1B">
        <w:rPr>
          <w:i/>
        </w:rPr>
        <w:t>.</w:t>
      </w:r>
      <w:r w:rsidRPr="00D80D1B">
        <w:t xml:space="preserve"> Elizabeth Van Houts, (p. 114.</w:t>
      </w:r>
    </w:p>
  </w:footnote>
  <w:footnote w:id="14">
    <w:p w14:paraId="173D5568" w14:textId="77777777" w:rsidR="00340C87" w:rsidRPr="00D80D1B" w:rsidRDefault="00340C87" w:rsidP="00340C87">
      <w:pPr>
        <w:pStyle w:val="FootnoteText"/>
      </w:pPr>
      <w:r w:rsidRPr="00D80D1B">
        <w:rPr>
          <w:rStyle w:val="FootnoteReference"/>
        </w:rPr>
        <w:footnoteRef/>
      </w:r>
      <w:r w:rsidRPr="00D80D1B">
        <w:t xml:space="preserve"> </w:t>
      </w:r>
      <w:bookmarkStart w:id="1" w:name="_Hlk530063764"/>
      <w:r w:rsidRPr="00D80D1B">
        <w:t xml:space="preserve">William of Jumieges in </w:t>
      </w:r>
      <w:r w:rsidRPr="00D80D1B">
        <w:rPr>
          <w:i/>
        </w:rPr>
        <w:t xml:space="preserve">Normans, </w:t>
      </w:r>
      <w:r w:rsidRPr="00D80D1B">
        <w:t>ed. Van Houts, p. 114.</w:t>
      </w:r>
      <w:bookmarkEnd w:id="1"/>
    </w:p>
  </w:footnote>
  <w:footnote w:id="15">
    <w:p w14:paraId="2702392B" w14:textId="77777777" w:rsidR="00340C87" w:rsidRPr="00D80D1B" w:rsidRDefault="00340C87" w:rsidP="00340C87">
      <w:pPr>
        <w:pStyle w:val="FootnoteText"/>
      </w:pPr>
      <w:r w:rsidRPr="00D80D1B">
        <w:rPr>
          <w:rStyle w:val="FootnoteReference"/>
        </w:rPr>
        <w:footnoteRef/>
      </w:r>
      <w:r w:rsidRPr="00D80D1B">
        <w:t xml:space="preserve"> Anglo-Saxon Archaeology website</w:t>
      </w:r>
      <w:r>
        <w:t>.</w:t>
      </w:r>
    </w:p>
  </w:footnote>
  <w:footnote w:id="16">
    <w:p w14:paraId="1B57FDEA" w14:textId="77777777" w:rsidR="00340C87" w:rsidRDefault="00340C87" w:rsidP="00340C87">
      <w:pPr>
        <w:pStyle w:val="FootnoteText"/>
      </w:pPr>
      <w:r w:rsidRPr="00D80D1B">
        <w:rPr>
          <w:rStyle w:val="FootnoteReference"/>
        </w:rPr>
        <w:footnoteRef/>
      </w:r>
      <w:r w:rsidRPr="00D80D1B">
        <w:t xml:space="preserve"> </w:t>
      </w:r>
      <w:r w:rsidRPr="00D80D1B">
        <w:rPr>
          <w:i/>
        </w:rPr>
        <w:t>The Anglo-Saxon Chronicle</w:t>
      </w:r>
      <w:r w:rsidRPr="00D80D1B">
        <w:t xml:space="preserve"> pp. 194 &amp; 195.</w:t>
      </w:r>
    </w:p>
  </w:footnote>
  <w:footnote w:id="17">
    <w:p w14:paraId="19B4C4F0" w14:textId="77777777" w:rsidR="00340C87" w:rsidRPr="00D80D1B" w:rsidRDefault="00340C87" w:rsidP="00340C87">
      <w:pPr>
        <w:pStyle w:val="FootnoteText"/>
      </w:pPr>
      <w:r>
        <w:rPr>
          <w:rStyle w:val="FootnoteReference"/>
        </w:rPr>
        <w:footnoteRef/>
      </w:r>
      <w:r>
        <w:t xml:space="preserve"> </w:t>
      </w:r>
      <w:r w:rsidRPr="00D80D1B">
        <w:t>Anglo-Saxon Archaeology website</w:t>
      </w:r>
      <w:r>
        <w:t>.</w:t>
      </w:r>
    </w:p>
  </w:footnote>
  <w:footnote w:id="18">
    <w:p w14:paraId="46F3F73D" w14:textId="77777777" w:rsidR="00340C87" w:rsidRPr="00D80D1B" w:rsidRDefault="00340C87" w:rsidP="00340C87">
      <w:pPr>
        <w:pStyle w:val="FootnoteText"/>
      </w:pPr>
      <w:r w:rsidRPr="00D80D1B">
        <w:rPr>
          <w:rStyle w:val="FootnoteReference"/>
        </w:rPr>
        <w:footnoteRef/>
      </w:r>
      <w:r w:rsidRPr="00D80D1B">
        <w:t xml:space="preserve"> William of Malmesbury, </w:t>
      </w:r>
      <w:r w:rsidRPr="00D80D1B">
        <w:rPr>
          <w:i/>
        </w:rPr>
        <w:t>Gesta Regum Anglorum</w:t>
      </w:r>
      <w:r w:rsidRPr="00D80D1B">
        <w:t>, as provided in course reader.</w:t>
      </w:r>
    </w:p>
  </w:footnote>
  <w:footnote w:id="19">
    <w:p w14:paraId="1860C703" w14:textId="77777777" w:rsidR="00340C87" w:rsidRPr="00D80D1B" w:rsidRDefault="00340C87" w:rsidP="00340C87">
      <w:pPr>
        <w:pStyle w:val="FootnoteText"/>
      </w:pPr>
      <w:r w:rsidRPr="00D80D1B">
        <w:rPr>
          <w:rStyle w:val="FootnoteReference"/>
        </w:rPr>
        <w:footnoteRef/>
      </w:r>
      <w:r w:rsidRPr="00D80D1B">
        <w:t xml:space="preserve"> Henry of Huntingdon </w:t>
      </w:r>
      <w:r w:rsidRPr="00D80D1B">
        <w:rPr>
          <w:i/>
        </w:rPr>
        <w:t>History of the English People 1000-1154</w:t>
      </w:r>
      <w:r w:rsidRPr="00D80D1B">
        <w:t xml:space="preserve"> as provided in course reader.</w:t>
      </w:r>
    </w:p>
  </w:footnote>
  <w:footnote w:id="20">
    <w:p w14:paraId="53BF8E7D" w14:textId="77777777" w:rsidR="00340C87" w:rsidRPr="00D80D1B" w:rsidRDefault="00340C87" w:rsidP="00340C87">
      <w:pPr>
        <w:pStyle w:val="FootnoteText"/>
      </w:pPr>
      <w:r w:rsidRPr="00D80D1B">
        <w:rPr>
          <w:rStyle w:val="FootnoteReference"/>
        </w:rPr>
        <w:footnoteRef/>
      </w:r>
      <w:r w:rsidRPr="00D80D1B">
        <w:t xml:space="preserve"> </w:t>
      </w:r>
      <w:bookmarkStart w:id="2" w:name="_Hlk530063966"/>
      <w:r w:rsidRPr="00D80D1B">
        <w:t xml:space="preserve">William of Jumieges in </w:t>
      </w:r>
      <w:r w:rsidRPr="00D80D1B">
        <w:rPr>
          <w:i/>
        </w:rPr>
        <w:t xml:space="preserve">Normans, </w:t>
      </w:r>
      <w:r w:rsidRPr="00D80D1B">
        <w:t>ed. Van Houts, p</w:t>
      </w:r>
      <w:bookmarkEnd w:id="2"/>
      <w:r w:rsidRPr="00D80D1B">
        <w:t>. 114.</w:t>
      </w:r>
    </w:p>
  </w:footnote>
  <w:footnote w:id="21">
    <w:p w14:paraId="76CA276D" w14:textId="77777777" w:rsidR="00340C87" w:rsidRPr="00D80D1B" w:rsidRDefault="00340C87" w:rsidP="00340C87">
      <w:pPr>
        <w:pStyle w:val="FootnoteText"/>
      </w:pPr>
      <w:r w:rsidRPr="00D80D1B">
        <w:rPr>
          <w:rStyle w:val="FootnoteReference"/>
        </w:rPr>
        <w:footnoteRef/>
      </w:r>
      <w:r w:rsidRPr="00D80D1B">
        <w:t xml:space="preserve"> </w:t>
      </w:r>
      <w:bookmarkStart w:id="3" w:name="_Hlk530063812"/>
      <w:r w:rsidRPr="00D80D1B">
        <w:rPr>
          <w:i/>
        </w:rPr>
        <w:t>The Anglo-Saxon Chronicle</w:t>
      </w:r>
      <w:r w:rsidRPr="00D80D1B">
        <w:t xml:space="preserve"> </w:t>
      </w:r>
      <w:bookmarkEnd w:id="3"/>
      <w:r w:rsidRPr="00D80D1B">
        <w:t>p. 194.</w:t>
      </w:r>
    </w:p>
  </w:footnote>
  <w:footnote w:id="22">
    <w:p w14:paraId="44576E84" w14:textId="77777777" w:rsidR="00340C87" w:rsidRPr="00D80D1B" w:rsidRDefault="00340C87" w:rsidP="00340C87">
      <w:pPr>
        <w:pStyle w:val="FootnoteText"/>
      </w:pPr>
      <w:r w:rsidRPr="00D80D1B">
        <w:rPr>
          <w:rStyle w:val="FootnoteReference"/>
        </w:rPr>
        <w:footnoteRef/>
      </w:r>
      <w:r w:rsidRPr="00D80D1B">
        <w:t xml:space="preserve"> </w:t>
      </w:r>
      <w:r w:rsidRPr="00D80D1B">
        <w:rPr>
          <w:i/>
        </w:rPr>
        <w:t>The Anglo-Saxon Chronicle</w:t>
      </w:r>
      <w:r w:rsidRPr="00D80D1B">
        <w:t xml:space="preserve"> p. 197.</w:t>
      </w:r>
    </w:p>
  </w:footnote>
  <w:footnote w:id="23">
    <w:p w14:paraId="6937A9C6" w14:textId="77777777" w:rsidR="00340C87" w:rsidRPr="00D80D1B" w:rsidRDefault="00340C87" w:rsidP="00340C87">
      <w:pPr>
        <w:pStyle w:val="FootnoteText"/>
      </w:pPr>
      <w:r w:rsidRPr="00D80D1B">
        <w:rPr>
          <w:rStyle w:val="FootnoteReference"/>
        </w:rPr>
        <w:footnoteRef/>
      </w:r>
      <w:r w:rsidRPr="00D80D1B">
        <w:t xml:space="preserve"> Anglo-Saxon Archaeology website</w:t>
      </w:r>
      <w:r>
        <w:t>.</w:t>
      </w:r>
    </w:p>
  </w:footnote>
  <w:footnote w:id="24">
    <w:p w14:paraId="1778F962" w14:textId="77777777" w:rsidR="00340C87" w:rsidRPr="006D57E7" w:rsidRDefault="00340C87" w:rsidP="00340C87">
      <w:pPr>
        <w:pStyle w:val="FootnoteText"/>
      </w:pPr>
      <w:r>
        <w:rPr>
          <w:rStyle w:val="FootnoteReference"/>
        </w:rPr>
        <w:footnoteRef/>
      </w:r>
      <w:r>
        <w:t xml:space="preserve"> Broughton, R. P., ‘</w:t>
      </w:r>
      <w:r w:rsidRPr="006D57E7">
        <w:t xml:space="preserve">The Visibility of Halley’s Comet’, </w:t>
      </w:r>
      <w:r w:rsidRPr="006D57E7">
        <w:rPr>
          <w:i/>
          <w:color w:val="000000"/>
          <w:shd w:val="clear" w:color="auto" w:fill="FFFFFF"/>
        </w:rPr>
        <w:t>Journal of the Royal Astronomical Society of Canada</w:t>
      </w:r>
      <w:r w:rsidRPr="006D57E7">
        <w:rPr>
          <w:color w:val="000000"/>
          <w:shd w:val="clear" w:color="auto" w:fill="FFFFFF"/>
        </w:rPr>
        <w:t>, vol. 73, Feb. 1979, p. 24-36.</w:t>
      </w:r>
    </w:p>
  </w:footnote>
  <w:footnote w:id="25">
    <w:p w14:paraId="1703E006" w14:textId="77777777" w:rsidR="00340C87" w:rsidRPr="00D80D1B" w:rsidRDefault="00340C87" w:rsidP="00340C87">
      <w:pPr>
        <w:pStyle w:val="FootnoteText"/>
      </w:pPr>
      <w:r w:rsidRPr="006D57E7">
        <w:rPr>
          <w:rStyle w:val="FootnoteReference"/>
        </w:rPr>
        <w:footnoteRef/>
      </w:r>
      <w:r w:rsidRPr="006D57E7">
        <w:t xml:space="preserve"> </w:t>
      </w:r>
      <w:r w:rsidRPr="006D57E7">
        <w:rPr>
          <w:i/>
        </w:rPr>
        <w:t>The Anglo-Saxon Chronicle</w:t>
      </w:r>
      <w:r w:rsidRPr="006D57E7">
        <w:t xml:space="preserve"> pp. 196 &amp; 197.</w:t>
      </w:r>
    </w:p>
  </w:footnote>
  <w:footnote w:id="26">
    <w:p w14:paraId="0AB5FB3C" w14:textId="77777777" w:rsidR="00340C87" w:rsidRPr="00D80D1B" w:rsidRDefault="00340C87" w:rsidP="00340C87">
      <w:pPr>
        <w:pStyle w:val="FootnoteText"/>
      </w:pPr>
      <w:r w:rsidRPr="00D80D1B">
        <w:rPr>
          <w:rStyle w:val="FootnoteReference"/>
        </w:rPr>
        <w:footnoteRef/>
      </w:r>
      <w:r w:rsidRPr="00D80D1B">
        <w:t xml:space="preserve"> </w:t>
      </w:r>
      <w:r w:rsidRPr="00D80D1B">
        <w:rPr>
          <w:i/>
        </w:rPr>
        <w:t>Carmen de Hastingae</w:t>
      </w:r>
      <w:r w:rsidRPr="00D80D1B">
        <w:t xml:space="preserve"> as provided in course reader.</w:t>
      </w:r>
    </w:p>
  </w:footnote>
  <w:footnote w:id="27">
    <w:p w14:paraId="0273D0FE" w14:textId="77777777" w:rsidR="00340C87" w:rsidRPr="00D80D1B" w:rsidRDefault="00340C87" w:rsidP="00340C87">
      <w:pPr>
        <w:pStyle w:val="FootnoteText"/>
      </w:pPr>
      <w:r w:rsidRPr="00D80D1B">
        <w:rPr>
          <w:rStyle w:val="FootnoteReference"/>
        </w:rPr>
        <w:footnoteRef/>
      </w:r>
      <w:r w:rsidRPr="00D80D1B">
        <w:t xml:space="preserve"> William of Jumieges in </w:t>
      </w:r>
      <w:r w:rsidRPr="00D80D1B">
        <w:rPr>
          <w:i/>
        </w:rPr>
        <w:t xml:space="preserve">Normans, </w:t>
      </w:r>
      <w:r w:rsidRPr="00D80D1B">
        <w:t>ed. Van Houts, p 114.</w:t>
      </w:r>
    </w:p>
  </w:footnote>
  <w:footnote w:id="28">
    <w:p w14:paraId="3025497C" w14:textId="77777777" w:rsidR="00340C87" w:rsidRPr="00D80D1B" w:rsidRDefault="00340C87" w:rsidP="00340C87">
      <w:pPr>
        <w:pStyle w:val="FootnoteText"/>
      </w:pPr>
      <w:r w:rsidRPr="00D80D1B">
        <w:rPr>
          <w:rStyle w:val="FootnoteReference"/>
        </w:rPr>
        <w:footnoteRef/>
      </w:r>
      <w:r w:rsidRPr="00D80D1B">
        <w:t xml:space="preserve"> Anglo-Saxon Archaeology website</w:t>
      </w:r>
      <w:r>
        <w:t>.</w:t>
      </w:r>
    </w:p>
  </w:footnote>
  <w:footnote w:id="29">
    <w:p w14:paraId="2180F025" w14:textId="77777777" w:rsidR="00340C87" w:rsidRPr="00D80D1B" w:rsidRDefault="00340C87" w:rsidP="00340C87">
      <w:pPr>
        <w:pStyle w:val="FootnoteText"/>
      </w:pPr>
      <w:r w:rsidRPr="00D80D1B">
        <w:rPr>
          <w:rStyle w:val="FootnoteReference"/>
        </w:rPr>
        <w:footnoteRef/>
      </w:r>
      <w:r w:rsidRPr="00D80D1B">
        <w:t xml:space="preserve"> </w:t>
      </w:r>
      <w:bookmarkStart w:id="4" w:name="_Hlk530064245"/>
      <w:r w:rsidRPr="00D80D1B">
        <w:t xml:space="preserve">William of Poitiers in </w:t>
      </w:r>
      <w:r w:rsidRPr="00D80D1B">
        <w:rPr>
          <w:i/>
        </w:rPr>
        <w:t xml:space="preserve">Normans, </w:t>
      </w:r>
      <w:r w:rsidRPr="00D80D1B">
        <w:t xml:space="preserve">ed. Van Houts, </w:t>
      </w:r>
      <w:bookmarkEnd w:id="4"/>
      <w:r w:rsidRPr="00D80D1B">
        <w:t>p. 121.</w:t>
      </w:r>
    </w:p>
  </w:footnote>
  <w:footnote w:id="30">
    <w:p w14:paraId="6A897A9B" w14:textId="77777777" w:rsidR="00340C87" w:rsidRPr="00D80D1B" w:rsidRDefault="00340C87" w:rsidP="00340C87">
      <w:pPr>
        <w:pStyle w:val="FootnoteText"/>
      </w:pPr>
      <w:r w:rsidRPr="00D80D1B">
        <w:rPr>
          <w:rStyle w:val="FootnoteReference"/>
        </w:rPr>
        <w:footnoteRef/>
      </w:r>
      <w:r w:rsidRPr="00D80D1B">
        <w:t xml:space="preserve"> Anglo-Saxon Archaeology website</w:t>
      </w:r>
      <w:r>
        <w:t>.</w:t>
      </w:r>
    </w:p>
  </w:footnote>
  <w:footnote w:id="31">
    <w:p w14:paraId="37316ADE" w14:textId="77777777" w:rsidR="00340C87" w:rsidRDefault="00340C87" w:rsidP="00340C87">
      <w:pPr>
        <w:pStyle w:val="FootnoteText"/>
      </w:pPr>
      <w:r w:rsidRPr="00D80D1B">
        <w:rPr>
          <w:rStyle w:val="FootnoteReference"/>
        </w:rPr>
        <w:footnoteRef/>
      </w:r>
      <w:r w:rsidRPr="00D80D1B">
        <w:t xml:space="preserve"> Orderic Vitalis </w:t>
      </w:r>
      <w:r>
        <w:t>as provided in course reader.</w:t>
      </w:r>
    </w:p>
  </w:footnote>
  <w:footnote w:id="32">
    <w:p w14:paraId="7DDDA953" w14:textId="77777777" w:rsidR="00340C87" w:rsidRPr="00D80D1B" w:rsidRDefault="00340C87" w:rsidP="00340C87">
      <w:pPr>
        <w:pStyle w:val="FootnoteText"/>
      </w:pPr>
      <w:r w:rsidRPr="00D80D1B">
        <w:rPr>
          <w:rStyle w:val="FootnoteReference"/>
        </w:rPr>
        <w:footnoteRef/>
      </w:r>
      <w:r w:rsidRPr="00D80D1B">
        <w:t xml:space="preserve"> </w:t>
      </w:r>
      <w:r w:rsidRPr="00D80D1B">
        <w:rPr>
          <w:i/>
        </w:rPr>
        <w:t>The Anglo-Saxon Chronicle</w:t>
      </w:r>
      <w:r w:rsidRPr="00D80D1B">
        <w:t xml:space="preserve"> p. 199.</w:t>
      </w:r>
    </w:p>
  </w:footnote>
  <w:footnote w:id="33">
    <w:p w14:paraId="3BB5DDD2" w14:textId="77777777" w:rsidR="00340C87" w:rsidRPr="00D80D1B" w:rsidRDefault="00340C87" w:rsidP="00340C87">
      <w:pPr>
        <w:pStyle w:val="FootnoteText"/>
      </w:pPr>
      <w:r w:rsidRPr="00D80D1B">
        <w:rPr>
          <w:rStyle w:val="FootnoteReference"/>
        </w:rPr>
        <w:footnoteRef/>
      </w:r>
      <w:r w:rsidRPr="00D80D1B">
        <w:t xml:space="preserve"> William of Poitiers in </w:t>
      </w:r>
      <w:r w:rsidRPr="00D80D1B">
        <w:rPr>
          <w:i/>
        </w:rPr>
        <w:t xml:space="preserve">Normans, </w:t>
      </w:r>
      <w:r w:rsidRPr="00D80D1B">
        <w:t>ed. Van Houts, p. 121</w:t>
      </w:r>
      <w:r>
        <w:t>.</w:t>
      </w:r>
    </w:p>
  </w:footnote>
  <w:footnote w:id="34">
    <w:p w14:paraId="4B0BA71E" w14:textId="77777777" w:rsidR="00340C87" w:rsidRPr="00D80D1B" w:rsidRDefault="00340C87" w:rsidP="00340C87">
      <w:pPr>
        <w:pStyle w:val="FootnoteText"/>
      </w:pPr>
      <w:r w:rsidRPr="00D80D1B">
        <w:rPr>
          <w:rStyle w:val="FootnoteReference"/>
        </w:rPr>
        <w:footnoteRef/>
      </w:r>
      <w:r w:rsidRPr="00D80D1B">
        <w:t xml:space="preserve"> Anglo-Saxon Archaeology website</w:t>
      </w:r>
      <w:r>
        <w:t>.</w:t>
      </w:r>
    </w:p>
  </w:footnote>
  <w:footnote w:id="35">
    <w:p w14:paraId="1916FDF8" w14:textId="77777777" w:rsidR="00340C87" w:rsidRPr="00D80D1B" w:rsidRDefault="00340C87" w:rsidP="00340C87">
      <w:pPr>
        <w:pStyle w:val="FootnoteText"/>
      </w:pPr>
      <w:r w:rsidRPr="00D80D1B">
        <w:rPr>
          <w:rStyle w:val="FootnoteReference"/>
        </w:rPr>
        <w:footnoteRef/>
      </w:r>
      <w:r w:rsidRPr="00D80D1B">
        <w:t xml:space="preserve"> </w:t>
      </w:r>
      <w:bookmarkStart w:id="5" w:name="_Hlk529803706"/>
      <w:r w:rsidRPr="00D80D1B">
        <w:t xml:space="preserve">William of Malmesbury </w:t>
      </w:r>
      <w:bookmarkEnd w:id="5"/>
      <w:r w:rsidRPr="00D80D1B">
        <w:t>as provided in course reader.</w:t>
      </w:r>
    </w:p>
  </w:footnote>
  <w:footnote w:id="36">
    <w:p w14:paraId="2219E54B" w14:textId="77777777" w:rsidR="00340C87" w:rsidRPr="00D80D1B" w:rsidRDefault="00340C87" w:rsidP="00340C87">
      <w:pPr>
        <w:pStyle w:val="FootnoteText"/>
      </w:pPr>
      <w:r w:rsidRPr="00D80D1B">
        <w:rPr>
          <w:rStyle w:val="FootnoteReference"/>
        </w:rPr>
        <w:footnoteRef/>
      </w:r>
      <w:r w:rsidRPr="00D80D1B">
        <w:t xml:space="preserve"> </w:t>
      </w:r>
      <w:r w:rsidRPr="00D80D1B">
        <w:rPr>
          <w:i/>
        </w:rPr>
        <w:t>Carmen de Hastingae</w:t>
      </w:r>
      <w:r w:rsidRPr="00D80D1B">
        <w:t xml:space="preserve"> as provided in course reader.</w:t>
      </w:r>
    </w:p>
  </w:footnote>
  <w:footnote w:id="37">
    <w:p w14:paraId="567E2BB0" w14:textId="77777777" w:rsidR="00340C87" w:rsidRPr="00D80D1B" w:rsidRDefault="00340C87" w:rsidP="00340C87">
      <w:pPr>
        <w:pStyle w:val="FootnoteText"/>
      </w:pPr>
      <w:r w:rsidRPr="00D80D1B">
        <w:rPr>
          <w:rStyle w:val="FootnoteReference"/>
        </w:rPr>
        <w:footnoteRef/>
      </w:r>
      <w:r w:rsidRPr="00D80D1B">
        <w:t xml:space="preserve"> Anglo-Saxon Archaeology website</w:t>
      </w:r>
      <w:r>
        <w:t>.</w:t>
      </w:r>
    </w:p>
  </w:footnote>
  <w:footnote w:id="38">
    <w:p w14:paraId="415ED6AE" w14:textId="77777777" w:rsidR="00340C87" w:rsidRDefault="00340C87" w:rsidP="00340C87">
      <w:pPr>
        <w:pStyle w:val="FootnoteText"/>
      </w:pPr>
      <w:r>
        <w:rPr>
          <w:rStyle w:val="FootnoteReference"/>
        </w:rPr>
        <w:footnoteRef/>
      </w:r>
      <w:r>
        <w:t xml:space="preserve"> William of Malmesbury as provided in course reader.</w:t>
      </w:r>
    </w:p>
  </w:footnote>
  <w:footnote w:id="39">
    <w:p w14:paraId="6E5E9F95" w14:textId="77777777" w:rsidR="00340C87" w:rsidRDefault="00340C87" w:rsidP="00340C87">
      <w:pPr>
        <w:pStyle w:val="FootnoteText"/>
      </w:pPr>
      <w:r>
        <w:rPr>
          <w:rStyle w:val="FootnoteReference"/>
        </w:rPr>
        <w:footnoteRef/>
      </w:r>
      <w:r>
        <w:t xml:space="preserve"> William of Jumieges as provided in course reader.</w:t>
      </w:r>
    </w:p>
  </w:footnote>
  <w:footnote w:id="40">
    <w:p w14:paraId="3F1D172F" w14:textId="77777777" w:rsidR="00340C87" w:rsidRDefault="00340C87" w:rsidP="00340C87">
      <w:pPr>
        <w:pStyle w:val="FootnoteText"/>
      </w:pPr>
      <w:r>
        <w:rPr>
          <w:rStyle w:val="FootnoteReference"/>
        </w:rPr>
        <w:footnoteRef/>
      </w:r>
      <w:r>
        <w:t xml:space="preserve"> William of Newburgh as provided in course reader.</w:t>
      </w:r>
    </w:p>
  </w:footnote>
  <w:footnote w:id="41">
    <w:p w14:paraId="5A0F29E2" w14:textId="77777777" w:rsidR="00340C87" w:rsidRDefault="00340C87" w:rsidP="00340C87">
      <w:pPr>
        <w:pStyle w:val="FootnoteText"/>
      </w:pPr>
      <w:r>
        <w:rPr>
          <w:rStyle w:val="FootnoteReference"/>
        </w:rPr>
        <w:footnoteRef/>
      </w:r>
      <w:r>
        <w:t xml:space="preserve"> Henry of Huntingdon as provided in course reader.</w:t>
      </w:r>
    </w:p>
  </w:footnote>
  <w:footnote w:id="42">
    <w:p w14:paraId="12C6ABB4" w14:textId="77777777" w:rsidR="00340C87" w:rsidRDefault="00340C87" w:rsidP="00340C87">
      <w:pPr>
        <w:pStyle w:val="FootnoteText"/>
      </w:pPr>
      <w:r>
        <w:rPr>
          <w:rStyle w:val="FootnoteReference"/>
        </w:rPr>
        <w:footnoteRef/>
      </w:r>
      <w:r>
        <w:t xml:space="preserve"> </w:t>
      </w:r>
      <w:r w:rsidRPr="00BF5E60">
        <w:rPr>
          <w:i/>
        </w:rPr>
        <w:t>Carmen de Hastingae Proelio</w:t>
      </w:r>
      <w:r>
        <w:t xml:space="preserve"> as provided in course reader.</w:t>
      </w:r>
    </w:p>
  </w:footnote>
  <w:footnote w:id="43">
    <w:p w14:paraId="6AB5E1BE" w14:textId="77777777" w:rsidR="00340C87" w:rsidRDefault="00340C87" w:rsidP="00340C87">
      <w:pPr>
        <w:pStyle w:val="FootnoteText"/>
      </w:pPr>
      <w:r w:rsidRPr="00D80D1B">
        <w:rPr>
          <w:rStyle w:val="FootnoteReference"/>
        </w:rPr>
        <w:footnoteRef/>
      </w:r>
      <w:r w:rsidRPr="00D80D1B">
        <w:t xml:space="preserve"> Amatus of Montecassino, </w:t>
      </w:r>
      <w:r w:rsidRPr="00D80D1B">
        <w:rPr>
          <w:i/>
        </w:rPr>
        <w:t xml:space="preserve">History of the Normans </w:t>
      </w:r>
      <w:r w:rsidRPr="00D80D1B">
        <w:t>p. 46. ‘William first went against Harold, fought against him, gouged out his eye with an arrow, and slew a great many English men.’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DBF85" w14:textId="2E4FA2CB" w:rsidR="00D803F5" w:rsidRDefault="00D803F5">
    <w:pPr>
      <w:pStyle w:val="Header"/>
    </w:pPr>
    <w:r>
      <w:t>1402066</w:t>
    </w:r>
    <w:r>
      <w:ptab w:relativeTo="margin" w:alignment="center" w:leader="none"/>
    </w:r>
    <w:r>
      <w:t>HPHI6009</w:t>
    </w:r>
    <w:r>
      <w:ptab w:relativeTo="margin" w:alignment="right" w:leader="none"/>
    </w:r>
    <w:r>
      <w:t>Natasha Coombs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1143BF"/>
    <w:multiLevelType w:val="hybridMultilevel"/>
    <w:tmpl w:val="944CCF9E"/>
    <w:lvl w:ilvl="0" w:tplc="A09E462C">
      <w:start w:val="1"/>
      <w:numFmt w:val="bullet"/>
      <w:lvlText w:val="•"/>
      <w:lvlJc w:val="left"/>
      <w:pPr>
        <w:tabs>
          <w:tab w:val="num" w:pos="720"/>
        </w:tabs>
        <w:ind w:left="720" w:hanging="360"/>
      </w:pPr>
      <w:rPr>
        <w:rFonts w:ascii="Arial" w:hAnsi="Arial" w:hint="default"/>
      </w:rPr>
    </w:lvl>
    <w:lvl w:ilvl="1" w:tplc="74FEA8CA" w:tentative="1">
      <w:start w:val="1"/>
      <w:numFmt w:val="bullet"/>
      <w:lvlText w:val="•"/>
      <w:lvlJc w:val="left"/>
      <w:pPr>
        <w:tabs>
          <w:tab w:val="num" w:pos="1440"/>
        </w:tabs>
        <w:ind w:left="1440" w:hanging="360"/>
      </w:pPr>
      <w:rPr>
        <w:rFonts w:ascii="Arial" w:hAnsi="Arial" w:hint="default"/>
      </w:rPr>
    </w:lvl>
    <w:lvl w:ilvl="2" w:tplc="E7E4AC04" w:tentative="1">
      <w:start w:val="1"/>
      <w:numFmt w:val="bullet"/>
      <w:lvlText w:val="•"/>
      <w:lvlJc w:val="left"/>
      <w:pPr>
        <w:tabs>
          <w:tab w:val="num" w:pos="2160"/>
        </w:tabs>
        <w:ind w:left="2160" w:hanging="360"/>
      </w:pPr>
      <w:rPr>
        <w:rFonts w:ascii="Arial" w:hAnsi="Arial" w:hint="default"/>
      </w:rPr>
    </w:lvl>
    <w:lvl w:ilvl="3" w:tplc="9528CDCA" w:tentative="1">
      <w:start w:val="1"/>
      <w:numFmt w:val="bullet"/>
      <w:lvlText w:val="•"/>
      <w:lvlJc w:val="left"/>
      <w:pPr>
        <w:tabs>
          <w:tab w:val="num" w:pos="2880"/>
        </w:tabs>
        <w:ind w:left="2880" w:hanging="360"/>
      </w:pPr>
      <w:rPr>
        <w:rFonts w:ascii="Arial" w:hAnsi="Arial" w:hint="default"/>
      </w:rPr>
    </w:lvl>
    <w:lvl w:ilvl="4" w:tplc="327884C6" w:tentative="1">
      <w:start w:val="1"/>
      <w:numFmt w:val="bullet"/>
      <w:lvlText w:val="•"/>
      <w:lvlJc w:val="left"/>
      <w:pPr>
        <w:tabs>
          <w:tab w:val="num" w:pos="3600"/>
        </w:tabs>
        <w:ind w:left="3600" w:hanging="360"/>
      </w:pPr>
      <w:rPr>
        <w:rFonts w:ascii="Arial" w:hAnsi="Arial" w:hint="default"/>
      </w:rPr>
    </w:lvl>
    <w:lvl w:ilvl="5" w:tplc="1A743D46" w:tentative="1">
      <w:start w:val="1"/>
      <w:numFmt w:val="bullet"/>
      <w:lvlText w:val="•"/>
      <w:lvlJc w:val="left"/>
      <w:pPr>
        <w:tabs>
          <w:tab w:val="num" w:pos="4320"/>
        </w:tabs>
        <w:ind w:left="4320" w:hanging="360"/>
      </w:pPr>
      <w:rPr>
        <w:rFonts w:ascii="Arial" w:hAnsi="Arial" w:hint="default"/>
      </w:rPr>
    </w:lvl>
    <w:lvl w:ilvl="6" w:tplc="386C07B2" w:tentative="1">
      <w:start w:val="1"/>
      <w:numFmt w:val="bullet"/>
      <w:lvlText w:val="•"/>
      <w:lvlJc w:val="left"/>
      <w:pPr>
        <w:tabs>
          <w:tab w:val="num" w:pos="5040"/>
        </w:tabs>
        <w:ind w:left="5040" w:hanging="360"/>
      </w:pPr>
      <w:rPr>
        <w:rFonts w:ascii="Arial" w:hAnsi="Arial" w:hint="default"/>
      </w:rPr>
    </w:lvl>
    <w:lvl w:ilvl="7" w:tplc="96AA7DFA" w:tentative="1">
      <w:start w:val="1"/>
      <w:numFmt w:val="bullet"/>
      <w:lvlText w:val="•"/>
      <w:lvlJc w:val="left"/>
      <w:pPr>
        <w:tabs>
          <w:tab w:val="num" w:pos="5760"/>
        </w:tabs>
        <w:ind w:left="5760" w:hanging="360"/>
      </w:pPr>
      <w:rPr>
        <w:rFonts w:ascii="Arial" w:hAnsi="Arial" w:hint="default"/>
      </w:rPr>
    </w:lvl>
    <w:lvl w:ilvl="8" w:tplc="4D8C48F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3C20901"/>
    <w:multiLevelType w:val="hybridMultilevel"/>
    <w:tmpl w:val="DAAA478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D98"/>
    <w:rsid w:val="00000892"/>
    <w:rsid w:val="000011B2"/>
    <w:rsid w:val="00010F5B"/>
    <w:rsid w:val="000421F4"/>
    <w:rsid w:val="00051071"/>
    <w:rsid w:val="00053CDF"/>
    <w:rsid w:val="000562F5"/>
    <w:rsid w:val="00065669"/>
    <w:rsid w:val="00073A3A"/>
    <w:rsid w:val="000A3C06"/>
    <w:rsid w:val="000B2A03"/>
    <w:rsid w:val="000B4015"/>
    <w:rsid w:val="000C6183"/>
    <w:rsid w:val="000C7B7B"/>
    <w:rsid w:val="000D0B50"/>
    <w:rsid w:val="000D0BF4"/>
    <w:rsid w:val="000D22A3"/>
    <w:rsid w:val="000D5303"/>
    <w:rsid w:val="000D7264"/>
    <w:rsid w:val="000D756B"/>
    <w:rsid w:val="000D7D44"/>
    <w:rsid w:val="000E57D5"/>
    <w:rsid w:val="000E7EFD"/>
    <w:rsid w:val="00105E34"/>
    <w:rsid w:val="00123408"/>
    <w:rsid w:val="0012497C"/>
    <w:rsid w:val="00133612"/>
    <w:rsid w:val="00140CB6"/>
    <w:rsid w:val="00142D98"/>
    <w:rsid w:val="0015479D"/>
    <w:rsid w:val="001761DA"/>
    <w:rsid w:val="0017736D"/>
    <w:rsid w:val="00185FFA"/>
    <w:rsid w:val="00193D6D"/>
    <w:rsid w:val="0019511B"/>
    <w:rsid w:val="00196042"/>
    <w:rsid w:val="001A326A"/>
    <w:rsid w:val="001A32B6"/>
    <w:rsid w:val="001A743F"/>
    <w:rsid w:val="001B0EBF"/>
    <w:rsid w:val="001B1A30"/>
    <w:rsid w:val="001B21CB"/>
    <w:rsid w:val="001B396E"/>
    <w:rsid w:val="001C5CE5"/>
    <w:rsid w:val="001C7DED"/>
    <w:rsid w:val="001D6369"/>
    <w:rsid w:val="001E351C"/>
    <w:rsid w:val="001E5216"/>
    <w:rsid w:val="001F1AE5"/>
    <w:rsid w:val="001F26C4"/>
    <w:rsid w:val="001F2E9D"/>
    <w:rsid w:val="0020302A"/>
    <w:rsid w:val="0022014F"/>
    <w:rsid w:val="002302B4"/>
    <w:rsid w:val="002578B2"/>
    <w:rsid w:val="0029332A"/>
    <w:rsid w:val="00295586"/>
    <w:rsid w:val="002A0067"/>
    <w:rsid w:val="002B42D7"/>
    <w:rsid w:val="002C208E"/>
    <w:rsid w:val="002C57D4"/>
    <w:rsid w:val="002C7D1C"/>
    <w:rsid w:val="002C7DB5"/>
    <w:rsid w:val="002F447C"/>
    <w:rsid w:val="0030367A"/>
    <w:rsid w:val="00303931"/>
    <w:rsid w:val="003158F6"/>
    <w:rsid w:val="003206B8"/>
    <w:rsid w:val="00323160"/>
    <w:rsid w:val="003236CF"/>
    <w:rsid w:val="003373FF"/>
    <w:rsid w:val="00340C87"/>
    <w:rsid w:val="003438A8"/>
    <w:rsid w:val="00346AC0"/>
    <w:rsid w:val="003503C6"/>
    <w:rsid w:val="00354688"/>
    <w:rsid w:val="00355A22"/>
    <w:rsid w:val="003673A4"/>
    <w:rsid w:val="00367915"/>
    <w:rsid w:val="00383DA3"/>
    <w:rsid w:val="00395A1F"/>
    <w:rsid w:val="003B10A1"/>
    <w:rsid w:val="003B15E9"/>
    <w:rsid w:val="003B4BB7"/>
    <w:rsid w:val="003C7B07"/>
    <w:rsid w:val="003C7BBF"/>
    <w:rsid w:val="003D4237"/>
    <w:rsid w:val="003D5895"/>
    <w:rsid w:val="003D6FF0"/>
    <w:rsid w:val="003F1F38"/>
    <w:rsid w:val="004122D9"/>
    <w:rsid w:val="00414BE4"/>
    <w:rsid w:val="0041585A"/>
    <w:rsid w:val="0041657D"/>
    <w:rsid w:val="0041791D"/>
    <w:rsid w:val="00450189"/>
    <w:rsid w:val="0045339B"/>
    <w:rsid w:val="00454EB7"/>
    <w:rsid w:val="004562C0"/>
    <w:rsid w:val="004603E8"/>
    <w:rsid w:val="00465ACA"/>
    <w:rsid w:val="00471B1B"/>
    <w:rsid w:val="00496CCC"/>
    <w:rsid w:val="004A0390"/>
    <w:rsid w:val="004B59BB"/>
    <w:rsid w:val="004B6922"/>
    <w:rsid w:val="004D1315"/>
    <w:rsid w:val="004E6224"/>
    <w:rsid w:val="004F39A7"/>
    <w:rsid w:val="004F60B0"/>
    <w:rsid w:val="00500C0E"/>
    <w:rsid w:val="00522807"/>
    <w:rsid w:val="00523588"/>
    <w:rsid w:val="00524098"/>
    <w:rsid w:val="00541674"/>
    <w:rsid w:val="00544435"/>
    <w:rsid w:val="00545F25"/>
    <w:rsid w:val="00560C5B"/>
    <w:rsid w:val="00567A84"/>
    <w:rsid w:val="005759F1"/>
    <w:rsid w:val="00582CB0"/>
    <w:rsid w:val="00594249"/>
    <w:rsid w:val="005A1CBB"/>
    <w:rsid w:val="005C0AD9"/>
    <w:rsid w:val="005D22C8"/>
    <w:rsid w:val="005E07F7"/>
    <w:rsid w:val="005E17BF"/>
    <w:rsid w:val="005E3BD5"/>
    <w:rsid w:val="005E457E"/>
    <w:rsid w:val="005F698D"/>
    <w:rsid w:val="006102B1"/>
    <w:rsid w:val="0062124F"/>
    <w:rsid w:val="00632CCF"/>
    <w:rsid w:val="00632F50"/>
    <w:rsid w:val="00642F73"/>
    <w:rsid w:val="00655355"/>
    <w:rsid w:val="00671D3E"/>
    <w:rsid w:val="0067605E"/>
    <w:rsid w:val="00680278"/>
    <w:rsid w:val="00681EFF"/>
    <w:rsid w:val="00687E1E"/>
    <w:rsid w:val="006904D6"/>
    <w:rsid w:val="00696109"/>
    <w:rsid w:val="006B12FA"/>
    <w:rsid w:val="006C473F"/>
    <w:rsid w:val="006C5A40"/>
    <w:rsid w:val="006D3F15"/>
    <w:rsid w:val="006D59AF"/>
    <w:rsid w:val="006E174E"/>
    <w:rsid w:val="006E282A"/>
    <w:rsid w:val="006E4DA4"/>
    <w:rsid w:val="006F112B"/>
    <w:rsid w:val="006F6FAC"/>
    <w:rsid w:val="00703619"/>
    <w:rsid w:val="00712631"/>
    <w:rsid w:val="00715044"/>
    <w:rsid w:val="007347C6"/>
    <w:rsid w:val="00742814"/>
    <w:rsid w:val="00747CE7"/>
    <w:rsid w:val="00770377"/>
    <w:rsid w:val="007759A3"/>
    <w:rsid w:val="00781482"/>
    <w:rsid w:val="0078469B"/>
    <w:rsid w:val="0079010D"/>
    <w:rsid w:val="00790DC3"/>
    <w:rsid w:val="00796470"/>
    <w:rsid w:val="007A09D7"/>
    <w:rsid w:val="007A4646"/>
    <w:rsid w:val="007A4FFE"/>
    <w:rsid w:val="007A5EF7"/>
    <w:rsid w:val="007B31F6"/>
    <w:rsid w:val="007C2E27"/>
    <w:rsid w:val="007C424E"/>
    <w:rsid w:val="007D0179"/>
    <w:rsid w:val="007D0E5E"/>
    <w:rsid w:val="007D12CA"/>
    <w:rsid w:val="007E6ED2"/>
    <w:rsid w:val="007F2629"/>
    <w:rsid w:val="00807189"/>
    <w:rsid w:val="00813F44"/>
    <w:rsid w:val="00821030"/>
    <w:rsid w:val="00821A56"/>
    <w:rsid w:val="00831FBE"/>
    <w:rsid w:val="00832A98"/>
    <w:rsid w:val="00843CD5"/>
    <w:rsid w:val="00853E33"/>
    <w:rsid w:val="00856FD4"/>
    <w:rsid w:val="008619FB"/>
    <w:rsid w:val="008651BD"/>
    <w:rsid w:val="008763CE"/>
    <w:rsid w:val="00881646"/>
    <w:rsid w:val="008903C4"/>
    <w:rsid w:val="008A488C"/>
    <w:rsid w:val="008A5D60"/>
    <w:rsid w:val="008A781A"/>
    <w:rsid w:val="008B20EA"/>
    <w:rsid w:val="008B2BD1"/>
    <w:rsid w:val="008B5913"/>
    <w:rsid w:val="008C2F76"/>
    <w:rsid w:val="008D01E2"/>
    <w:rsid w:val="008E1846"/>
    <w:rsid w:val="008E758C"/>
    <w:rsid w:val="008F703A"/>
    <w:rsid w:val="008F7C48"/>
    <w:rsid w:val="00906663"/>
    <w:rsid w:val="00921936"/>
    <w:rsid w:val="009354C7"/>
    <w:rsid w:val="00961ACD"/>
    <w:rsid w:val="00962DC6"/>
    <w:rsid w:val="00966B8A"/>
    <w:rsid w:val="00975FA3"/>
    <w:rsid w:val="0099358E"/>
    <w:rsid w:val="009A0279"/>
    <w:rsid w:val="009B229F"/>
    <w:rsid w:val="009B6B53"/>
    <w:rsid w:val="009B6F1E"/>
    <w:rsid w:val="009D7C9E"/>
    <w:rsid w:val="009E6320"/>
    <w:rsid w:val="00A0184F"/>
    <w:rsid w:val="00A0493A"/>
    <w:rsid w:val="00A073E6"/>
    <w:rsid w:val="00A11D46"/>
    <w:rsid w:val="00A211E9"/>
    <w:rsid w:val="00A236A5"/>
    <w:rsid w:val="00A26A2F"/>
    <w:rsid w:val="00A47381"/>
    <w:rsid w:val="00A56543"/>
    <w:rsid w:val="00A6272B"/>
    <w:rsid w:val="00A649A2"/>
    <w:rsid w:val="00A6571C"/>
    <w:rsid w:val="00A73D84"/>
    <w:rsid w:val="00A7669D"/>
    <w:rsid w:val="00A772C6"/>
    <w:rsid w:val="00A77B36"/>
    <w:rsid w:val="00A81078"/>
    <w:rsid w:val="00A922F0"/>
    <w:rsid w:val="00AD6850"/>
    <w:rsid w:val="00AE64CA"/>
    <w:rsid w:val="00AF27A6"/>
    <w:rsid w:val="00AF71B0"/>
    <w:rsid w:val="00B14613"/>
    <w:rsid w:val="00B233FB"/>
    <w:rsid w:val="00B30BCC"/>
    <w:rsid w:val="00B3130B"/>
    <w:rsid w:val="00B31A76"/>
    <w:rsid w:val="00B330B4"/>
    <w:rsid w:val="00B406CE"/>
    <w:rsid w:val="00B628DD"/>
    <w:rsid w:val="00B72E28"/>
    <w:rsid w:val="00B84D74"/>
    <w:rsid w:val="00B84F83"/>
    <w:rsid w:val="00B97515"/>
    <w:rsid w:val="00BA4B04"/>
    <w:rsid w:val="00BB10F2"/>
    <w:rsid w:val="00BC2358"/>
    <w:rsid w:val="00BD304F"/>
    <w:rsid w:val="00BD6FE9"/>
    <w:rsid w:val="00BE0EA3"/>
    <w:rsid w:val="00BF5E60"/>
    <w:rsid w:val="00C14505"/>
    <w:rsid w:val="00C2307C"/>
    <w:rsid w:val="00C51FA5"/>
    <w:rsid w:val="00C54785"/>
    <w:rsid w:val="00C62262"/>
    <w:rsid w:val="00C627E4"/>
    <w:rsid w:val="00C73C8A"/>
    <w:rsid w:val="00C85C47"/>
    <w:rsid w:val="00C90DB9"/>
    <w:rsid w:val="00C95B08"/>
    <w:rsid w:val="00C9655E"/>
    <w:rsid w:val="00CA3C9F"/>
    <w:rsid w:val="00CB2BAB"/>
    <w:rsid w:val="00CD521F"/>
    <w:rsid w:val="00CE3103"/>
    <w:rsid w:val="00CF0E46"/>
    <w:rsid w:val="00CF0FD6"/>
    <w:rsid w:val="00CF3EBF"/>
    <w:rsid w:val="00CF5B70"/>
    <w:rsid w:val="00D03741"/>
    <w:rsid w:val="00D1172C"/>
    <w:rsid w:val="00D201F8"/>
    <w:rsid w:val="00D20A88"/>
    <w:rsid w:val="00D22733"/>
    <w:rsid w:val="00D31314"/>
    <w:rsid w:val="00D36956"/>
    <w:rsid w:val="00D41D48"/>
    <w:rsid w:val="00D43237"/>
    <w:rsid w:val="00D472BA"/>
    <w:rsid w:val="00D803F5"/>
    <w:rsid w:val="00D80D1B"/>
    <w:rsid w:val="00D82576"/>
    <w:rsid w:val="00D82BD1"/>
    <w:rsid w:val="00D92A0D"/>
    <w:rsid w:val="00DA15CA"/>
    <w:rsid w:val="00DA7C60"/>
    <w:rsid w:val="00DC0534"/>
    <w:rsid w:val="00DD47EC"/>
    <w:rsid w:val="00DE397A"/>
    <w:rsid w:val="00DE6679"/>
    <w:rsid w:val="00E04D8D"/>
    <w:rsid w:val="00E05DDC"/>
    <w:rsid w:val="00E12308"/>
    <w:rsid w:val="00E209F0"/>
    <w:rsid w:val="00E333B7"/>
    <w:rsid w:val="00E47320"/>
    <w:rsid w:val="00E54B6F"/>
    <w:rsid w:val="00E55681"/>
    <w:rsid w:val="00E57AAC"/>
    <w:rsid w:val="00E57ADC"/>
    <w:rsid w:val="00E63DB2"/>
    <w:rsid w:val="00E756C1"/>
    <w:rsid w:val="00E968C6"/>
    <w:rsid w:val="00E97BC3"/>
    <w:rsid w:val="00EA1384"/>
    <w:rsid w:val="00EB1C1B"/>
    <w:rsid w:val="00EC2272"/>
    <w:rsid w:val="00EE1978"/>
    <w:rsid w:val="00EE33C5"/>
    <w:rsid w:val="00EE6E9E"/>
    <w:rsid w:val="00F07A4D"/>
    <w:rsid w:val="00F22308"/>
    <w:rsid w:val="00F2423B"/>
    <w:rsid w:val="00F42B77"/>
    <w:rsid w:val="00F44975"/>
    <w:rsid w:val="00F52FC3"/>
    <w:rsid w:val="00F53242"/>
    <w:rsid w:val="00F64D38"/>
    <w:rsid w:val="00F66205"/>
    <w:rsid w:val="00F760E4"/>
    <w:rsid w:val="00F859BC"/>
    <w:rsid w:val="00F85F6B"/>
    <w:rsid w:val="00FA3A5C"/>
    <w:rsid w:val="00FB63E1"/>
    <w:rsid w:val="00FC573C"/>
    <w:rsid w:val="00FD1BA9"/>
    <w:rsid w:val="00FE74F1"/>
    <w:rsid w:val="00FF0B80"/>
    <w:rsid w:val="00FF5F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3B791"/>
  <w15:chartTrackingRefBased/>
  <w15:docId w15:val="{DBB48181-329B-4CAA-B34E-6C931108A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40C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1450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14505"/>
    <w:pPr>
      <w:spacing w:after="0" w:line="240" w:lineRule="auto"/>
      <w:ind w:left="720"/>
    </w:pPr>
    <w:rPr>
      <w:rFonts w:ascii="Times New Roman" w:eastAsia="Times New Roman" w:hAnsi="Times New Roman" w:cs="Times New Roman"/>
      <w:sz w:val="24"/>
      <w:szCs w:val="24"/>
    </w:rPr>
  </w:style>
  <w:style w:type="paragraph" w:customStyle="1" w:styleId="q">
    <w:name w:val="q"/>
    <w:basedOn w:val="Normal"/>
    <w:uiPriority w:val="99"/>
    <w:rsid w:val="00C14505"/>
    <w:pPr>
      <w:spacing w:after="0" w:line="360" w:lineRule="atLeast"/>
      <w:ind w:left="360" w:hanging="360"/>
      <w:jc w:val="both"/>
    </w:pPr>
    <w:rPr>
      <w:rFonts w:ascii="New York" w:eastAsia="Times New Roman" w:hAnsi="New York" w:cs="Times New Roman"/>
      <w:b/>
      <w:sz w:val="24"/>
      <w:szCs w:val="20"/>
    </w:rPr>
  </w:style>
  <w:style w:type="paragraph" w:styleId="Header">
    <w:name w:val="header"/>
    <w:basedOn w:val="Normal"/>
    <w:link w:val="HeaderChar"/>
    <w:uiPriority w:val="99"/>
    <w:unhideWhenUsed/>
    <w:rsid w:val="00853E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3E33"/>
  </w:style>
  <w:style w:type="paragraph" w:styleId="Footer">
    <w:name w:val="footer"/>
    <w:basedOn w:val="Normal"/>
    <w:link w:val="FooterChar"/>
    <w:uiPriority w:val="99"/>
    <w:unhideWhenUsed/>
    <w:rsid w:val="00853E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3E33"/>
  </w:style>
  <w:style w:type="character" w:styleId="Hyperlink">
    <w:name w:val="Hyperlink"/>
    <w:basedOn w:val="DefaultParagraphFont"/>
    <w:uiPriority w:val="99"/>
    <w:unhideWhenUsed/>
    <w:rsid w:val="001B1A30"/>
    <w:rPr>
      <w:color w:val="0563C1" w:themeColor="hyperlink"/>
      <w:u w:val="single"/>
    </w:rPr>
  </w:style>
  <w:style w:type="character" w:styleId="UnresolvedMention">
    <w:name w:val="Unresolved Mention"/>
    <w:basedOn w:val="DefaultParagraphFont"/>
    <w:uiPriority w:val="99"/>
    <w:semiHidden/>
    <w:unhideWhenUsed/>
    <w:rsid w:val="001B1A30"/>
    <w:rPr>
      <w:color w:val="605E5C"/>
      <w:shd w:val="clear" w:color="auto" w:fill="E1DFDD"/>
    </w:rPr>
  </w:style>
  <w:style w:type="character" w:styleId="Emphasis">
    <w:name w:val="Emphasis"/>
    <w:basedOn w:val="DefaultParagraphFont"/>
    <w:uiPriority w:val="20"/>
    <w:qFormat/>
    <w:rsid w:val="00FF0B80"/>
    <w:rPr>
      <w:i/>
      <w:iCs/>
    </w:rPr>
  </w:style>
  <w:style w:type="paragraph" w:styleId="FootnoteText">
    <w:name w:val="footnote text"/>
    <w:basedOn w:val="Normal"/>
    <w:link w:val="FootnoteTextChar"/>
    <w:uiPriority w:val="99"/>
    <w:semiHidden/>
    <w:unhideWhenUsed/>
    <w:rsid w:val="00C73C8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73C8A"/>
    <w:rPr>
      <w:sz w:val="20"/>
      <w:szCs w:val="20"/>
    </w:rPr>
  </w:style>
  <w:style w:type="character" w:styleId="FootnoteReference">
    <w:name w:val="footnote reference"/>
    <w:basedOn w:val="DefaultParagraphFont"/>
    <w:uiPriority w:val="99"/>
    <w:semiHidden/>
    <w:unhideWhenUsed/>
    <w:rsid w:val="00C73C8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3759718">
      <w:bodyDiv w:val="1"/>
      <w:marLeft w:val="0"/>
      <w:marRight w:val="0"/>
      <w:marTop w:val="0"/>
      <w:marBottom w:val="0"/>
      <w:divBdr>
        <w:top w:val="none" w:sz="0" w:space="0" w:color="auto"/>
        <w:left w:val="none" w:sz="0" w:space="0" w:color="auto"/>
        <w:bottom w:val="none" w:sz="0" w:space="0" w:color="auto"/>
        <w:right w:val="none" w:sz="0" w:space="0" w:color="auto"/>
      </w:divBdr>
    </w:div>
    <w:div w:id="1199048313">
      <w:bodyDiv w:val="1"/>
      <w:marLeft w:val="0"/>
      <w:marRight w:val="0"/>
      <w:marTop w:val="0"/>
      <w:marBottom w:val="0"/>
      <w:divBdr>
        <w:top w:val="none" w:sz="0" w:space="0" w:color="auto"/>
        <w:left w:val="none" w:sz="0" w:space="0" w:color="auto"/>
        <w:bottom w:val="none" w:sz="0" w:space="0" w:color="auto"/>
        <w:right w:val="none" w:sz="0" w:space="0" w:color="auto"/>
      </w:divBdr>
    </w:div>
    <w:div w:id="2010911875">
      <w:bodyDiv w:val="1"/>
      <w:marLeft w:val="0"/>
      <w:marRight w:val="0"/>
      <w:marTop w:val="0"/>
      <w:marBottom w:val="0"/>
      <w:divBdr>
        <w:top w:val="none" w:sz="0" w:space="0" w:color="auto"/>
        <w:left w:val="none" w:sz="0" w:space="0" w:color="auto"/>
        <w:bottom w:val="none" w:sz="0" w:space="0" w:color="auto"/>
        <w:right w:val="none" w:sz="0" w:space="0" w:color="auto"/>
      </w:divBdr>
      <w:divsChild>
        <w:div w:id="279383110">
          <w:marLeft w:val="360"/>
          <w:marRight w:val="0"/>
          <w:marTop w:val="200"/>
          <w:marBottom w:val="0"/>
          <w:divBdr>
            <w:top w:val="none" w:sz="0" w:space="0" w:color="auto"/>
            <w:left w:val="none" w:sz="0" w:space="0" w:color="auto"/>
            <w:bottom w:val="none" w:sz="0" w:space="0" w:color="auto"/>
            <w:right w:val="none" w:sz="0" w:space="0" w:color="auto"/>
          </w:divBdr>
        </w:div>
        <w:div w:id="1063723798">
          <w:marLeft w:val="360"/>
          <w:marRight w:val="0"/>
          <w:marTop w:val="200"/>
          <w:marBottom w:val="0"/>
          <w:divBdr>
            <w:top w:val="none" w:sz="0" w:space="0" w:color="auto"/>
            <w:left w:val="none" w:sz="0" w:space="0" w:color="auto"/>
            <w:bottom w:val="none" w:sz="0" w:space="0" w:color="auto"/>
            <w:right w:val="none" w:sz="0" w:space="0" w:color="auto"/>
          </w:divBdr>
        </w:div>
        <w:div w:id="1493139195">
          <w:marLeft w:val="360"/>
          <w:marRight w:val="0"/>
          <w:marTop w:val="200"/>
          <w:marBottom w:val="0"/>
          <w:divBdr>
            <w:top w:val="none" w:sz="0" w:space="0" w:color="auto"/>
            <w:left w:val="none" w:sz="0" w:space="0" w:color="auto"/>
            <w:bottom w:val="none" w:sz="0" w:space="0" w:color="auto"/>
            <w:right w:val="none" w:sz="0" w:space="0" w:color="auto"/>
          </w:divBdr>
        </w:div>
        <w:div w:id="1016226884">
          <w:marLeft w:val="360"/>
          <w:marRight w:val="0"/>
          <w:marTop w:val="200"/>
          <w:marBottom w:val="0"/>
          <w:divBdr>
            <w:top w:val="none" w:sz="0" w:space="0" w:color="auto"/>
            <w:left w:val="none" w:sz="0" w:space="0" w:color="auto"/>
            <w:bottom w:val="none" w:sz="0" w:space="0" w:color="auto"/>
            <w:right w:val="none" w:sz="0" w:space="0" w:color="auto"/>
          </w:divBdr>
        </w:div>
        <w:div w:id="926810226">
          <w:marLeft w:val="360"/>
          <w:marRight w:val="0"/>
          <w:marTop w:val="200"/>
          <w:marBottom w:val="0"/>
          <w:divBdr>
            <w:top w:val="none" w:sz="0" w:space="0" w:color="auto"/>
            <w:left w:val="none" w:sz="0" w:space="0" w:color="auto"/>
            <w:bottom w:val="none" w:sz="0" w:space="0" w:color="auto"/>
            <w:right w:val="none" w:sz="0" w:space="0" w:color="auto"/>
          </w:divBdr>
        </w:div>
        <w:div w:id="1479834203">
          <w:marLeft w:val="360"/>
          <w:marRight w:val="0"/>
          <w:marTop w:val="200"/>
          <w:marBottom w:val="0"/>
          <w:divBdr>
            <w:top w:val="none" w:sz="0" w:space="0" w:color="auto"/>
            <w:left w:val="none" w:sz="0" w:space="0" w:color="auto"/>
            <w:bottom w:val="none" w:sz="0" w:space="0" w:color="auto"/>
            <w:right w:val="none" w:sz="0" w:space="0" w:color="auto"/>
          </w:divBdr>
        </w:div>
        <w:div w:id="1470514390">
          <w:marLeft w:val="360"/>
          <w:marRight w:val="0"/>
          <w:marTop w:val="200"/>
          <w:marBottom w:val="0"/>
          <w:divBdr>
            <w:top w:val="none" w:sz="0" w:space="0" w:color="auto"/>
            <w:left w:val="none" w:sz="0" w:space="0" w:color="auto"/>
            <w:bottom w:val="none" w:sz="0" w:space="0" w:color="auto"/>
            <w:right w:val="none" w:sz="0" w:space="0" w:color="auto"/>
          </w:divBdr>
        </w:div>
        <w:div w:id="132389583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anglosaxon.archeurope.info/index.php?page=bayeux-tapestr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D0FF75-4884-4A09-9B5C-2BD2E3569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7630</TotalTime>
  <Pages>9</Pages>
  <Words>2256</Words>
  <Characters>12864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Coombs (1402066)</dc:creator>
  <cp:keywords/>
  <dc:description/>
  <cp:lastModifiedBy>Natasha Coombs (1402066)</cp:lastModifiedBy>
  <cp:revision>281</cp:revision>
  <dcterms:created xsi:type="dcterms:W3CDTF">2018-10-24T09:06:00Z</dcterms:created>
  <dcterms:modified xsi:type="dcterms:W3CDTF">2018-11-16T08:11:00Z</dcterms:modified>
</cp:coreProperties>
</file>