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2513AB" w14:textId="3A3FA00F" w:rsidR="006D4CC8" w:rsidRDefault="00A74CEB" w:rsidP="00160A7B">
      <w:pPr>
        <w:jc w:val="center"/>
        <w:rPr>
          <w:u w:val="single"/>
        </w:rPr>
      </w:pPr>
      <w:r w:rsidRPr="00160A7B">
        <w:rPr>
          <w:u w:val="single"/>
        </w:rPr>
        <w:t>Proposal</w:t>
      </w:r>
      <w:r>
        <w:rPr>
          <w:u w:val="single"/>
        </w:rPr>
        <w:t>:</w:t>
      </w:r>
      <w:r w:rsidR="00160A7B">
        <w:rPr>
          <w:u w:val="single"/>
        </w:rPr>
        <w:t xml:space="preserve"> The Impact of </w:t>
      </w:r>
      <w:r w:rsidR="00160A7B" w:rsidRPr="00160A7B">
        <w:rPr>
          <w:u w:val="single"/>
        </w:rPr>
        <w:t>Pharaonism</w:t>
      </w:r>
      <w:r w:rsidR="00272241">
        <w:rPr>
          <w:u w:val="single"/>
        </w:rPr>
        <w:t xml:space="preserve"> on the Self-</w:t>
      </w:r>
      <w:r>
        <w:rPr>
          <w:u w:val="single"/>
        </w:rPr>
        <w:t xml:space="preserve">Identification within the Rise of Nationalism within Egypt </w:t>
      </w:r>
      <w:r w:rsidR="00272241">
        <w:rPr>
          <w:u w:val="single"/>
        </w:rPr>
        <w:t>i</w:t>
      </w:r>
      <w:r>
        <w:rPr>
          <w:u w:val="single"/>
        </w:rPr>
        <w:t>n the Early 1900s</w:t>
      </w:r>
    </w:p>
    <w:p w14:paraId="45E64013" w14:textId="606CD0E7" w:rsidR="00E6387A" w:rsidRDefault="003D13AC" w:rsidP="00EF5306">
      <w:pPr>
        <w:jc w:val="both"/>
        <w:rPr>
          <w:i/>
          <w:iCs/>
        </w:rPr>
      </w:pPr>
      <w:r>
        <w:t xml:space="preserve">The aim of this work is to highlight the use of Pharaonic culture and imagery </w:t>
      </w:r>
      <w:r w:rsidR="00EF0E67">
        <w:t xml:space="preserve">by native Egyptians in the first half of the twentieth century to reidentify themselves with their </w:t>
      </w:r>
      <w:r w:rsidR="00A8638C">
        <w:t>A</w:t>
      </w:r>
      <w:r w:rsidR="00EF0E67">
        <w:t>ncient culture</w:t>
      </w:r>
      <w:r w:rsidR="00A8638C">
        <w:t xml:space="preserve"> and heritage</w:t>
      </w:r>
      <w:r w:rsidR="00EF0E67">
        <w:t>.</w:t>
      </w:r>
      <w:r w:rsidR="00A8638C">
        <w:t xml:space="preserve"> </w:t>
      </w:r>
      <w:r w:rsidR="009459CB">
        <w:t xml:space="preserve">However, before that can be established it has to be defined as to what Pharaonism is and its relevance. </w:t>
      </w:r>
      <w:proofErr w:type="spellStart"/>
      <w:r w:rsidR="009459CB">
        <w:t>Colla</w:t>
      </w:r>
      <w:proofErr w:type="spellEnd"/>
      <w:r w:rsidR="009459CB">
        <w:t xml:space="preserve"> </w:t>
      </w:r>
      <w:r w:rsidR="00FD33C1">
        <w:t xml:space="preserve">puts it quite clearly in the book </w:t>
      </w:r>
      <w:r w:rsidR="00FD33C1">
        <w:rPr>
          <w:i/>
          <w:iCs/>
        </w:rPr>
        <w:t xml:space="preserve">Conflicted </w:t>
      </w:r>
      <w:r w:rsidR="00C43AC9">
        <w:rPr>
          <w:i/>
          <w:iCs/>
        </w:rPr>
        <w:t>Antiquities</w:t>
      </w:r>
      <w:r w:rsidR="00E227C2">
        <w:rPr>
          <w:i/>
          <w:iCs/>
        </w:rPr>
        <w:t xml:space="preserve">: Egyptology, </w:t>
      </w:r>
      <w:r w:rsidR="00C43AC9">
        <w:rPr>
          <w:i/>
          <w:iCs/>
        </w:rPr>
        <w:t>Egyptomania</w:t>
      </w:r>
      <w:r w:rsidR="00E227C2">
        <w:rPr>
          <w:i/>
          <w:iCs/>
        </w:rPr>
        <w:t xml:space="preserve">, Egyptian </w:t>
      </w:r>
      <w:r w:rsidR="00186289">
        <w:rPr>
          <w:i/>
          <w:iCs/>
        </w:rPr>
        <w:t xml:space="preserve">Modernity; </w:t>
      </w:r>
      <w:r w:rsidR="00186289">
        <w:t>“</w:t>
      </w:r>
      <w:proofErr w:type="spellStart"/>
      <w:r w:rsidR="00124F9B" w:rsidRPr="003D13AC">
        <w:t>Haykal’s</w:t>
      </w:r>
      <w:proofErr w:type="spellEnd"/>
      <w:r w:rsidR="00124F9B" w:rsidRPr="003D13AC">
        <w:t xml:space="preserve"> call for</w:t>
      </w:r>
      <w:r w:rsidR="00E227C2">
        <w:t xml:space="preserve"> </w:t>
      </w:r>
      <w:r w:rsidR="00124F9B" w:rsidRPr="003D13AC">
        <w:t>a literary Pharaonism did not treat ancient Egypt as an object of study,</w:t>
      </w:r>
      <w:r w:rsidR="00C43AC9">
        <w:t xml:space="preserve"> </w:t>
      </w:r>
      <w:r w:rsidR="00124F9B" w:rsidRPr="003D13AC">
        <w:t xml:space="preserve">but rather conceived of it as a vital source for self-expression” </w:t>
      </w:r>
      <w:r>
        <w:t>(</w:t>
      </w:r>
      <w:proofErr w:type="spellStart"/>
      <w:r>
        <w:t>Colla</w:t>
      </w:r>
      <w:proofErr w:type="spellEnd"/>
      <w:r>
        <w:t xml:space="preserve"> 2007: </w:t>
      </w:r>
      <w:r w:rsidR="00124F9B" w:rsidRPr="003D13AC">
        <w:t>235</w:t>
      </w:r>
      <w:r>
        <w:t>)</w:t>
      </w:r>
      <w:r w:rsidR="00186289">
        <w:t xml:space="preserve">. </w:t>
      </w:r>
      <w:r w:rsidR="00FF64E3">
        <w:t xml:space="preserve"> </w:t>
      </w:r>
      <w:r w:rsidR="00EF5306">
        <w:t xml:space="preserve">This really manifested itself after </w:t>
      </w:r>
      <w:r w:rsidR="008D70F6">
        <w:t>the interference and governance given from the European powers</w:t>
      </w:r>
      <w:r w:rsidR="00EE22D5">
        <w:t xml:space="preserve"> beginning with France at the late eighteenth century and ending with the British following the </w:t>
      </w:r>
      <w:r w:rsidR="000C3C8E">
        <w:t>“I</w:t>
      </w:r>
      <w:r w:rsidR="00927F1A">
        <w:t>ndependence</w:t>
      </w:r>
      <w:r w:rsidR="000C3C8E">
        <w:t>”</w:t>
      </w:r>
      <w:r w:rsidR="00927F1A">
        <w:t xml:space="preserve"> gained in </w:t>
      </w:r>
      <w:r w:rsidR="000C3C8E">
        <w:t>1922 (King 1989: 259-260).</w:t>
      </w:r>
      <w:r w:rsidR="00AD22A2">
        <w:t xml:space="preserve"> That said, this did still result in 4 areas being controlled by the British: </w:t>
      </w:r>
      <w:r w:rsidR="00710FDE">
        <w:t>C</w:t>
      </w:r>
      <w:r w:rsidR="00710FDE" w:rsidRPr="00AD22A2">
        <w:t>ommunications</w:t>
      </w:r>
      <w:r w:rsidR="00710FDE">
        <w:t>,</w:t>
      </w:r>
      <w:r w:rsidR="00710FDE" w:rsidRPr="00AD22A2">
        <w:t xml:space="preserve"> </w:t>
      </w:r>
      <w:r w:rsidR="00710FDE">
        <w:t>T</w:t>
      </w:r>
      <w:r w:rsidR="00AD22A2" w:rsidRPr="00AD22A2">
        <w:t xml:space="preserve">he </w:t>
      </w:r>
      <w:r w:rsidR="00710FDE">
        <w:t>M</w:t>
      </w:r>
      <w:r w:rsidR="00AD22A2" w:rsidRPr="00AD22A2">
        <w:t>ilitary</w:t>
      </w:r>
      <w:r w:rsidR="00710FDE">
        <w:t xml:space="preserve">, </w:t>
      </w:r>
      <w:r w:rsidR="00AD22A2" w:rsidRPr="00AD22A2">
        <w:t>Anglo-Egyptian Sudan</w:t>
      </w:r>
      <w:r w:rsidR="00710FDE" w:rsidRPr="00710FDE">
        <w:t xml:space="preserve"> </w:t>
      </w:r>
      <w:r w:rsidR="00710FDE">
        <w:t>and F</w:t>
      </w:r>
      <w:r w:rsidR="00710FDE" w:rsidRPr="00AD22A2">
        <w:t xml:space="preserve">oreign </w:t>
      </w:r>
      <w:r w:rsidR="00710FDE">
        <w:t>R</w:t>
      </w:r>
      <w:r w:rsidR="00710FDE" w:rsidRPr="00AD22A2">
        <w:t>elations</w:t>
      </w:r>
      <w:r w:rsidR="00710FDE">
        <w:t xml:space="preserve">. </w:t>
      </w:r>
      <w:r w:rsidR="002F2E64">
        <w:t>This came after most of the archaeology that had been conducted within Egypt</w:t>
      </w:r>
      <w:r w:rsidR="00C02CD3">
        <w:t xml:space="preserve"> had also been done by the Imperial powers as highlight</w:t>
      </w:r>
      <w:r w:rsidR="00A842B0">
        <w:t>ed</w:t>
      </w:r>
      <w:r w:rsidR="00C02CD3">
        <w:t xml:space="preserve"> famously through</w:t>
      </w:r>
      <w:r w:rsidR="00F4794D">
        <w:t xml:space="preserve"> </w:t>
      </w:r>
      <w:r w:rsidR="00C02CD3" w:rsidRPr="00C02CD3">
        <w:t>Borchardt</w:t>
      </w:r>
      <w:r w:rsidR="00F4794D">
        <w:t>’s involvement with Amarna and Carter’s involvement with the Tomb of Tutankhamen</w:t>
      </w:r>
      <w:r w:rsidR="00B260F3">
        <w:t xml:space="preserve"> (</w:t>
      </w:r>
      <w:proofErr w:type="spellStart"/>
      <w:r w:rsidR="00B260F3">
        <w:t>Winstone</w:t>
      </w:r>
      <w:proofErr w:type="spellEnd"/>
      <w:r w:rsidR="00B260F3">
        <w:t xml:space="preserve"> 2006)</w:t>
      </w:r>
      <w:r w:rsidR="00F4794D">
        <w:t xml:space="preserve">. </w:t>
      </w:r>
      <w:r w:rsidR="00691FF5">
        <w:t xml:space="preserve">With the </w:t>
      </w:r>
      <w:r w:rsidR="00E748FD">
        <w:t>discovery of Tutankhamen</w:t>
      </w:r>
      <w:r w:rsidR="00D97210">
        <w:t xml:space="preserve">’s tomb, it soon became a figure head to be used within the Pharaonic contexts of what it meant to be Egyptian. To the point that the Prime Minister at the time, </w:t>
      </w:r>
      <w:r w:rsidR="00152545" w:rsidRPr="00152545">
        <w:t xml:space="preserve">Saad </w:t>
      </w:r>
      <w:proofErr w:type="spellStart"/>
      <w:r w:rsidR="00152545" w:rsidRPr="00152545">
        <w:t>Zaghloul</w:t>
      </w:r>
      <w:proofErr w:type="spellEnd"/>
      <w:r w:rsidR="00152545">
        <w:t xml:space="preserve">, prevented </w:t>
      </w:r>
      <w:r w:rsidR="00474C01">
        <w:t>Carter taking the antiquities back to England with him</w:t>
      </w:r>
      <w:r w:rsidR="005C178E">
        <w:t xml:space="preserve"> (Reid 2015: 66-74)</w:t>
      </w:r>
      <w:r w:rsidR="00474C01">
        <w:t xml:space="preserve">. This movement really tried to link Egypt to its long history with Europe </w:t>
      </w:r>
      <w:r w:rsidR="00A842B0">
        <w:t xml:space="preserve">rather </w:t>
      </w:r>
      <w:r w:rsidR="00474C01">
        <w:t xml:space="preserve">than its history with the </w:t>
      </w:r>
      <w:r w:rsidR="00D32745">
        <w:t>Middle East and the best way to do that was to have some kind of icon from that period, which at the time became Tutankhamen (Wood 1998: 181)</w:t>
      </w:r>
      <w:r w:rsidR="00662929">
        <w:t>. The use of the Pharaonic culture and imagery came as a result of more information being made available due to the Imperial archaeologist</w:t>
      </w:r>
      <w:r w:rsidR="00F563C2">
        <w:t xml:space="preserve">’s discovering more material culture from that period of time. As highlighted through Reid’s book, this imagery was used as a form of rebellion signposting of the ideology of Pharaonism </w:t>
      </w:r>
      <w:r w:rsidR="00124A32">
        <w:t>(Reid 2015:</w:t>
      </w:r>
      <w:r w:rsidR="005C178E">
        <w:t xml:space="preserve"> 27, 37 and 45). This movement became a very strong political force under </w:t>
      </w:r>
      <w:proofErr w:type="spellStart"/>
      <w:r w:rsidR="005C178E">
        <w:t>Zaghoul</w:t>
      </w:r>
      <w:proofErr w:type="spellEnd"/>
      <w:r w:rsidR="005C178E">
        <w:t xml:space="preserve"> and under other visionaries such as Kamal, and their search for true independence from the Imperial powers. The aim of this project is to highlight how ancient culture still has an impact in the modern world, for often it is seen as very detached. Although, in this example it is taken out of context and manipulated to suit an agenda</w:t>
      </w:r>
      <w:r w:rsidR="00EA7CA0">
        <w:t xml:space="preserve"> – the said culture is still being used to impact the politics of the day. The project also aims to highlight the many different areas contention that </w:t>
      </w:r>
      <w:r w:rsidR="00E6387A">
        <w:t>relates</w:t>
      </w:r>
      <w:r w:rsidR="00EA7CA0">
        <w:t xml:space="preserve"> to this topic such as Pharaonic culture Verse the Pharaoh of the </w:t>
      </w:r>
      <w:r w:rsidR="00EA7CA0">
        <w:rPr>
          <w:i/>
          <w:iCs/>
        </w:rPr>
        <w:t>Qur’an</w:t>
      </w:r>
      <w:r w:rsidR="00EA7CA0">
        <w:t xml:space="preserve">, highlighting the issues this also brought in light of the idea of </w:t>
      </w:r>
      <w:r w:rsidR="00EA7CA0">
        <w:rPr>
          <w:i/>
          <w:iCs/>
        </w:rPr>
        <w:t>Shirk</w:t>
      </w:r>
      <w:r w:rsidR="00E6387A">
        <w:rPr>
          <w:i/>
          <w:iCs/>
        </w:rPr>
        <w:t xml:space="preserve"> </w:t>
      </w:r>
      <w:r w:rsidR="00E6387A">
        <w:t xml:space="preserve">and the idea </w:t>
      </w:r>
      <w:r w:rsidR="00B40EA4">
        <w:t xml:space="preserve">of </w:t>
      </w:r>
      <w:r w:rsidR="00B40EA4">
        <w:rPr>
          <w:i/>
          <w:iCs/>
        </w:rPr>
        <w:t>Tawhid</w:t>
      </w:r>
      <w:r w:rsidR="00EA7CA0">
        <w:rPr>
          <w:i/>
          <w:iCs/>
        </w:rPr>
        <w:t xml:space="preserve"> </w:t>
      </w:r>
      <w:r w:rsidR="00EA7CA0">
        <w:t>(</w:t>
      </w:r>
      <w:r w:rsidR="00E6387A">
        <w:t>Idolatry</w:t>
      </w:r>
      <w:r w:rsidR="00EA7CA0">
        <w:t xml:space="preserve"> </w:t>
      </w:r>
      <w:r w:rsidR="00E6387A">
        <w:t>opposed</w:t>
      </w:r>
      <w:r w:rsidR="00EA7CA0">
        <w:t xml:space="preserve"> to </w:t>
      </w:r>
      <w:r w:rsidR="00E6387A">
        <w:t>strict monotheism</w:t>
      </w:r>
      <w:r w:rsidR="00E6387A">
        <w:rPr>
          <w:i/>
          <w:iCs/>
        </w:rPr>
        <w:t>).</w:t>
      </w:r>
    </w:p>
    <w:p w14:paraId="7111F04F" w14:textId="4E3AEEC1" w:rsidR="00124F9B" w:rsidRPr="00EA7CA0" w:rsidRDefault="00EA7CA0" w:rsidP="00EF5306">
      <w:pPr>
        <w:jc w:val="both"/>
        <w:rPr>
          <w:i/>
          <w:iCs/>
        </w:rPr>
      </w:pPr>
      <w:r>
        <w:rPr>
          <w:i/>
          <w:iCs/>
        </w:rPr>
        <w:t xml:space="preserve"> </w:t>
      </w:r>
    </w:p>
    <w:p w14:paraId="3E403135" w14:textId="3FAC8596" w:rsidR="00A74CEB" w:rsidRDefault="00A74CEB" w:rsidP="00160A7B">
      <w:pPr>
        <w:jc w:val="center"/>
        <w:rPr>
          <w:u w:val="single"/>
        </w:rPr>
      </w:pPr>
    </w:p>
    <w:p w14:paraId="588DA255" w14:textId="4C9984B9" w:rsidR="00A74CEB" w:rsidRDefault="00A74CEB" w:rsidP="00160A7B">
      <w:pPr>
        <w:jc w:val="center"/>
        <w:rPr>
          <w:u w:val="single"/>
        </w:rPr>
      </w:pPr>
    </w:p>
    <w:p w14:paraId="388591FD" w14:textId="773E5626" w:rsidR="00A74CEB" w:rsidRDefault="00A74CEB" w:rsidP="00160A7B">
      <w:pPr>
        <w:jc w:val="center"/>
        <w:rPr>
          <w:u w:val="single"/>
        </w:rPr>
      </w:pPr>
    </w:p>
    <w:p w14:paraId="2D7BD556" w14:textId="02B3FC84" w:rsidR="00A74CEB" w:rsidRDefault="00A74CEB" w:rsidP="00160A7B">
      <w:pPr>
        <w:jc w:val="center"/>
        <w:rPr>
          <w:u w:val="single"/>
        </w:rPr>
      </w:pPr>
    </w:p>
    <w:p w14:paraId="4DEB173D" w14:textId="4EE75D59" w:rsidR="00A74CEB" w:rsidRDefault="00A74CEB" w:rsidP="00160A7B">
      <w:pPr>
        <w:jc w:val="center"/>
        <w:rPr>
          <w:u w:val="single"/>
        </w:rPr>
      </w:pPr>
    </w:p>
    <w:p w14:paraId="1CF4F62D" w14:textId="7C94E3D3" w:rsidR="00A74CEB" w:rsidRDefault="00A74CEB" w:rsidP="00160A7B">
      <w:pPr>
        <w:jc w:val="center"/>
        <w:rPr>
          <w:u w:val="single"/>
        </w:rPr>
      </w:pPr>
    </w:p>
    <w:p w14:paraId="76F520CB" w14:textId="34F7F16D" w:rsidR="00A74CEB" w:rsidRDefault="00A74CEB" w:rsidP="00160A7B">
      <w:pPr>
        <w:jc w:val="center"/>
        <w:rPr>
          <w:u w:val="single"/>
        </w:rPr>
      </w:pPr>
    </w:p>
    <w:p w14:paraId="26F5A8CF" w14:textId="3959C83E" w:rsidR="00A74CEB" w:rsidRDefault="00A74CEB" w:rsidP="00160A7B">
      <w:pPr>
        <w:jc w:val="center"/>
        <w:rPr>
          <w:u w:val="single"/>
        </w:rPr>
      </w:pPr>
    </w:p>
    <w:p w14:paraId="4B27CB75" w14:textId="600F073E" w:rsidR="00A74CEB" w:rsidRDefault="00A74CEB" w:rsidP="00D10E0B">
      <w:pPr>
        <w:jc w:val="both"/>
        <w:rPr>
          <w:u w:val="single"/>
        </w:rPr>
      </w:pPr>
    </w:p>
    <w:sdt>
      <w:sdtPr>
        <w:id w:val="35099291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170414B" w14:textId="77777777" w:rsidR="00C227DC" w:rsidRDefault="00C227DC" w:rsidP="00C227DC">
          <w:pPr>
            <w:pStyle w:val="Heading1"/>
            <w:rPr>
              <w:color w:val="auto"/>
            </w:rPr>
          </w:pPr>
          <w:r w:rsidRPr="00C227DC">
            <w:rPr>
              <w:color w:val="auto"/>
            </w:rPr>
            <w:t>Referenced Bibliography</w:t>
          </w:r>
        </w:p>
        <w:p w14:paraId="5D5B32BD" w14:textId="77777777" w:rsidR="000C3C8E" w:rsidRDefault="00C227DC" w:rsidP="00C227DC">
          <w:pPr>
            <w:pStyle w:val="ListParagraph"/>
            <w:numPr>
              <w:ilvl w:val="0"/>
              <w:numId w:val="2"/>
            </w:numPr>
            <w:rPr>
              <w:lang w:val="en-US"/>
            </w:rPr>
          </w:pPr>
          <w:proofErr w:type="spellStart"/>
          <w:r>
            <w:rPr>
              <w:lang w:val="en-US"/>
            </w:rPr>
            <w:t>Colla</w:t>
          </w:r>
          <w:proofErr w:type="spellEnd"/>
          <w:r>
            <w:rPr>
              <w:lang w:val="en-US"/>
            </w:rPr>
            <w:t xml:space="preserve">, Elliot. </w:t>
          </w:r>
          <w:r w:rsidR="00EA3E1A">
            <w:rPr>
              <w:i/>
              <w:iCs/>
              <w:lang w:val="en-US"/>
            </w:rPr>
            <w:t>Conflicted Antiquities: Egyptology, Egyptomania, Egyptian Modernity.</w:t>
          </w:r>
          <w:r w:rsidR="00EA3E1A">
            <w:rPr>
              <w:lang w:val="en-US"/>
            </w:rPr>
            <w:t xml:space="preserve"> 2007, Duke University </w:t>
          </w:r>
          <w:r w:rsidR="00FF64E3">
            <w:rPr>
              <w:lang w:val="en-US"/>
            </w:rPr>
            <w:t xml:space="preserve">Press Books. </w:t>
          </w:r>
        </w:p>
        <w:p w14:paraId="07F9CB51" w14:textId="77777777" w:rsidR="00474C01" w:rsidRDefault="005D6648" w:rsidP="00C227DC">
          <w:pPr>
            <w:pStyle w:val="ListParagraph"/>
            <w:numPr>
              <w:ilvl w:val="0"/>
              <w:numId w:val="2"/>
            </w:numPr>
            <w:rPr>
              <w:lang w:val="en-US"/>
            </w:rPr>
          </w:pPr>
          <w:r>
            <w:rPr>
              <w:lang w:val="en-US"/>
            </w:rPr>
            <w:t xml:space="preserve">King, Joan </w:t>
          </w:r>
          <w:proofErr w:type="spellStart"/>
          <w:r>
            <w:rPr>
              <w:lang w:val="en-US"/>
            </w:rPr>
            <w:t>Wucher</w:t>
          </w:r>
          <w:proofErr w:type="spellEnd"/>
          <w:r>
            <w:rPr>
              <w:lang w:val="en-US"/>
            </w:rPr>
            <w:t xml:space="preserve">. </w:t>
          </w:r>
          <w:r>
            <w:rPr>
              <w:i/>
              <w:iCs/>
              <w:lang w:val="en-US"/>
            </w:rPr>
            <w:t xml:space="preserve">Historical Dictionary of Egypt. </w:t>
          </w:r>
          <w:r>
            <w:rPr>
              <w:lang w:val="en-US"/>
            </w:rPr>
            <w:t>1989</w:t>
          </w:r>
          <w:r w:rsidR="00AD22A2">
            <w:rPr>
              <w:lang w:val="en-US"/>
            </w:rPr>
            <w:t>, The American University in Cairo Press</w:t>
          </w:r>
        </w:p>
        <w:p w14:paraId="6F0289F7" w14:textId="77777777" w:rsidR="00124A32" w:rsidRDefault="00474C01" w:rsidP="00C227DC">
          <w:pPr>
            <w:pStyle w:val="ListParagraph"/>
            <w:numPr>
              <w:ilvl w:val="0"/>
              <w:numId w:val="2"/>
            </w:numPr>
            <w:rPr>
              <w:lang w:val="en-US"/>
            </w:rPr>
          </w:pPr>
          <w:r w:rsidRPr="00474C01">
            <w:rPr>
              <w:lang w:val="en-US"/>
            </w:rPr>
            <w:t>Wood, Michael</w:t>
          </w:r>
          <w:r>
            <w:rPr>
              <w:lang w:val="en-US"/>
            </w:rPr>
            <w:t xml:space="preserve">. </w:t>
          </w:r>
          <w:r w:rsidRPr="00474C01">
            <w:rPr>
              <w:i/>
              <w:iCs/>
              <w:lang w:val="en-US"/>
            </w:rPr>
            <w:t>The Use of the Pharaonic Past in Modern Egyptian Nationalism</w:t>
          </w:r>
          <w:r>
            <w:rPr>
              <w:lang w:val="en-US"/>
            </w:rPr>
            <w:t>.</w:t>
          </w:r>
          <w:r w:rsidRPr="00474C01">
            <w:rPr>
              <w:lang w:val="en-US"/>
            </w:rPr>
            <w:t xml:space="preserve"> The Journal of the American Research Center in Egypt, vol. 35, 1998 </w:t>
          </w:r>
        </w:p>
        <w:p w14:paraId="72DFD060" w14:textId="77777777" w:rsidR="00124A32" w:rsidRPr="00124A32" w:rsidRDefault="00124A32" w:rsidP="00124A32">
          <w:pPr>
            <w:pStyle w:val="ListParagraph"/>
            <w:numPr>
              <w:ilvl w:val="0"/>
              <w:numId w:val="2"/>
            </w:numPr>
            <w:rPr>
              <w:lang w:val="en-US"/>
            </w:rPr>
          </w:pPr>
          <w:r w:rsidRPr="00124A32">
            <w:rPr>
              <w:lang w:val="en-US"/>
            </w:rPr>
            <w:t xml:space="preserve">Reid, Donald, Malcolm. Contesting Antiquity in Egypt: Archaeologies, Museums and the Struggle for Identities from World War 1 to Nasser. 2015, The American University in Cairo Press, Cairo. </w:t>
          </w:r>
        </w:p>
        <w:p w14:paraId="02C91940" w14:textId="203339C3" w:rsidR="00C227DC" w:rsidRPr="00C227DC" w:rsidRDefault="00B40EA4" w:rsidP="00C227DC">
          <w:pPr>
            <w:pStyle w:val="ListParagraph"/>
            <w:numPr>
              <w:ilvl w:val="0"/>
              <w:numId w:val="2"/>
            </w:numPr>
            <w:rPr>
              <w:lang w:val="en-US"/>
            </w:rPr>
          </w:pPr>
          <w:proofErr w:type="spellStart"/>
          <w:r>
            <w:rPr>
              <w:lang w:val="en-US"/>
            </w:rPr>
            <w:t>Winstone</w:t>
          </w:r>
          <w:proofErr w:type="spellEnd"/>
          <w:r>
            <w:rPr>
              <w:lang w:val="en-US"/>
            </w:rPr>
            <w:t xml:space="preserve">, H. V. F. </w:t>
          </w:r>
          <w:r>
            <w:rPr>
              <w:i/>
              <w:iCs/>
              <w:lang w:val="en-US"/>
            </w:rPr>
            <w:t>Howard Carter: and the Discovery of the Tomb of Tutankhamen</w:t>
          </w:r>
          <w:r w:rsidR="007F75EC">
            <w:rPr>
              <w:i/>
              <w:iCs/>
              <w:lang w:val="en-US"/>
            </w:rPr>
            <w:t xml:space="preserve">. </w:t>
          </w:r>
          <w:r w:rsidR="007F75EC">
            <w:t xml:space="preserve">2006, </w:t>
          </w:r>
          <w:proofErr w:type="spellStart"/>
          <w:r w:rsidR="007F75EC">
            <w:t>Barzan</w:t>
          </w:r>
          <w:proofErr w:type="spellEnd"/>
          <w:r w:rsidR="007F75EC">
            <w:t xml:space="preserve"> Publishing Ltd. </w:t>
          </w:r>
        </w:p>
      </w:sdtContent>
    </w:sdt>
    <w:p w14:paraId="3B95D161" w14:textId="77777777" w:rsidR="00D10E0B" w:rsidRDefault="00D10E0B" w:rsidP="00D10E0B">
      <w:pPr>
        <w:jc w:val="both"/>
        <w:rPr>
          <w:u w:val="single"/>
        </w:rPr>
      </w:pPr>
    </w:p>
    <w:p w14:paraId="51E0C6B7" w14:textId="373438BE" w:rsidR="00A74CEB" w:rsidRDefault="00A74CEB" w:rsidP="00160A7B">
      <w:pPr>
        <w:jc w:val="center"/>
        <w:rPr>
          <w:u w:val="single"/>
        </w:rPr>
      </w:pPr>
    </w:p>
    <w:p w14:paraId="697197D4" w14:textId="45DA92CE" w:rsidR="00A74CEB" w:rsidRDefault="00A74CEB" w:rsidP="00160A7B">
      <w:pPr>
        <w:jc w:val="center"/>
        <w:rPr>
          <w:u w:val="single"/>
        </w:rPr>
      </w:pPr>
    </w:p>
    <w:p w14:paraId="6D3ECD2A" w14:textId="1D51A66B" w:rsidR="00A74CEB" w:rsidRDefault="00A74CEB" w:rsidP="00160A7B">
      <w:pPr>
        <w:jc w:val="center"/>
        <w:rPr>
          <w:u w:val="single"/>
        </w:rPr>
      </w:pPr>
    </w:p>
    <w:p w14:paraId="606A088C" w14:textId="5ED6CD1B" w:rsidR="00A74CEB" w:rsidRDefault="00A74CEB" w:rsidP="00160A7B">
      <w:pPr>
        <w:jc w:val="center"/>
        <w:rPr>
          <w:u w:val="single"/>
        </w:rPr>
      </w:pPr>
    </w:p>
    <w:p w14:paraId="71877460" w14:textId="74887278" w:rsidR="00A74CEB" w:rsidRDefault="00A74CEB" w:rsidP="00160A7B">
      <w:pPr>
        <w:jc w:val="center"/>
        <w:rPr>
          <w:u w:val="single"/>
        </w:rPr>
      </w:pPr>
    </w:p>
    <w:p w14:paraId="319C5F81" w14:textId="57089FB8" w:rsidR="00A74CEB" w:rsidRDefault="00A74CEB" w:rsidP="00160A7B">
      <w:pPr>
        <w:jc w:val="center"/>
        <w:rPr>
          <w:u w:val="single"/>
        </w:rPr>
      </w:pPr>
    </w:p>
    <w:p w14:paraId="00E4371B" w14:textId="4E22B171" w:rsidR="00A74CEB" w:rsidRDefault="00A74CEB" w:rsidP="00160A7B">
      <w:pPr>
        <w:jc w:val="center"/>
        <w:rPr>
          <w:u w:val="single"/>
        </w:rPr>
      </w:pPr>
    </w:p>
    <w:p w14:paraId="23FE2374" w14:textId="67A2F18E" w:rsidR="00A74CEB" w:rsidRDefault="00A74CEB" w:rsidP="00160A7B">
      <w:pPr>
        <w:jc w:val="center"/>
        <w:rPr>
          <w:u w:val="single"/>
        </w:rPr>
      </w:pPr>
    </w:p>
    <w:p w14:paraId="7119BB4F" w14:textId="0333C708" w:rsidR="00A74CEB" w:rsidRDefault="00A74CEB" w:rsidP="00160A7B">
      <w:pPr>
        <w:jc w:val="center"/>
        <w:rPr>
          <w:u w:val="single"/>
        </w:rPr>
      </w:pPr>
    </w:p>
    <w:p w14:paraId="74671ECC" w14:textId="33156E5A" w:rsidR="00A74CEB" w:rsidRDefault="00A74CEB" w:rsidP="00160A7B">
      <w:pPr>
        <w:jc w:val="center"/>
        <w:rPr>
          <w:u w:val="single"/>
        </w:rPr>
      </w:pPr>
    </w:p>
    <w:p w14:paraId="58372F03" w14:textId="58136865" w:rsidR="00A74CEB" w:rsidRDefault="00A74CEB" w:rsidP="00160A7B">
      <w:pPr>
        <w:jc w:val="center"/>
        <w:rPr>
          <w:u w:val="single"/>
        </w:rPr>
      </w:pPr>
    </w:p>
    <w:p w14:paraId="7B98D084" w14:textId="30845263" w:rsidR="00A74CEB" w:rsidRDefault="00A74CEB" w:rsidP="00160A7B">
      <w:pPr>
        <w:jc w:val="center"/>
        <w:rPr>
          <w:u w:val="single"/>
        </w:rPr>
      </w:pPr>
    </w:p>
    <w:p w14:paraId="5F59724F" w14:textId="05833272" w:rsidR="00A74CEB" w:rsidRDefault="00A74CEB" w:rsidP="00160A7B">
      <w:pPr>
        <w:jc w:val="center"/>
        <w:rPr>
          <w:u w:val="single"/>
        </w:rPr>
      </w:pPr>
    </w:p>
    <w:p w14:paraId="6539EBFC" w14:textId="77777777" w:rsidR="00DF177E" w:rsidRDefault="00DF177E" w:rsidP="00160A7B">
      <w:pPr>
        <w:jc w:val="center"/>
        <w:rPr>
          <w:u w:val="single"/>
        </w:rPr>
      </w:pPr>
      <w:bookmarkStart w:id="0" w:name="_GoBack"/>
    </w:p>
    <w:bookmarkEnd w:id="0"/>
    <w:p w14:paraId="7A1F1BA1" w14:textId="77777777" w:rsidR="00DF177E" w:rsidRDefault="00DF177E" w:rsidP="00160A7B">
      <w:pPr>
        <w:jc w:val="center"/>
        <w:rPr>
          <w:u w:val="single"/>
        </w:rPr>
      </w:pPr>
    </w:p>
    <w:p w14:paraId="1673DDB6" w14:textId="77777777" w:rsidR="00DF177E" w:rsidRDefault="00DF177E" w:rsidP="00160A7B">
      <w:pPr>
        <w:jc w:val="center"/>
        <w:rPr>
          <w:u w:val="single"/>
        </w:rPr>
      </w:pPr>
    </w:p>
    <w:p w14:paraId="760D4A15" w14:textId="77777777" w:rsidR="00DF177E" w:rsidRDefault="00DF177E" w:rsidP="00160A7B">
      <w:pPr>
        <w:jc w:val="center"/>
        <w:rPr>
          <w:u w:val="single"/>
        </w:rPr>
      </w:pPr>
    </w:p>
    <w:p w14:paraId="76E005F4" w14:textId="77777777" w:rsidR="00DF177E" w:rsidRDefault="00DF177E" w:rsidP="00160A7B">
      <w:pPr>
        <w:jc w:val="center"/>
        <w:rPr>
          <w:u w:val="single"/>
        </w:rPr>
      </w:pPr>
    </w:p>
    <w:p w14:paraId="0B516B70" w14:textId="77777777" w:rsidR="00DF177E" w:rsidRDefault="00DF177E" w:rsidP="00160A7B">
      <w:pPr>
        <w:jc w:val="center"/>
        <w:rPr>
          <w:u w:val="single"/>
        </w:rPr>
      </w:pPr>
    </w:p>
    <w:p w14:paraId="4D935CA9" w14:textId="77777777" w:rsidR="00DF177E" w:rsidRDefault="00DF177E" w:rsidP="00160A7B">
      <w:pPr>
        <w:jc w:val="center"/>
        <w:rPr>
          <w:u w:val="single"/>
        </w:rPr>
      </w:pPr>
    </w:p>
    <w:p w14:paraId="7CC95B80" w14:textId="53C84485" w:rsidR="00A74CEB" w:rsidRDefault="00A74CEB" w:rsidP="00272241">
      <w:pPr>
        <w:rPr>
          <w:u w:val="single"/>
        </w:rPr>
      </w:pPr>
    </w:p>
    <w:sdt>
      <w:sdtPr>
        <w:rPr>
          <w:rFonts w:asciiTheme="minorHAnsi" w:eastAsiaTheme="minorHAnsi" w:hAnsiTheme="minorHAnsi" w:cstheme="minorBidi"/>
          <w:color w:val="auto"/>
          <w:sz w:val="22"/>
          <w:szCs w:val="22"/>
          <w:lang w:val="en-GB"/>
        </w:rPr>
        <w:id w:val="-461422700"/>
        <w:docPartObj>
          <w:docPartGallery w:val="Bibliographies"/>
          <w:docPartUnique/>
        </w:docPartObj>
      </w:sdtPr>
      <w:sdtEndPr/>
      <w:sdtContent>
        <w:p w14:paraId="062D6434" w14:textId="78FB30B1" w:rsidR="00A74CEB" w:rsidRPr="00A74CEB" w:rsidRDefault="00A74CEB">
          <w:pPr>
            <w:pStyle w:val="Heading1"/>
            <w:rPr>
              <w:b/>
              <w:bCs/>
              <w:color w:val="auto"/>
            </w:rPr>
          </w:pPr>
          <w:r w:rsidRPr="00A74CEB">
            <w:rPr>
              <w:b/>
              <w:bCs/>
              <w:color w:val="auto"/>
            </w:rPr>
            <w:t>Indicative</w:t>
          </w:r>
          <w:r w:rsidRPr="00A74CEB">
            <w:rPr>
              <w:b/>
              <w:bCs/>
            </w:rPr>
            <w:t xml:space="preserve"> </w:t>
          </w:r>
          <w:r w:rsidRPr="00A74CEB">
            <w:rPr>
              <w:b/>
              <w:bCs/>
              <w:color w:val="auto"/>
            </w:rPr>
            <w:t>Bibliography</w:t>
          </w:r>
        </w:p>
        <w:p w14:paraId="07AD818A" w14:textId="77777777" w:rsidR="002068CE" w:rsidRDefault="00682337" w:rsidP="00A74CEB">
          <w:pPr>
            <w:pStyle w:val="ListParagraph"/>
            <w:numPr>
              <w:ilvl w:val="0"/>
              <w:numId w:val="1"/>
            </w:numPr>
          </w:pPr>
          <w:sdt>
            <w:sdtPr>
              <w:id w:val="111145805"/>
              <w:bibliography/>
            </w:sdtPr>
            <w:sdtEndPr/>
            <w:sdtContent>
              <w:r w:rsidR="007A4130">
                <w:t xml:space="preserve">Long, C. W. R. </w:t>
              </w:r>
              <w:r w:rsidR="007A4130">
                <w:rPr>
                  <w:i/>
                  <w:iCs/>
                </w:rPr>
                <w:t>British Pro-</w:t>
              </w:r>
            </w:sdtContent>
          </w:sdt>
          <w:r w:rsidR="007A4130">
            <w:rPr>
              <w:i/>
              <w:iCs/>
            </w:rPr>
            <w:t xml:space="preserve">Consuls in Egypt 1914-1929: </w:t>
          </w:r>
          <w:r w:rsidR="002068CE">
            <w:rPr>
              <w:i/>
              <w:iCs/>
            </w:rPr>
            <w:t>The Challenge of Nationalism.</w:t>
          </w:r>
          <w:r w:rsidR="002068CE">
            <w:t xml:space="preserve"> 2005, Routledge Publishing</w:t>
          </w:r>
        </w:p>
        <w:p w14:paraId="3B693541" w14:textId="77777777" w:rsidR="00F1010A" w:rsidRDefault="002068CE" w:rsidP="00A74CEB">
          <w:pPr>
            <w:pStyle w:val="ListParagraph"/>
            <w:numPr>
              <w:ilvl w:val="0"/>
              <w:numId w:val="1"/>
            </w:numPr>
          </w:pPr>
          <w:r>
            <w:t xml:space="preserve">Mondal, Anshuman. A. </w:t>
          </w:r>
          <w:r>
            <w:rPr>
              <w:i/>
              <w:iCs/>
            </w:rPr>
            <w:t xml:space="preserve">Nationalism and Post-Colonial </w:t>
          </w:r>
          <w:r w:rsidR="00F1010A">
            <w:rPr>
              <w:i/>
              <w:iCs/>
            </w:rPr>
            <w:t xml:space="preserve">Identity: Cultural and Ideology in India and Egypt. </w:t>
          </w:r>
          <w:r w:rsidR="00F1010A">
            <w:t>2003, Routledge Curzon, London and New York</w:t>
          </w:r>
        </w:p>
        <w:p w14:paraId="25D6F0BC" w14:textId="77777777" w:rsidR="00D20924" w:rsidRDefault="00A35651" w:rsidP="00A35651">
          <w:pPr>
            <w:pStyle w:val="ListParagraph"/>
            <w:numPr>
              <w:ilvl w:val="0"/>
              <w:numId w:val="1"/>
            </w:numPr>
          </w:pPr>
          <w:proofErr w:type="spellStart"/>
          <w:r>
            <w:t>Morsot</w:t>
          </w:r>
          <w:proofErr w:type="spellEnd"/>
          <w:r>
            <w:t xml:space="preserve">, </w:t>
          </w:r>
          <w:proofErr w:type="spellStart"/>
          <w:r>
            <w:t>Afaf</w:t>
          </w:r>
          <w:proofErr w:type="spellEnd"/>
          <w:r>
            <w:t xml:space="preserve"> Lutfi Al-Sayyid. </w:t>
          </w:r>
          <w:r>
            <w:rPr>
              <w:i/>
              <w:iCs/>
            </w:rPr>
            <w:t>A History of Egypt: From Arab Conquest to the Present</w:t>
          </w:r>
          <w:r>
            <w:t xml:space="preserve">. </w:t>
          </w:r>
          <w:r w:rsidR="00D20924">
            <w:t>2007, Cambridge University Press</w:t>
          </w:r>
        </w:p>
        <w:p w14:paraId="1EA13E6C" w14:textId="77777777" w:rsidR="0084166E" w:rsidRDefault="00D20924" w:rsidP="00D20924">
          <w:pPr>
            <w:pStyle w:val="ListParagraph"/>
            <w:numPr>
              <w:ilvl w:val="0"/>
              <w:numId w:val="1"/>
            </w:numPr>
          </w:pPr>
          <w:r>
            <w:t xml:space="preserve">Barron, Beth. </w:t>
          </w:r>
          <w:r>
            <w:rPr>
              <w:i/>
              <w:iCs/>
            </w:rPr>
            <w:t>Egypt as a Woman: Nationalism, Gender and Politics</w:t>
          </w:r>
          <w:r w:rsidR="0084166E">
            <w:rPr>
              <w:i/>
              <w:iCs/>
            </w:rPr>
            <w:t>.</w:t>
          </w:r>
          <w:r w:rsidR="0084166E">
            <w:t xml:space="preserve"> 2005, University of California Press, London</w:t>
          </w:r>
        </w:p>
        <w:p w14:paraId="5508CBCB" w14:textId="77777777" w:rsidR="00771644" w:rsidRDefault="0084166E" w:rsidP="00D20924">
          <w:pPr>
            <w:pStyle w:val="ListParagraph"/>
            <w:numPr>
              <w:ilvl w:val="0"/>
              <w:numId w:val="1"/>
            </w:numPr>
          </w:pPr>
          <w:r>
            <w:rPr>
              <w:i/>
              <w:iCs/>
            </w:rPr>
            <w:t>Rethinking Nasserism: Revolution and Historical Memory in Modern Egypt</w:t>
          </w:r>
          <w:r>
            <w:t xml:space="preserve">. </w:t>
          </w:r>
          <w:r w:rsidR="00771644">
            <w:t xml:space="preserve">2004, (Eds) </w:t>
          </w:r>
          <w:proofErr w:type="spellStart"/>
          <w:r w:rsidR="00771644">
            <w:t>Podeh</w:t>
          </w:r>
          <w:proofErr w:type="spellEnd"/>
          <w:r w:rsidR="00771644">
            <w:t xml:space="preserve">, Elie and </w:t>
          </w:r>
          <w:proofErr w:type="spellStart"/>
          <w:r w:rsidR="00771644">
            <w:t>Winckler</w:t>
          </w:r>
          <w:proofErr w:type="spellEnd"/>
          <w:r w:rsidR="00771644">
            <w:t xml:space="preserve">, Onn. University Press </w:t>
          </w:r>
          <w:proofErr w:type="spellStart"/>
          <w:r w:rsidR="00771644">
            <w:t>Flordia</w:t>
          </w:r>
          <w:proofErr w:type="spellEnd"/>
        </w:p>
        <w:p w14:paraId="13FB9EC8" w14:textId="4790A8BC" w:rsidR="00970302" w:rsidRDefault="002D212F" w:rsidP="00D20924">
          <w:pPr>
            <w:pStyle w:val="ListParagraph"/>
            <w:numPr>
              <w:ilvl w:val="0"/>
              <w:numId w:val="1"/>
            </w:numPr>
          </w:pPr>
          <w:r>
            <w:t xml:space="preserve">Powell, </w:t>
          </w:r>
          <w:r w:rsidR="00970302">
            <w:t>Eve M</w:t>
          </w:r>
          <w:r>
            <w:t xml:space="preserve">. </w:t>
          </w:r>
          <w:proofErr w:type="spellStart"/>
          <w:r>
            <w:t>Troutt</w:t>
          </w:r>
          <w:proofErr w:type="spellEnd"/>
          <w:r w:rsidR="00970302">
            <w:t>.</w:t>
          </w:r>
          <w:r>
            <w:t xml:space="preserve"> </w:t>
          </w:r>
          <w:r w:rsidR="00970302">
            <w:rPr>
              <w:i/>
              <w:iCs/>
            </w:rPr>
            <w:t>Different Shade of Colonialism: Egypt, Great Britain and the Mastery of Sudan.</w:t>
          </w:r>
          <w:r>
            <w:rPr>
              <w:i/>
              <w:iCs/>
            </w:rPr>
            <w:t xml:space="preserve"> </w:t>
          </w:r>
          <w:r>
            <w:t>2003, University of California Press</w:t>
          </w:r>
        </w:p>
        <w:p w14:paraId="08D03555" w14:textId="7BC89417" w:rsidR="00D0140D" w:rsidRDefault="00112FD8" w:rsidP="00D0140D">
          <w:pPr>
            <w:pStyle w:val="ListParagraph"/>
            <w:numPr>
              <w:ilvl w:val="0"/>
              <w:numId w:val="1"/>
            </w:numPr>
          </w:pPr>
          <w:r>
            <w:t xml:space="preserve">Cole, Juan R. I. </w:t>
          </w:r>
          <w:r>
            <w:rPr>
              <w:i/>
              <w:iCs/>
            </w:rPr>
            <w:t xml:space="preserve">Colonialism and Revolution on the Middle East: Social and Cultural Origin of Egypt’s </w:t>
          </w:r>
          <w:proofErr w:type="spellStart"/>
          <w:r>
            <w:rPr>
              <w:i/>
              <w:iCs/>
            </w:rPr>
            <w:t>Urabi</w:t>
          </w:r>
          <w:proofErr w:type="spellEnd"/>
          <w:r>
            <w:rPr>
              <w:i/>
              <w:iCs/>
            </w:rPr>
            <w:t xml:space="preserve"> Movement</w:t>
          </w:r>
          <w:r w:rsidR="00D0140D">
            <w:rPr>
              <w:i/>
              <w:iCs/>
            </w:rPr>
            <w:t>.</w:t>
          </w:r>
          <w:r w:rsidR="00D0140D">
            <w:t xml:space="preserve"> 1993. Princeton University Press, Princeton, New Jersey</w:t>
          </w:r>
        </w:p>
        <w:p w14:paraId="58E640BF" w14:textId="1B537ACA" w:rsidR="00D0140D" w:rsidRDefault="00B35E59" w:rsidP="00D0140D">
          <w:pPr>
            <w:pStyle w:val="ListParagraph"/>
            <w:numPr>
              <w:ilvl w:val="0"/>
              <w:numId w:val="1"/>
            </w:numPr>
          </w:pPr>
          <w:r>
            <w:t xml:space="preserve">Pollard, Lisa. </w:t>
          </w:r>
          <w:r>
            <w:rPr>
              <w:i/>
              <w:iCs/>
            </w:rPr>
            <w:t xml:space="preserve">Nurturing the Nation: The Family </w:t>
          </w:r>
          <w:r w:rsidR="00302AD0">
            <w:rPr>
              <w:i/>
              <w:iCs/>
            </w:rPr>
            <w:t xml:space="preserve">Politics of Modernizing, Colonizing and Liberating Egypt 1805-1923. </w:t>
          </w:r>
          <w:r w:rsidR="005364FD">
            <w:t>2005, University of California Press, Los Angeles</w:t>
          </w:r>
        </w:p>
        <w:p w14:paraId="6C9A4CBB" w14:textId="298D46F4" w:rsidR="005364FD" w:rsidRDefault="005364FD" w:rsidP="00D0140D">
          <w:pPr>
            <w:pStyle w:val="ListParagraph"/>
            <w:numPr>
              <w:ilvl w:val="0"/>
              <w:numId w:val="1"/>
            </w:numPr>
          </w:pPr>
          <w:proofErr w:type="spellStart"/>
          <w:r>
            <w:t>Parramore</w:t>
          </w:r>
          <w:proofErr w:type="spellEnd"/>
          <w:r>
            <w:t xml:space="preserve">, Lynn. </w:t>
          </w:r>
          <w:r>
            <w:rPr>
              <w:i/>
              <w:iCs/>
            </w:rPr>
            <w:t xml:space="preserve">Reading the Sphinx: Ancient Egypt in Nineteenth Century </w:t>
          </w:r>
          <w:r w:rsidR="00A1382C">
            <w:rPr>
              <w:i/>
              <w:iCs/>
            </w:rPr>
            <w:t xml:space="preserve">Literary Culture. </w:t>
          </w:r>
          <w:r w:rsidR="004948E1">
            <w:t xml:space="preserve">2008, Palgrave </w:t>
          </w:r>
          <w:proofErr w:type="spellStart"/>
          <w:r w:rsidR="004948E1">
            <w:t>Macmillian</w:t>
          </w:r>
          <w:proofErr w:type="spellEnd"/>
        </w:p>
        <w:p w14:paraId="2BE7B9C3" w14:textId="56259DF6" w:rsidR="004948E1" w:rsidRDefault="004948E1" w:rsidP="00D0140D">
          <w:pPr>
            <w:pStyle w:val="ListParagraph"/>
            <w:numPr>
              <w:ilvl w:val="0"/>
              <w:numId w:val="1"/>
            </w:numPr>
          </w:pPr>
          <w:r>
            <w:rPr>
              <w:i/>
              <w:iCs/>
            </w:rPr>
            <w:t xml:space="preserve">The Cambridge History of Egypt: Vol. 2 Modern Egypt from 1517 to the End of the </w:t>
          </w:r>
          <w:r w:rsidR="001A4D25">
            <w:rPr>
              <w:i/>
              <w:iCs/>
            </w:rPr>
            <w:t>Twentieth Century.</w:t>
          </w:r>
          <w:r w:rsidR="001A4D25">
            <w:t xml:space="preserve"> 2008, (Ed) Daly, M. W. Cambridge University Press</w:t>
          </w:r>
        </w:p>
        <w:p w14:paraId="7C29CD3E" w14:textId="2203F99D" w:rsidR="00F13B9E" w:rsidRPr="00302AD0" w:rsidRDefault="00F13B9E" w:rsidP="00D0140D">
          <w:pPr>
            <w:pStyle w:val="ListParagraph"/>
            <w:numPr>
              <w:ilvl w:val="0"/>
              <w:numId w:val="1"/>
            </w:numPr>
          </w:pPr>
          <w:bookmarkStart w:id="1" w:name="_Hlk9372923"/>
          <w:r>
            <w:t xml:space="preserve">Reid, Donald, Malcolm. </w:t>
          </w:r>
          <w:r>
            <w:rPr>
              <w:i/>
              <w:iCs/>
            </w:rPr>
            <w:t xml:space="preserve">Contesting Antiquity in Egypt: Archaeologies, Museums and the Struggle for Identities </w:t>
          </w:r>
          <w:r w:rsidR="00226960">
            <w:rPr>
              <w:i/>
              <w:iCs/>
            </w:rPr>
            <w:t xml:space="preserve">from World War 1 to Nasser. </w:t>
          </w:r>
          <w:r w:rsidR="00226960">
            <w:t xml:space="preserve">2015, The American University in Cairo Press, Cairo. </w:t>
          </w:r>
        </w:p>
        <w:bookmarkEnd w:id="1"/>
        <w:p w14:paraId="48C2073E" w14:textId="4800AA61" w:rsidR="00970302" w:rsidRDefault="00654DF6" w:rsidP="005364FD">
          <w:pPr>
            <w:pStyle w:val="ListParagraph"/>
            <w:numPr>
              <w:ilvl w:val="0"/>
              <w:numId w:val="1"/>
            </w:numPr>
          </w:pPr>
          <w:r>
            <w:t xml:space="preserve">Goldberg, Ellis. </w:t>
          </w:r>
          <w:r w:rsidRPr="005364FD">
            <w:rPr>
              <w:i/>
              <w:iCs/>
            </w:rPr>
            <w:t xml:space="preserve">Trade, Reputation and Child </w:t>
          </w:r>
          <w:proofErr w:type="spellStart"/>
          <w:r w:rsidRPr="005364FD">
            <w:rPr>
              <w:i/>
              <w:iCs/>
            </w:rPr>
            <w:t>Labor</w:t>
          </w:r>
          <w:proofErr w:type="spellEnd"/>
          <w:r w:rsidRPr="005364FD">
            <w:rPr>
              <w:i/>
              <w:iCs/>
            </w:rPr>
            <w:t xml:space="preserve"> in Twentieth Century Egypt.</w:t>
          </w:r>
          <w:r>
            <w:t xml:space="preserve"> </w:t>
          </w:r>
          <w:r w:rsidR="00970302">
            <w:t xml:space="preserve">2004, </w:t>
          </w:r>
        </w:p>
        <w:p w14:paraId="34FEF6DC" w14:textId="77777777" w:rsidR="00970302" w:rsidRDefault="00970302" w:rsidP="00970302">
          <w:pPr>
            <w:pStyle w:val="ListParagraph"/>
          </w:pPr>
          <w:r>
            <w:t xml:space="preserve">Palgrave </w:t>
          </w:r>
          <w:proofErr w:type="spellStart"/>
          <w:r>
            <w:t>Macmillian</w:t>
          </w:r>
          <w:proofErr w:type="spellEnd"/>
          <w:r>
            <w:t xml:space="preserve"> </w:t>
          </w:r>
        </w:p>
        <w:p w14:paraId="2A5175A0" w14:textId="77777777" w:rsidR="00970302" w:rsidRDefault="00970302" w:rsidP="00970302">
          <w:pPr>
            <w:pStyle w:val="ListParagraph"/>
          </w:pPr>
        </w:p>
        <w:p w14:paraId="1669C673" w14:textId="34513455" w:rsidR="00A74CEB" w:rsidRDefault="00682337" w:rsidP="00970302">
          <w:pPr>
            <w:pStyle w:val="ListParagraph"/>
          </w:pPr>
        </w:p>
      </w:sdtContent>
    </w:sdt>
    <w:p w14:paraId="6900BBDE" w14:textId="77777777" w:rsidR="00A74CEB" w:rsidRDefault="00A74CEB" w:rsidP="00160A7B">
      <w:pPr>
        <w:jc w:val="center"/>
        <w:rPr>
          <w:u w:val="single"/>
        </w:rPr>
      </w:pPr>
    </w:p>
    <w:p w14:paraId="2DF5ED5D" w14:textId="77777777" w:rsidR="00A74CEB" w:rsidRPr="00160A7B" w:rsidRDefault="00A74CEB" w:rsidP="00160A7B">
      <w:pPr>
        <w:jc w:val="center"/>
        <w:rPr>
          <w:u w:val="single"/>
        </w:rPr>
      </w:pPr>
    </w:p>
    <w:sectPr w:rsidR="00A74CEB" w:rsidRPr="00160A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D45DC3"/>
    <w:multiLevelType w:val="hybridMultilevel"/>
    <w:tmpl w:val="A6C677F6"/>
    <w:lvl w:ilvl="0" w:tplc="C6809A3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4E0A09"/>
    <w:multiLevelType w:val="hybridMultilevel"/>
    <w:tmpl w:val="90745C98"/>
    <w:lvl w:ilvl="0" w:tplc="A6B62CD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60A7B"/>
    <w:rsid w:val="000270AA"/>
    <w:rsid w:val="000C3C8E"/>
    <w:rsid w:val="00112FD8"/>
    <w:rsid w:val="00124A32"/>
    <w:rsid w:val="00124F9B"/>
    <w:rsid w:val="00152545"/>
    <w:rsid w:val="00160A7B"/>
    <w:rsid w:val="00186289"/>
    <w:rsid w:val="001A4D25"/>
    <w:rsid w:val="002068CE"/>
    <w:rsid w:val="00226960"/>
    <w:rsid w:val="00272241"/>
    <w:rsid w:val="002D212F"/>
    <w:rsid w:val="002F2E64"/>
    <w:rsid w:val="00302AD0"/>
    <w:rsid w:val="003D13AC"/>
    <w:rsid w:val="00474C01"/>
    <w:rsid w:val="004948E1"/>
    <w:rsid w:val="005364FD"/>
    <w:rsid w:val="005C178E"/>
    <w:rsid w:val="005D6648"/>
    <w:rsid w:val="006064CA"/>
    <w:rsid w:val="00654DF6"/>
    <w:rsid w:val="00662929"/>
    <w:rsid w:val="00682337"/>
    <w:rsid w:val="00691FF5"/>
    <w:rsid w:val="006D4CC8"/>
    <w:rsid w:val="00710FDE"/>
    <w:rsid w:val="00771644"/>
    <w:rsid w:val="007A4130"/>
    <w:rsid w:val="007F75EC"/>
    <w:rsid w:val="0084166E"/>
    <w:rsid w:val="008D70F6"/>
    <w:rsid w:val="00927F1A"/>
    <w:rsid w:val="009459CB"/>
    <w:rsid w:val="00970302"/>
    <w:rsid w:val="00971755"/>
    <w:rsid w:val="00A1382C"/>
    <w:rsid w:val="00A35651"/>
    <w:rsid w:val="00A74CEB"/>
    <w:rsid w:val="00A842B0"/>
    <w:rsid w:val="00A8638C"/>
    <w:rsid w:val="00AD22A2"/>
    <w:rsid w:val="00B260F3"/>
    <w:rsid w:val="00B35E59"/>
    <w:rsid w:val="00B40EA4"/>
    <w:rsid w:val="00C02CD3"/>
    <w:rsid w:val="00C227DC"/>
    <w:rsid w:val="00C43AC9"/>
    <w:rsid w:val="00C9548C"/>
    <w:rsid w:val="00D0140D"/>
    <w:rsid w:val="00D10E0B"/>
    <w:rsid w:val="00D20924"/>
    <w:rsid w:val="00D32745"/>
    <w:rsid w:val="00D97210"/>
    <w:rsid w:val="00DF177E"/>
    <w:rsid w:val="00E227C2"/>
    <w:rsid w:val="00E6387A"/>
    <w:rsid w:val="00E748FD"/>
    <w:rsid w:val="00EA3E1A"/>
    <w:rsid w:val="00EA7CA0"/>
    <w:rsid w:val="00EE22D5"/>
    <w:rsid w:val="00EE633D"/>
    <w:rsid w:val="00EF0E67"/>
    <w:rsid w:val="00EF5306"/>
    <w:rsid w:val="00F1010A"/>
    <w:rsid w:val="00F13B9E"/>
    <w:rsid w:val="00F4794D"/>
    <w:rsid w:val="00F563C2"/>
    <w:rsid w:val="00FD33C1"/>
    <w:rsid w:val="00FD5145"/>
    <w:rsid w:val="00FF64E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BB544"/>
  <w15:docId w15:val="{ED202F0B-C0BA-4F3C-A750-7CB0581FB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4CE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4CEB"/>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A74CEB"/>
    <w:pPr>
      <w:ind w:left="720"/>
      <w:contextualSpacing/>
    </w:pPr>
  </w:style>
  <w:style w:type="paragraph" w:styleId="BalloonText">
    <w:name w:val="Balloon Text"/>
    <w:basedOn w:val="Normal"/>
    <w:link w:val="BalloonTextChar"/>
    <w:uiPriority w:val="99"/>
    <w:semiHidden/>
    <w:unhideWhenUsed/>
    <w:rsid w:val="002722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224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488080-3853-4D1F-8F63-73244A0ECB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554</TotalTime>
  <Pages>3</Pages>
  <Words>815</Words>
  <Characters>4650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Turner</dc:creator>
  <cp:keywords/>
  <dc:description/>
  <cp:lastModifiedBy>Lewis Turner</cp:lastModifiedBy>
  <cp:revision>9</cp:revision>
  <dcterms:created xsi:type="dcterms:W3CDTF">2019-05-21T11:35:00Z</dcterms:created>
  <dcterms:modified xsi:type="dcterms:W3CDTF">2019-05-21T22:28:00Z</dcterms:modified>
</cp:coreProperties>
</file>