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BC6B5" w14:textId="42A8AA3F" w:rsidR="00366DC6" w:rsidRPr="00F12023" w:rsidRDefault="00366DC6" w:rsidP="00F12023">
      <w:pPr>
        <w:spacing w:after="0" w:line="360" w:lineRule="auto"/>
        <w:jc w:val="center"/>
        <w:rPr>
          <w:rFonts w:asciiTheme="minorBidi" w:hAnsiTheme="minorBidi"/>
          <w:sz w:val="24"/>
          <w:szCs w:val="24"/>
        </w:rPr>
      </w:pPr>
    </w:p>
    <w:p w14:paraId="7662F9CC" w14:textId="77777777" w:rsidR="00366DC6" w:rsidRPr="00F12023" w:rsidRDefault="00366DC6" w:rsidP="00F12023">
      <w:pPr>
        <w:spacing w:after="0" w:line="360" w:lineRule="auto"/>
        <w:jc w:val="center"/>
        <w:rPr>
          <w:rFonts w:asciiTheme="minorBidi" w:hAnsiTheme="minorBidi"/>
          <w:sz w:val="24"/>
          <w:szCs w:val="24"/>
        </w:rPr>
      </w:pPr>
    </w:p>
    <w:p w14:paraId="4E160477" w14:textId="77777777" w:rsidR="00366DC6" w:rsidRPr="00F12023" w:rsidRDefault="00366DC6" w:rsidP="00F12023">
      <w:pPr>
        <w:spacing w:after="0" w:line="360" w:lineRule="auto"/>
        <w:jc w:val="center"/>
        <w:rPr>
          <w:rFonts w:asciiTheme="minorBidi" w:hAnsiTheme="minorBidi"/>
          <w:sz w:val="24"/>
          <w:szCs w:val="24"/>
        </w:rPr>
      </w:pPr>
    </w:p>
    <w:p w14:paraId="3DB61EB9" w14:textId="34F7EBED" w:rsidR="00204A54" w:rsidRDefault="008637B4" w:rsidP="00F12023">
      <w:pPr>
        <w:spacing w:after="0" w:line="360" w:lineRule="auto"/>
        <w:jc w:val="center"/>
        <w:rPr>
          <w:rFonts w:asciiTheme="minorBidi" w:hAnsiTheme="minorBidi"/>
          <w:sz w:val="24"/>
          <w:szCs w:val="24"/>
        </w:rPr>
      </w:pPr>
      <w:r>
        <w:rPr>
          <w:rFonts w:asciiTheme="minorBidi" w:hAnsiTheme="minorBidi"/>
          <w:sz w:val="24"/>
          <w:szCs w:val="24"/>
        </w:rPr>
        <w:t>OANA NICOLETA MANTA</w:t>
      </w:r>
    </w:p>
    <w:p w14:paraId="1ABD5722" w14:textId="23C1E217" w:rsidR="008637B4" w:rsidRDefault="008637B4" w:rsidP="00F12023">
      <w:pPr>
        <w:spacing w:after="0" w:line="360" w:lineRule="auto"/>
        <w:jc w:val="center"/>
        <w:rPr>
          <w:rFonts w:asciiTheme="minorBidi" w:hAnsiTheme="minorBidi"/>
          <w:sz w:val="24"/>
          <w:szCs w:val="24"/>
        </w:rPr>
      </w:pPr>
      <w:r>
        <w:rPr>
          <w:rFonts w:asciiTheme="minorBidi" w:hAnsiTheme="minorBidi"/>
          <w:sz w:val="24"/>
          <w:szCs w:val="24"/>
        </w:rPr>
        <w:t>2124123</w:t>
      </w:r>
    </w:p>
    <w:p w14:paraId="2CECC569" w14:textId="16FFD03F" w:rsidR="008637B4" w:rsidRPr="00F12023" w:rsidRDefault="008637B4" w:rsidP="00F12023">
      <w:pPr>
        <w:spacing w:after="0" w:line="360" w:lineRule="auto"/>
        <w:jc w:val="center"/>
        <w:rPr>
          <w:rFonts w:asciiTheme="minorBidi" w:hAnsiTheme="minorBidi"/>
          <w:sz w:val="24"/>
          <w:szCs w:val="24"/>
        </w:rPr>
      </w:pPr>
      <w:r>
        <w:rPr>
          <w:rFonts w:asciiTheme="minorBidi" w:hAnsiTheme="minorBidi"/>
          <w:sz w:val="24"/>
          <w:szCs w:val="24"/>
        </w:rPr>
        <w:t>MODULE LEAD:CHRIS WILKIN</w:t>
      </w:r>
    </w:p>
    <w:p w14:paraId="0EC582B7" w14:textId="77777777" w:rsidR="00366DC6" w:rsidRPr="00F12023" w:rsidRDefault="00366DC6" w:rsidP="00F12023">
      <w:pPr>
        <w:spacing w:after="0" w:line="360" w:lineRule="auto"/>
        <w:jc w:val="center"/>
        <w:rPr>
          <w:rFonts w:asciiTheme="minorBidi" w:hAnsiTheme="minorBidi"/>
          <w:sz w:val="24"/>
          <w:szCs w:val="24"/>
        </w:rPr>
      </w:pPr>
    </w:p>
    <w:p w14:paraId="4A346259" w14:textId="77777777" w:rsidR="00366DC6" w:rsidRPr="00F12023" w:rsidRDefault="00366DC6" w:rsidP="00F12023">
      <w:pPr>
        <w:spacing w:after="0" w:line="360" w:lineRule="auto"/>
        <w:jc w:val="center"/>
        <w:rPr>
          <w:rFonts w:asciiTheme="minorBidi" w:hAnsiTheme="minorBidi"/>
          <w:sz w:val="24"/>
          <w:szCs w:val="24"/>
        </w:rPr>
      </w:pPr>
    </w:p>
    <w:p w14:paraId="56ADCF31" w14:textId="77777777" w:rsidR="00366DC6" w:rsidRPr="00F12023" w:rsidRDefault="00366DC6" w:rsidP="00F12023">
      <w:pPr>
        <w:spacing w:after="0" w:line="360" w:lineRule="auto"/>
        <w:jc w:val="center"/>
        <w:rPr>
          <w:rFonts w:asciiTheme="minorBidi" w:hAnsiTheme="minorBidi"/>
          <w:sz w:val="24"/>
          <w:szCs w:val="24"/>
        </w:rPr>
      </w:pPr>
    </w:p>
    <w:p w14:paraId="64F262FD" w14:textId="77777777" w:rsidR="00366DC6" w:rsidRPr="00F12023" w:rsidRDefault="00366DC6" w:rsidP="00F12023">
      <w:pPr>
        <w:spacing w:after="0" w:line="360" w:lineRule="auto"/>
        <w:jc w:val="center"/>
        <w:rPr>
          <w:rFonts w:asciiTheme="minorBidi" w:hAnsiTheme="minorBidi"/>
          <w:sz w:val="24"/>
          <w:szCs w:val="24"/>
        </w:rPr>
      </w:pPr>
    </w:p>
    <w:p w14:paraId="5CC18C0B" w14:textId="32E3AB5E" w:rsidR="00366DC6" w:rsidRPr="00F12023" w:rsidRDefault="008637B4" w:rsidP="00F12023">
      <w:pPr>
        <w:spacing w:after="0" w:line="360" w:lineRule="auto"/>
        <w:jc w:val="center"/>
        <w:rPr>
          <w:rFonts w:asciiTheme="minorBidi" w:hAnsiTheme="minorBidi"/>
          <w:b/>
          <w:bCs/>
          <w:sz w:val="24"/>
          <w:szCs w:val="24"/>
        </w:rPr>
      </w:pPr>
      <w:r>
        <w:rPr>
          <w:rFonts w:asciiTheme="minorBidi" w:hAnsiTheme="minorBidi"/>
          <w:sz w:val="24"/>
          <w:szCs w:val="24"/>
        </w:rPr>
        <w:t>FINANCIAL MANAGEMENT FOR THE HOTEL INDUSTRY</w:t>
      </w:r>
    </w:p>
    <w:p w14:paraId="2659D0E5" w14:textId="0273201A" w:rsidR="00366DC6" w:rsidRPr="00F12023" w:rsidRDefault="00A040E5" w:rsidP="00F12023">
      <w:pPr>
        <w:spacing w:after="0" w:line="360" w:lineRule="auto"/>
        <w:jc w:val="center"/>
        <w:rPr>
          <w:rFonts w:asciiTheme="minorBidi" w:hAnsiTheme="minorBidi"/>
          <w:sz w:val="24"/>
          <w:szCs w:val="24"/>
        </w:rPr>
      </w:pPr>
      <w:r>
        <w:rPr>
          <w:rFonts w:asciiTheme="minorBidi" w:hAnsiTheme="minorBidi"/>
          <w:sz w:val="24"/>
          <w:szCs w:val="24"/>
        </w:rPr>
        <w:t xml:space="preserve">BHIH5007 </w:t>
      </w:r>
      <w:r w:rsidR="00396A7E" w:rsidRPr="00F12023">
        <w:rPr>
          <w:rFonts w:asciiTheme="minorBidi" w:hAnsiTheme="minorBidi"/>
          <w:sz w:val="24"/>
          <w:szCs w:val="24"/>
        </w:rPr>
        <w:br w:type="page"/>
      </w:r>
    </w:p>
    <w:sdt>
      <w:sdtPr>
        <w:rPr>
          <w:rFonts w:asciiTheme="minorBidi" w:eastAsiaTheme="minorHAnsi" w:hAnsiTheme="minorBidi" w:cstheme="minorBidi"/>
          <w:b w:val="0"/>
          <w:bCs w:val="0"/>
          <w:color w:val="auto"/>
          <w:sz w:val="24"/>
          <w:szCs w:val="24"/>
          <w:lang w:eastAsia="en-US"/>
        </w:rPr>
        <w:id w:val="1105915406"/>
        <w:docPartObj>
          <w:docPartGallery w:val="Table of Contents"/>
          <w:docPartUnique/>
        </w:docPartObj>
      </w:sdtPr>
      <w:sdtEndPr>
        <w:rPr>
          <w:noProof/>
        </w:rPr>
      </w:sdtEndPr>
      <w:sdtContent>
        <w:p w14:paraId="5EAF98DD" w14:textId="77777777" w:rsidR="00366DC6" w:rsidRPr="00F12023" w:rsidRDefault="00396A7E" w:rsidP="00F12023">
          <w:pPr>
            <w:pStyle w:val="TOCHeading"/>
            <w:spacing w:before="0" w:line="360" w:lineRule="auto"/>
            <w:jc w:val="center"/>
            <w:rPr>
              <w:rFonts w:asciiTheme="minorBidi" w:hAnsiTheme="minorBidi" w:cstheme="minorBidi"/>
              <w:color w:val="000000" w:themeColor="text1"/>
              <w:szCs w:val="24"/>
            </w:rPr>
          </w:pPr>
          <w:r w:rsidRPr="00F12023">
            <w:rPr>
              <w:rFonts w:asciiTheme="minorBidi" w:hAnsiTheme="minorBidi" w:cstheme="minorBidi"/>
              <w:color w:val="000000" w:themeColor="text1"/>
              <w:szCs w:val="24"/>
            </w:rPr>
            <w:t>Table of Contents</w:t>
          </w:r>
        </w:p>
        <w:p w14:paraId="11882E8E" w14:textId="77777777" w:rsidR="00F12023" w:rsidRPr="00F12023" w:rsidRDefault="002B1955">
          <w:pPr>
            <w:pStyle w:val="TOC1"/>
            <w:tabs>
              <w:tab w:val="right" w:leader="dot" w:pos="9350"/>
            </w:tabs>
            <w:rPr>
              <w:rFonts w:asciiTheme="minorBidi" w:eastAsiaTheme="minorEastAsia" w:hAnsiTheme="minorBidi"/>
              <w:noProof/>
            </w:rPr>
          </w:pPr>
          <w:r w:rsidRPr="00F12023">
            <w:rPr>
              <w:rFonts w:asciiTheme="minorBidi" w:hAnsiTheme="minorBidi"/>
              <w:sz w:val="24"/>
              <w:szCs w:val="24"/>
            </w:rPr>
            <w:fldChar w:fldCharType="begin"/>
          </w:r>
          <w:r w:rsidR="00396A7E" w:rsidRPr="00F12023">
            <w:rPr>
              <w:rFonts w:asciiTheme="minorBidi" w:hAnsiTheme="minorBidi"/>
              <w:sz w:val="24"/>
              <w:szCs w:val="24"/>
            </w:rPr>
            <w:instrText xml:space="preserve"> TOC \o "1-3" \h \z \u </w:instrText>
          </w:r>
          <w:r w:rsidRPr="00F12023">
            <w:rPr>
              <w:rFonts w:asciiTheme="minorBidi" w:hAnsiTheme="minorBidi"/>
              <w:sz w:val="24"/>
              <w:szCs w:val="24"/>
            </w:rPr>
            <w:fldChar w:fldCharType="separate"/>
          </w:r>
          <w:hyperlink w:anchor="_Toc135434128" w:history="1">
            <w:r w:rsidR="00F12023" w:rsidRPr="00F12023">
              <w:rPr>
                <w:rStyle w:val="Hyperlink"/>
                <w:rFonts w:asciiTheme="minorBidi" w:hAnsiTheme="minorBidi"/>
                <w:noProof/>
              </w:rPr>
              <w:t>Introduction</w:t>
            </w:r>
            <w:r w:rsidR="00F12023" w:rsidRPr="00F12023">
              <w:rPr>
                <w:rFonts w:asciiTheme="minorBidi" w:hAnsiTheme="minorBidi"/>
                <w:noProof/>
                <w:webHidden/>
              </w:rPr>
              <w:tab/>
            </w:r>
            <w:r w:rsidR="00F12023" w:rsidRPr="00F12023">
              <w:rPr>
                <w:rFonts w:asciiTheme="minorBidi" w:hAnsiTheme="minorBidi"/>
                <w:noProof/>
                <w:webHidden/>
              </w:rPr>
              <w:fldChar w:fldCharType="begin"/>
            </w:r>
            <w:r w:rsidR="00F12023" w:rsidRPr="00F12023">
              <w:rPr>
                <w:rFonts w:asciiTheme="minorBidi" w:hAnsiTheme="minorBidi"/>
                <w:noProof/>
                <w:webHidden/>
              </w:rPr>
              <w:instrText xml:space="preserve"> PAGEREF _Toc135434128 \h </w:instrText>
            </w:r>
            <w:r w:rsidR="00F12023" w:rsidRPr="00F12023">
              <w:rPr>
                <w:rFonts w:asciiTheme="minorBidi" w:hAnsiTheme="minorBidi"/>
                <w:noProof/>
                <w:webHidden/>
              </w:rPr>
            </w:r>
            <w:r w:rsidR="00F12023" w:rsidRPr="00F12023">
              <w:rPr>
                <w:rFonts w:asciiTheme="minorBidi" w:hAnsiTheme="minorBidi"/>
                <w:noProof/>
                <w:webHidden/>
              </w:rPr>
              <w:fldChar w:fldCharType="separate"/>
            </w:r>
            <w:r w:rsidR="00F12023" w:rsidRPr="00F12023">
              <w:rPr>
                <w:rFonts w:asciiTheme="minorBidi" w:hAnsiTheme="minorBidi"/>
                <w:noProof/>
                <w:webHidden/>
              </w:rPr>
              <w:t>3</w:t>
            </w:r>
            <w:r w:rsidR="00F12023" w:rsidRPr="00F12023">
              <w:rPr>
                <w:rFonts w:asciiTheme="minorBidi" w:hAnsiTheme="minorBidi"/>
                <w:noProof/>
                <w:webHidden/>
              </w:rPr>
              <w:fldChar w:fldCharType="end"/>
            </w:r>
          </w:hyperlink>
        </w:p>
        <w:p w14:paraId="306EB004" w14:textId="77777777" w:rsidR="00F12023" w:rsidRPr="00F12023" w:rsidRDefault="00000000">
          <w:pPr>
            <w:pStyle w:val="TOC2"/>
            <w:tabs>
              <w:tab w:val="right" w:leader="dot" w:pos="9350"/>
            </w:tabs>
            <w:rPr>
              <w:rFonts w:asciiTheme="minorBidi" w:eastAsiaTheme="minorEastAsia" w:hAnsiTheme="minorBidi"/>
              <w:noProof/>
            </w:rPr>
          </w:pPr>
          <w:hyperlink w:anchor="_Toc135434129" w:history="1">
            <w:r w:rsidR="00F12023" w:rsidRPr="00F12023">
              <w:rPr>
                <w:rStyle w:val="Hyperlink"/>
                <w:rFonts w:asciiTheme="minorBidi" w:hAnsiTheme="minorBidi"/>
                <w:noProof/>
              </w:rPr>
              <w:t>Total Revenue</w:t>
            </w:r>
            <w:r w:rsidR="00F12023" w:rsidRPr="00F12023">
              <w:rPr>
                <w:rFonts w:asciiTheme="minorBidi" w:hAnsiTheme="minorBidi"/>
                <w:noProof/>
                <w:webHidden/>
              </w:rPr>
              <w:tab/>
            </w:r>
            <w:r w:rsidR="00F12023" w:rsidRPr="00F12023">
              <w:rPr>
                <w:rFonts w:asciiTheme="minorBidi" w:hAnsiTheme="minorBidi"/>
                <w:noProof/>
                <w:webHidden/>
              </w:rPr>
              <w:fldChar w:fldCharType="begin"/>
            </w:r>
            <w:r w:rsidR="00F12023" w:rsidRPr="00F12023">
              <w:rPr>
                <w:rFonts w:asciiTheme="minorBidi" w:hAnsiTheme="minorBidi"/>
                <w:noProof/>
                <w:webHidden/>
              </w:rPr>
              <w:instrText xml:space="preserve"> PAGEREF _Toc135434129 \h </w:instrText>
            </w:r>
            <w:r w:rsidR="00F12023" w:rsidRPr="00F12023">
              <w:rPr>
                <w:rFonts w:asciiTheme="minorBidi" w:hAnsiTheme="minorBidi"/>
                <w:noProof/>
                <w:webHidden/>
              </w:rPr>
            </w:r>
            <w:r w:rsidR="00F12023" w:rsidRPr="00F12023">
              <w:rPr>
                <w:rFonts w:asciiTheme="minorBidi" w:hAnsiTheme="minorBidi"/>
                <w:noProof/>
                <w:webHidden/>
              </w:rPr>
              <w:fldChar w:fldCharType="separate"/>
            </w:r>
            <w:r w:rsidR="00F12023" w:rsidRPr="00F12023">
              <w:rPr>
                <w:rFonts w:asciiTheme="minorBidi" w:hAnsiTheme="minorBidi"/>
                <w:noProof/>
                <w:webHidden/>
              </w:rPr>
              <w:t>3</w:t>
            </w:r>
            <w:r w:rsidR="00F12023" w:rsidRPr="00F12023">
              <w:rPr>
                <w:rFonts w:asciiTheme="minorBidi" w:hAnsiTheme="minorBidi"/>
                <w:noProof/>
                <w:webHidden/>
              </w:rPr>
              <w:fldChar w:fldCharType="end"/>
            </w:r>
          </w:hyperlink>
        </w:p>
        <w:p w14:paraId="2163464C" w14:textId="77777777" w:rsidR="00F12023" w:rsidRPr="00F12023" w:rsidRDefault="00000000">
          <w:pPr>
            <w:pStyle w:val="TOC2"/>
            <w:tabs>
              <w:tab w:val="right" w:leader="dot" w:pos="9350"/>
            </w:tabs>
            <w:rPr>
              <w:rFonts w:asciiTheme="minorBidi" w:eastAsiaTheme="minorEastAsia" w:hAnsiTheme="minorBidi"/>
              <w:noProof/>
            </w:rPr>
          </w:pPr>
          <w:hyperlink w:anchor="_Toc135434130" w:history="1">
            <w:r w:rsidR="00F12023" w:rsidRPr="00F12023">
              <w:rPr>
                <w:rStyle w:val="Hyperlink"/>
                <w:rFonts w:asciiTheme="minorBidi" w:hAnsiTheme="minorBidi"/>
                <w:noProof/>
              </w:rPr>
              <w:t>Market position</w:t>
            </w:r>
            <w:r w:rsidR="00F12023" w:rsidRPr="00F12023">
              <w:rPr>
                <w:rFonts w:asciiTheme="minorBidi" w:hAnsiTheme="minorBidi"/>
                <w:noProof/>
                <w:webHidden/>
              </w:rPr>
              <w:tab/>
            </w:r>
            <w:r w:rsidR="00F12023" w:rsidRPr="00F12023">
              <w:rPr>
                <w:rFonts w:asciiTheme="minorBidi" w:hAnsiTheme="minorBidi"/>
                <w:noProof/>
                <w:webHidden/>
              </w:rPr>
              <w:fldChar w:fldCharType="begin"/>
            </w:r>
            <w:r w:rsidR="00F12023" w:rsidRPr="00F12023">
              <w:rPr>
                <w:rFonts w:asciiTheme="minorBidi" w:hAnsiTheme="minorBidi"/>
                <w:noProof/>
                <w:webHidden/>
              </w:rPr>
              <w:instrText xml:space="preserve"> PAGEREF _Toc135434130 \h </w:instrText>
            </w:r>
            <w:r w:rsidR="00F12023" w:rsidRPr="00F12023">
              <w:rPr>
                <w:rFonts w:asciiTheme="minorBidi" w:hAnsiTheme="minorBidi"/>
                <w:noProof/>
                <w:webHidden/>
              </w:rPr>
            </w:r>
            <w:r w:rsidR="00F12023" w:rsidRPr="00F12023">
              <w:rPr>
                <w:rFonts w:asciiTheme="minorBidi" w:hAnsiTheme="minorBidi"/>
                <w:noProof/>
                <w:webHidden/>
              </w:rPr>
              <w:fldChar w:fldCharType="separate"/>
            </w:r>
            <w:r w:rsidR="00F12023" w:rsidRPr="00F12023">
              <w:rPr>
                <w:rFonts w:asciiTheme="minorBidi" w:hAnsiTheme="minorBidi"/>
                <w:noProof/>
                <w:webHidden/>
              </w:rPr>
              <w:t>4</w:t>
            </w:r>
            <w:r w:rsidR="00F12023" w:rsidRPr="00F12023">
              <w:rPr>
                <w:rFonts w:asciiTheme="minorBidi" w:hAnsiTheme="minorBidi"/>
                <w:noProof/>
                <w:webHidden/>
              </w:rPr>
              <w:fldChar w:fldCharType="end"/>
            </w:r>
          </w:hyperlink>
        </w:p>
        <w:p w14:paraId="788C97F7" w14:textId="77777777" w:rsidR="00F12023" w:rsidRPr="00F12023" w:rsidRDefault="00000000">
          <w:pPr>
            <w:pStyle w:val="TOC2"/>
            <w:tabs>
              <w:tab w:val="right" w:leader="dot" w:pos="9350"/>
            </w:tabs>
            <w:rPr>
              <w:rFonts w:asciiTheme="minorBidi" w:eastAsiaTheme="minorEastAsia" w:hAnsiTheme="minorBidi"/>
              <w:noProof/>
            </w:rPr>
          </w:pPr>
          <w:hyperlink w:anchor="_Toc135434131" w:history="1">
            <w:r w:rsidR="00F12023" w:rsidRPr="00F12023">
              <w:rPr>
                <w:rStyle w:val="Hyperlink"/>
                <w:rFonts w:asciiTheme="minorBidi" w:hAnsiTheme="minorBidi"/>
                <w:noProof/>
              </w:rPr>
              <w:t>Growth potential</w:t>
            </w:r>
            <w:r w:rsidR="00F12023" w:rsidRPr="00F12023">
              <w:rPr>
                <w:rFonts w:asciiTheme="minorBidi" w:hAnsiTheme="minorBidi"/>
                <w:noProof/>
                <w:webHidden/>
              </w:rPr>
              <w:tab/>
            </w:r>
            <w:r w:rsidR="00F12023" w:rsidRPr="00F12023">
              <w:rPr>
                <w:rFonts w:asciiTheme="minorBidi" w:hAnsiTheme="minorBidi"/>
                <w:noProof/>
                <w:webHidden/>
              </w:rPr>
              <w:fldChar w:fldCharType="begin"/>
            </w:r>
            <w:r w:rsidR="00F12023" w:rsidRPr="00F12023">
              <w:rPr>
                <w:rFonts w:asciiTheme="minorBidi" w:hAnsiTheme="minorBidi"/>
                <w:noProof/>
                <w:webHidden/>
              </w:rPr>
              <w:instrText xml:space="preserve"> PAGEREF _Toc135434131 \h </w:instrText>
            </w:r>
            <w:r w:rsidR="00F12023" w:rsidRPr="00F12023">
              <w:rPr>
                <w:rFonts w:asciiTheme="minorBidi" w:hAnsiTheme="minorBidi"/>
                <w:noProof/>
                <w:webHidden/>
              </w:rPr>
            </w:r>
            <w:r w:rsidR="00F12023" w:rsidRPr="00F12023">
              <w:rPr>
                <w:rFonts w:asciiTheme="minorBidi" w:hAnsiTheme="minorBidi"/>
                <w:noProof/>
                <w:webHidden/>
              </w:rPr>
              <w:fldChar w:fldCharType="separate"/>
            </w:r>
            <w:r w:rsidR="00F12023" w:rsidRPr="00F12023">
              <w:rPr>
                <w:rFonts w:asciiTheme="minorBidi" w:hAnsiTheme="minorBidi"/>
                <w:noProof/>
                <w:webHidden/>
              </w:rPr>
              <w:t>5</w:t>
            </w:r>
            <w:r w:rsidR="00F12023" w:rsidRPr="00F12023">
              <w:rPr>
                <w:rFonts w:asciiTheme="minorBidi" w:hAnsiTheme="minorBidi"/>
                <w:noProof/>
                <w:webHidden/>
              </w:rPr>
              <w:fldChar w:fldCharType="end"/>
            </w:r>
          </w:hyperlink>
        </w:p>
        <w:p w14:paraId="44AECE13" w14:textId="77777777" w:rsidR="00F12023" w:rsidRPr="00F12023" w:rsidRDefault="00000000">
          <w:pPr>
            <w:pStyle w:val="TOC2"/>
            <w:tabs>
              <w:tab w:val="right" w:leader="dot" w:pos="9350"/>
            </w:tabs>
            <w:rPr>
              <w:rFonts w:asciiTheme="minorBidi" w:eastAsiaTheme="minorEastAsia" w:hAnsiTheme="minorBidi"/>
              <w:noProof/>
            </w:rPr>
          </w:pPr>
          <w:hyperlink w:anchor="_Toc135434132" w:history="1">
            <w:r w:rsidR="00F12023" w:rsidRPr="00F12023">
              <w:rPr>
                <w:rStyle w:val="Hyperlink"/>
                <w:rFonts w:asciiTheme="minorBidi" w:hAnsiTheme="minorBidi"/>
                <w:noProof/>
              </w:rPr>
              <w:t>Financial Commitment to CSR</w:t>
            </w:r>
            <w:r w:rsidR="00F12023" w:rsidRPr="00F12023">
              <w:rPr>
                <w:rFonts w:asciiTheme="minorBidi" w:hAnsiTheme="minorBidi"/>
                <w:noProof/>
                <w:webHidden/>
              </w:rPr>
              <w:tab/>
            </w:r>
            <w:r w:rsidR="00F12023" w:rsidRPr="00F12023">
              <w:rPr>
                <w:rFonts w:asciiTheme="minorBidi" w:hAnsiTheme="minorBidi"/>
                <w:noProof/>
                <w:webHidden/>
              </w:rPr>
              <w:fldChar w:fldCharType="begin"/>
            </w:r>
            <w:r w:rsidR="00F12023" w:rsidRPr="00F12023">
              <w:rPr>
                <w:rFonts w:asciiTheme="minorBidi" w:hAnsiTheme="minorBidi"/>
                <w:noProof/>
                <w:webHidden/>
              </w:rPr>
              <w:instrText xml:space="preserve"> PAGEREF _Toc135434132 \h </w:instrText>
            </w:r>
            <w:r w:rsidR="00F12023" w:rsidRPr="00F12023">
              <w:rPr>
                <w:rFonts w:asciiTheme="minorBidi" w:hAnsiTheme="minorBidi"/>
                <w:noProof/>
                <w:webHidden/>
              </w:rPr>
            </w:r>
            <w:r w:rsidR="00F12023" w:rsidRPr="00F12023">
              <w:rPr>
                <w:rFonts w:asciiTheme="minorBidi" w:hAnsiTheme="minorBidi"/>
                <w:noProof/>
                <w:webHidden/>
              </w:rPr>
              <w:fldChar w:fldCharType="separate"/>
            </w:r>
            <w:r w:rsidR="00F12023" w:rsidRPr="00F12023">
              <w:rPr>
                <w:rFonts w:asciiTheme="minorBidi" w:hAnsiTheme="minorBidi"/>
                <w:noProof/>
                <w:webHidden/>
              </w:rPr>
              <w:t>7</w:t>
            </w:r>
            <w:r w:rsidR="00F12023" w:rsidRPr="00F12023">
              <w:rPr>
                <w:rFonts w:asciiTheme="minorBidi" w:hAnsiTheme="minorBidi"/>
                <w:noProof/>
                <w:webHidden/>
              </w:rPr>
              <w:fldChar w:fldCharType="end"/>
            </w:r>
          </w:hyperlink>
        </w:p>
        <w:p w14:paraId="012485C0" w14:textId="77777777" w:rsidR="00F12023" w:rsidRPr="00F12023" w:rsidRDefault="00000000">
          <w:pPr>
            <w:pStyle w:val="TOC1"/>
            <w:tabs>
              <w:tab w:val="right" w:leader="dot" w:pos="9350"/>
            </w:tabs>
            <w:rPr>
              <w:rFonts w:asciiTheme="minorBidi" w:eastAsiaTheme="minorEastAsia" w:hAnsiTheme="minorBidi"/>
              <w:noProof/>
            </w:rPr>
          </w:pPr>
          <w:hyperlink w:anchor="_Toc135434133" w:history="1">
            <w:r w:rsidR="00F12023" w:rsidRPr="00F12023">
              <w:rPr>
                <w:rStyle w:val="Hyperlink"/>
                <w:rFonts w:asciiTheme="minorBidi" w:hAnsiTheme="minorBidi"/>
                <w:noProof/>
              </w:rPr>
              <w:t>Conclusion</w:t>
            </w:r>
            <w:r w:rsidR="00F12023" w:rsidRPr="00F12023">
              <w:rPr>
                <w:rFonts w:asciiTheme="minorBidi" w:hAnsiTheme="minorBidi"/>
                <w:noProof/>
                <w:webHidden/>
              </w:rPr>
              <w:tab/>
            </w:r>
            <w:r w:rsidR="00F12023" w:rsidRPr="00F12023">
              <w:rPr>
                <w:rFonts w:asciiTheme="minorBidi" w:hAnsiTheme="minorBidi"/>
                <w:noProof/>
                <w:webHidden/>
              </w:rPr>
              <w:fldChar w:fldCharType="begin"/>
            </w:r>
            <w:r w:rsidR="00F12023" w:rsidRPr="00F12023">
              <w:rPr>
                <w:rFonts w:asciiTheme="minorBidi" w:hAnsiTheme="minorBidi"/>
                <w:noProof/>
                <w:webHidden/>
              </w:rPr>
              <w:instrText xml:space="preserve"> PAGEREF _Toc135434133 \h </w:instrText>
            </w:r>
            <w:r w:rsidR="00F12023" w:rsidRPr="00F12023">
              <w:rPr>
                <w:rFonts w:asciiTheme="minorBidi" w:hAnsiTheme="minorBidi"/>
                <w:noProof/>
                <w:webHidden/>
              </w:rPr>
            </w:r>
            <w:r w:rsidR="00F12023" w:rsidRPr="00F12023">
              <w:rPr>
                <w:rFonts w:asciiTheme="minorBidi" w:hAnsiTheme="minorBidi"/>
                <w:noProof/>
                <w:webHidden/>
              </w:rPr>
              <w:fldChar w:fldCharType="separate"/>
            </w:r>
            <w:r w:rsidR="00F12023" w:rsidRPr="00F12023">
              <w:rPr>
                <w:rFonts w:asciiTheme="minorBidi" w:hAnsiTheme="minorBidi"/>
                <w:noProof/>
                <w:webHidden/>
              </w:rPr>
              <w:t>9</w:t>
            </w:r>
            <w:r w:rsidR="00F12023" w:rsidRPr="00F12023">
              <w:rPr>
                <w:rFonts w:asciiTheme="minorBidi" w:hAnsiTheme="minorBidi"/>
                <w:noProof/>
                <w:webHidden/>
              </w:rPr>
              <w:fldChar w:fldCharType="end"/>
            </w:r>
          </w:hyperlink>
        </w:p>
        <w:p w14:paraId="712BB7DE" w14:textId="77777777" w:rsidR="00F12023" w:rsidRPr="00F12023" w:rsidRDefault="00000000">
          <w:pPr>
            <w:pStyle w:val="TOC1"/>
            <w:tabs>
              <w:tab w:val="right" w:leader="dot" w:pos="9350"/>
            </w:tabs>
            <w:rPr>
              <w:rFonts w:asciiTheme="minorBidi" w:eastAsiaTheme="minorEastAsia" w:hAnsiTheme="minorBidi"/>
              <w:noProof/>
            </w:rPr>
          </w:pPr>
          <w:hyperlink w:anchor="_Toc135434134" w:history="1">
            <w:r w:rsidR="00F12023" w:rsidRPr="00F12023">
              <w:rPr>
                <w:rStyle w:val="Hyperlink"/>
                <w:rFonts w:asciiTheme="minorBidi" w:hAnsiTheme="minorBidi"/>
                <w:noProof/>
              </w:rPr>
              <w:t>References</w:t>
            </w:r>
            <w:r w:rsidR="00F12023" w:rsidRPr="00F12023">
              <w:rPr>
                <w:rFonts w:asciiTheme="minorBidi" w:hAnsiTheme="minorBidi"/>
                <w:noProof/>
                <w:webHidden/>
              </w:rPr>
              <w:tab/>
            </w:r>
            <w:r w:rsidR="00F12023" w:rsidRPr="00F12023">
              <w:rPr>
                <w:rFonts w:asciiTheme="minorBidi" w:hAnsiTheme="minorBidi"/>
                <w:noProof/>
                <w:webHidden/>
              </w:rPr>
              <w:fldChar w:fldCharType="begin"/>
            </w:r>
            <w:r w:rsidR="00F12023" w:rsidRPr="00F12023">
              <w:rPr>
                <w:rFonts w:asciiTheme="minorBidi" w:hAnsiTheme="minorBidi"/>
                <w:noProof/>
                <w:webHidden/>
              </w:rPr>
              <w:instrText xml:space="preserve"> PAGEREF _Toc135434134 \h </w:instrText>
            </w:r>
            <w:r w:rsidR="00F12023" w:rsidRPr="00F12023">
              <w:rPr>
                <w:rFonts w:asciiTheme="minorBidi" w:hAnsiTheme="minorBidi"/>
                <w:noProof/>
                <w:webHidden/>
              </w:rPr>
            </w:r>
            <w:r w:rsidR="00F12023" w:rsidRPr="00F12023">
              <w:rPr>
                <w:rFonts w:asciiTheme="minorBidi" w:hAnsiTheme="minorBidi"/>
                <w:noProof/>
                <w:webHidden/>
              </w:rPr>
              <w:fldChar w:fldCharType="separate"/>
            </w:r>
            <w:r w:rsidR="00F12023" w:rsidRPr="00F12023">
              <w:rPr>
                <w:rFonts w:asciiTheme="minorBidi" w:hAnsiTheme="minorBidi"/>
                <w:noProof/>
                <w:webHidden/>
              </w:rPr>
              <w:t>10</w:t>
            </w:r>
            <w:r w:rsidR="00F12023" w:rsidRPr="00F12023">
              <w:rPr>
                <w:rFonts w:asciiTheme="minorBidi" w:hAnsiTheme="minorBidi"/>
                <w:noProof/>
                <w:webHidden/>
              </w:rPr>
              <w:fldChar w:fldCharType="end"/>
            </w:r>
          </w:hyperlink>
        </w:p>
        <w:p w14:paraId="3539A46E" w14:textId="77777777" w:rsidR="00366DC6" w:rsidRPr="00F12023" w:rsidRDefault="002B1955" w:rsidP="00F12023">
          <w:pPr>
            <w:spacing w:after="0" w:line="360" w:lineRule="auto"/>
            <w:rPr>
              <w:rFonts w:asciiTheme="minorBidi" w:hAnsiTheme="minorBidi"/>
              <w:sz w:val="24"/>
              <w:szCs w:val="24"/>
            </w:rPr>
          </w:pPr>
          <w:r w:rsidRPr="00F12023">
            <w:rPr>
              <w:rFonts w:asciiTheme="minorBidi" w:hAnsiTheme="minorBidi"/>
              <w:b/>
              <w:bCs/>
              <w:noProof/>
              <w:sz w:val="24"/>
              <w:szCs w:val="24"/>
            </w:rPr>
            <w:fldChar w:fldCharType="end"/>
          </w:r>
        </w:p>
      </w:sdtContent>
    </w:sdt>
    <w:p w14:paraId="7F65DAD0" w14:textId="77777777" w:rsidR="00366DC6" w:rsidRPr="00F12023" w:rsidRDefault="00396A7E" w:rsidP="00F12023">
      <w:pPr>
        <w:spacing w:after="0" w:line="360" w:lineRule="auto"/>
        <w:rPr>
          <w:rFonts w:asciiTheme="minorBidi" w:eastAsiaTheme="majorEastAsia" w:hAnsiTheme="minorBidi"/>
          <w:b/>
          <w:bCs/>
          <w:i/>
          <w:color w:val="000000" w:themeColor="text1"/>
          <w:sz w:val="24"/>
          <w:szCs w:val="24"/>
        </w:rPr>
      </w:pPr>
      <w:r w:rsidRPr="00F12023">
        <w:rPr>
          <w:rFonts w:asciiTheme="minorBidi" w:hAnsiTheme="minorBidi"/>
          <w:sz w:val="24"/>
          <w:szCs w:val="24"/>
        </w:rPr>
        <w:br w:type="page"/>
      </w:r>
    </w:p>
    <w:p w14:paraId="01884904" w14:textId="77777777" w:rsidR="00C752F5" w:rsidRPr="00F12023" w:rsidRDefault="00396A7E" w:rsidP="00F12023">
      <w:pPr>
        <w:pStyle w:val="Heading1"/>
        <w:spacing w:before="0" w:line="360" w:lineRule="auto"/>
        <w:rPr>
          <w:rFonts w:asciiTheme="minorBidi" w:hAnsiTheme="minorBidi" w:cstheme="minorBidi"/>
          <w:szCs w:val="24"/>
        </w:rPr>
      </w:pPr>
      <w:bookmarkStart w:id="0" w:name="_Toc135434128"/>
      <w:r w:rsidRPr="00F12023">
        <w:rPr>
          <w:rFonts w:asciiTheme="minorBidi" w:hAnsiTheme="minorBidi" w:cstheme="minorBidi"/>
          <w:szCs w:val="24"/>
        </w:rPr>
        <w:lastRenderedPageBreak/>
        <w:t>Introduction</w:t>
      </w:r>
      <w:bookmarkEnd w:id="0"/>
    </w:p>
    <w:p w14:paraId="6465BDD9"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 xml:space="preserve">The hotel industry has experienced different challenges in recent years, specifically because of the unprecedented disruptions due to the global pandemic (Hao et al. 2020). As travel resumes and the world recovers gradually, it becomes important to assess how hotel organisations have navigated such tough times and positioned themselves for their success in future. Financial management enables organisations to adapt, grow, and create value for stakeholders (Nair, 2019). So, analysing the financial performance of Marriott International and Hilton will demonstrate their resilience, recovery, and ability to capitalise on emerging opportunities.This report aims to critically analyse and compare financial management's principles and the approach to corporate social responsibility (CSR) of two prominent international organisations in the hotel industry: Marriott International and Hilton. </w:t>
      </w:r>
    </w:p>
    <w:p w14:paraId="2E310BCB" w14:textId="77777777" w:rsidR="00C752F5" w:rsidRPr="00F12023" w:rsidRDefault="00C752F5" w:rsidP="00F12023">
      <w:pPr>
        <w:spacing w:after="0" w:line="360" w:lineRule="auto"/>
        <w:jc w:val="both"/>
        <w:rPr>
          <w:rFonts w:asciiTheme="minorBidi" w:hAnsiTheme="minorBidi"/>
          <w:sz w:val="24"/>
          <w:szCs w:val="24"/>
        </w:rPr>
      </w:pPr>
    </w:p>
    <w:p w14:paraId="2A9E4782" w14:textId="77777777" w:rsidR="00C752F5" w:rsidRPr="00F12023" w:rsidRDefault="00396A7E" w:rsidP="00F12023">
      <w:pPr>
        <w:pStyle w:val="Heading2"/>
        <w:spacing w:before="0" w:line="360" w:lineRule="auto"/>
        <w:rPr>
          <w:rFonts w:asciiTheme="minorBidi" w:hAnsiTheme="minorBidi" w:cstheme="minorBidi"/>
          <w:szCs w:val="24"/>
        </w:rPr>
      </w:pPr>
      <w:bookmarkStart w:id="1" w:name="_Toc135434129"/>
      <w:r w:rsidRPr="00F12023">
        <w:rPr>
          <w:rFonts w:asciiTheme="minorBidi" w:hAnsiTheme="minorBidi" w:cstheme="minorBidi"/>
          <w:szCs w:val="24"/>
        </w:rPr>
        <w:t xml:space="preserve">Total </w:t>
      </w:r>
      <w:r w:rsidR="00051C67" w:rsidRPr="00F12023">
        <w:rPr>
          <w:rFonts w:asciiTheme="minorBidi" w:hAnsiTheme="minorBidi" w:cstheme="minorBidi"/>
          <w:szCs w:val="24"/>
        </w:rPr>
        <w:t>Revenue</w:t>
      </w:r>
      <w:bookmarkEnd w:id="1"/>
    </w:p>
    <w:p w14:paraId="152A1B20"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In 2022, Marriott International has remarkably recovered and achieved record-breaking financial results. By June, the organisation reported total global revenue per available room (RevPAR) recovery to pre-pandemic levels, indicating a robust rebound in demand for their hotel properties. The fourth-quarter global RevPAR rose by 5 per cent compared to 2019, with a minor decline of only 5 percentage points in occupancy and an impressive 13% increase in average daily rate (ADR) (Neves, 2022).In 2022, Marriott International experienced substantial growth in total revenue (Poretti et al., 2023). Gross fee revenues reached $4.1 billion, reflecting an increase of over 50% compared to the previous year. This growth can be attributed to higher RevPAR, room additions, and significant expansion in non-RevPAR-related franchise fees, primarily driven by co-branded credit card fees. Additionally, incentive management fees witnessed an impressive rise, reaching $529 million. Adjusted EBITDA also saw a substantial increase, nearing $3.9 billion, indicating improved operational efficiency and profitability (Ertuna et al. 2022).</w:t>
      </w:r>
    </w:p>
    <w:p w14:paraId="0B5F4663"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 xml:space="preserve">Marriott International's growth strategy was focused on expanding its global presence. The company added over 65,000 rooms in 2022, achieving a net room growth of 3.1% yearly. Conversion of existing properties played a significant role in this </w:t>
      </w:r>
      <w:r w:rsidRPr="00F12023">
        <w:rPr>
          <w:rFonts w:asciiTheme="minorBidi" w:hAnsiTheme="minorBidi"/>
          <w:sz w:val="24"/>
          <w:szCs w:val="24"/>
        </w:rPr>
        <w:lastRenderedPageBreak/>
        <w:t>growth, accounting for 27% of room additions. With nearly 8,300 properties and 1.5 million rooms across 138 countries and territories, Marriott International showcased its ability to attract owners and franchisees, resulting in a strong development pipeline of over 3,000 properties at the end of the year (Demirçiftçi, 2022).</w:t>
      </w:r>
    </w:p>
    <w:p w14:paraId="611BFA70" w14:textId="77777777" w:rsidR="00C752F5" w:rsidRPr="00F12023" w:rsidRDefault="00F12023" w:rsidP="00F12023">
      <w:pPr>
        <w:spacing w:after="0" w:line="360" w:lineRule="auto"/>
        <w:ind w:firstLine="720"/>
        <w:jc w:val="both"/>
        <w:rPr>
          <w:rFonts w:asciiTheme="minorBidi" w:hAnsiTheme="minorBidi"/>
          <w:sz w:val="24"/>
          <w:szCs w:val="24"/>
        </w:rPr>
      </w:pPr>
      <w:r w:rsidRPr="00F12023">
        <w:rPr>
          <w:rFonts w:asciiTheme="minorBidi" w:eastAsiaTheme="majorEastAsia" w:hAnsiTheme="minorBidi"/>
          <w:bCs/>
          <w:color w:val="000000" w:themeColor="text1"/>
          <w:sz w:val="24"/>
          <w:szCs w:val="24"/>
        </w:rPr>
        <w:t xml:space="preserve">On the other hand, </w:t>
      </w:r>
      <w:r w:rsidR="00396A7E" w:rsidRPr="00F12023">
        <w:rPr>
          <w:rFonts w:asciiTheme="minorBidi" w:hAnsiTheme="minorBidi"/>
          <w:sz w:val="24"/>
          <w:szCs w:val="24"/>
        </w:rPr>
        <w:t>Hilton also demonstrated notable performance in terms of total revenue in 2022. The company reported generating approximately $8.77 billion, a substantial increase from the previous year's total of $5.79 billion. This growth can be attributed to the recovery in global travel and hospitality and Hilton's market presence and brand strength (Singh et al., 2023).Hilton's global footprint includes 7,165 properties and over 1.1 million rooms, positioning the company as a leading player in the industry (Mekhruza et al., 2022).</w:t>
      </w:r>
    </w:p>
    <w:p w14:paraId="0963768E"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In Europe, the Middle East, and Africa, Hilton expanded its presence by opening more than one hotel per week. Introducing two new brands, Motto by Hilton and Embassy Suites by Hilton, contributed to the company's growth and diversification. The Asia Pacific region also witnessed significant developments, surpassing 600 hotels with Hilton Garden Inn Kyoto Shijo Karasuma's opening, marking the brand's debut in Japan. Hilton's commitment to luxury offerings in the region was evident through the announcement of over 10 luxury signings, including Waldorf Astoria properties in Sydney, Kuala Lumpur, and Hanoi (Abardeh, 2022).</w:t>
      </w:r>
    </w:p>
    <w:p w14:paraId="47C7CD39" w14:textId="77777777" w:rsidR="00C752F5" w:rsidRPr="00F12023" w:rsidRDefault="00C752F5" w:rsidP="00F12023">
      <w:pPr>
        <w:spacing w:after="0" w:line="360" w:lineRule="auto"/>
        <w:jc w:val="both"/>
        <w:rPr>
          <w:rFonts w:asciiTheme="minorBidi" w:hAnsiTheme="minorBidi"/>
          <w:sz w:val="24"/>
          <w:szCs w:val="24"/>
        </w:rPr>
      </w:pPr>
    </w:p>
    <w:p w14:paraId="5718E0EB" w14:textId="77777777" w:rsidR="00C752F5" w:rsidRPr="00F12023" w:rsidRDefault="00396A7E" w:rsidP="00F12023">
      <w:pPr>
        <w:pStyle w:val="Heading2"/>
        <w:spacing w:before="0" w:line="360" w:lineRule="auto"/>
        <w:rPr>
          <w:rFonts w:asciiTheme="minorBidi" w:hAnsiTheme="minorBidi" w:cstheme="minorBidi"/>
          <w:szCs w:val="24"/>
        </w:rPr>
      </w:pPr>
      <w:bookmarkStart w:id="2" w:name="_Toc135434130"/>
      <w:r w:rsidRPr="00F12023">
        <w:rPr>
          <w:rFonts w:asciiTheme="minorBidi" w:hAnsiTheme="minorBidi" w:cstheme="minorBidi"/>
          <w:szCs w:val="24"/>
        </w:rPr>
        <w:t>Market position</w:t>
      </w:r>
      <w:bookmarkEnd w:id="2"/>
    </w:p>
    <w:p w14:paraId="70796FB5"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Marriott International has established a strong market position over the years. Marriott International boasts an extensive global footprint with nearly 8,300 properties and approximately 1.5 million rooms in 138 countries and territories (Jiang, 2023). The company's diverse portfolio of brands, including Marriott, The Ritz-Carlton, Sheraton, and Westin, caters to a wide range of customers, from budget-conscious travellers to luxury seekers.</w:t>
      </w:r>
    </w:p>
    <w:p w14:paraId="7DBF78DF"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 xml:space="preserve">Regarding market strategies, Marriott International focuses on organic growth and strategic partnerships. The company achieved net room growth of 3.1% year over year, with a significant portion attributed to conversions of existing properties (Correia, 2022). Marriott's strong development pipeline, with over 3,000 properties, reflects its </w:t>
      </w:r>
      <w:r w:rsidRPr="00F12023">
        <w:rPr>
          <w:rFonts w:asciiTheme="minorBidi" w:hAnsiTheme="minorBidi"/>
          <w:sz w:val="24"/>
          <w:szCs w:val="24"/>
        </w:rPr>
        <w:lastRenderedPageBreak/>
        <w:t>ability to attract owners and franchisees globally (ZXhang et al., 2023). Furthermore, the company expands its offerings through strategic acquisitions, as seen in the planned acquisition of the City Express brand portfolio and the introduction of new brands like Apartments by Marriott Bonvoy.</w:t>
      </w:r>
    </w:p>
    <w:p w14:paraId="358D089C"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Hilton, with over 5,895 properties and approximately 845,518 rooms in the Americas, demonstrates a robust market presence in the region. The company's diverse brand portfolio, including Hilton, Conrad, Waldorf Astoria, and Embassy Suites, allows it to cater to various customer segments and market demands. Hilton has surpassed 200 hotels in the Caribbean and Latin America region, indicating its commitment to expanding its footprint in key destinations (Banyeva et al., 2023).</w:t>
      </w:r>
    </w:p>
    <w:p w14:paraId="7E901D6A"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In Europe, the Middle East, and Africa, Hilton operates 643 properties with around 137,880 rooms. The company's focus on organic growth is evident through its consistent opening of new hotels, including the milestone achievement of 500 hotels in Europe. Hilton has also introduced new brands like Motto by Hilton and Embassy Suites by Hilton, expanding its offerings and capturing diverse market segments (Rocha, 2022).</w:t>
      </w:r>
    </w:p>
    <w:p w14:paraId="79C5560D"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The 627 properties mark Hilt</w:t>
      </w:r>
      <w:r w:rsidR="000D1E95" w:rsidRPr="00F12023">
        <w:rPr>
          <w:rFonts w:asciiTheme="minorBidi" w:hAnsiTheme="minorBidi"/>
          <w:sz w:val="24"/>
          <w:szCs w:val="24"/>
        </w:rPr>
        <w:t>on's presence in Asia, with app</w:t>
      </w:r>
      <w:r w:rsidRPr="00F12023">
        <w:rPr>
          <w:rFonts w:asciiTheme="minorBidi" w:hAnsiTheme="minorBidi"/>
          <w:sz w:val="24"/>
          <w:szCs w:val="24"/>
        </w:rPr>
        <w:t xml:space="preserve">roximately 144,032 rooms. The company's expansion in this region includes significant developments such as the debut of Hilton Garden Inn Kyoto Shijo Karasuma in Japan and the announcement of luxury signings, including Waldorf Astoria properties in Sydney, Kuala Lumpur, and Hanoi. </w:t>
      </w:r>
      <w:r w:rsidR="000D1E95" w:rsidRPr="00F12023">
        <w:rPr>
          <w:rFonts w:asciiTheme="minorBidi" w:hAnsiTheme="minorBidi"/>
          <w:sz w:val="24"/>
          <w:szCs w:val="24"/>
        </w:rPr>
        <w:t>These programmes demonstrate Hilton's dedication to meeting the region's expanding need for top-notch hospitality experiences (Cardoso, 2022). Marriott International and Hilton have achieved significant market share through their extensive brand portfolios and global reach. Marriott International has a wider worldwide footprint than Hilton because of its substantial presence in 138 countries and territories. But Hilton's substantial presence in important areas, including the Americas, Europe, the Middle East, Africa, and Asia Pacific, proves its dedication to deliberate development and market penetration.</w:t>
      </w:r>
    </w:p>
    <w:p w14:paraId="22833C51"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 xml:space="preserve">With a 100% RevPAR recovery and exceptional financial results, Marriott International's remarkable recovery from the pandemic has enhanced its market position. The company's emphasis on conversions and a solid pipeline of new projects </w:t>
      </w:r>
      <w:r w:rsidRPr="00F12023">
        <w:rPr>
          <w:rFonts w:asciiTheme="minorBidi" w:hAnsiTheme="minorBidi"/>
          <w:sz w:val="24"/>
          <w:szCs w:val="24"/>
        </w:rPr>
        <w:lastRenderedPageBreak/>
        <w:t>demonstrate its capacity to adjust to shifting market conditions and draw in a variety of property owners and franchisees. Hilton has a prominent market position because of its strategic expansion strategies and brand diversity</w:t>
      </w:r>
      <w:r w:rsidR="00FF6352" w:rsidRPr="00F12023">
        <w:rPr>
          <w:rFonts w:asciiTheme="minorBidi" w:hAnsiTheme="minorBidi"/>
          <w:sz w:val="24"/>
          <w:szCs w:val="24"/>
        </w:rPr>
        <w:t>.</w:t>
      </w:r>
    </w:p>
    <w:p w14:paraId="1FADB230" w14:textId="77777777" w:rsidR="00C752F5" w:rsidRPr="00F12023" w:rsidRDefault="00C752F5" w:rsidP="00F12023">
      <w:pPr>
        <w:spacing w:after="0" w:line="360" w:lineRule="auto"/>
        <w:jc w:val="both"/>
        <w:rPr>
          <w:rFonts w:asciiTheme="minorBidi" w:hAnsiTheme="minorBidi"/>
          <w:sz w:val="24"/>
          <w:szCs w:val="24"/>
        </w:rPr>
      </w:pPr>
    </w:p>
    <w:p w14:paraId="6599AF35" w14:textId="77777777" w:rsidR="00C752F5" w:rsidRPr="00F12023" w:rsidRDefault="00396A7E" w:rsidP="00F12023">
      <w:pPr>
        <w:pStyle w:val="Heading2"/>
        <w:spacing w:before="0" w:line="360" w:lineRule="auto"/>
        <w:rPr>
          <w:rFonts w:asciiTheme="minorBidi" w:hAnsiTheme="minorBidi" w:cstheme="minorBidi"/>
          <w:szCs w:val="24"/>
        </w:rPr>
      </w:pPr>
      <w:bookmarkStart w:id="3" w:name="_Toc135434131"/>
      <w:r w:rsidRPr="00F12023">
        <w:rPr>
          <w:rFonts w:asciiTheme="minorBidi" w:hAnsiTheme="minorBidi" w:cstheme="minorBidi"/>
          <w:szCs w:val="24"/>
        </w:rPr>
        <w:t>Growth potential</w:t>
      </w:r>
      <w:bookmarkEnd w:id="3"/>
    </w:p>
    <w:p w14:paraId="53E360F0"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Based on a variety of criteria, Marriott International exhibits great development potential. With approximately 8,300 locations and 1.5 million rooms spread throughout 138 countries and territories, the firm has a sizable worldwide presence that serves as a stable base for future growth. With over 3,000 properties and more than 496,000 hotel rooms, Marriott has a robust development pipeline that demonstrat</w:t>
      </w:r>
      <w:r w:rsidR="00E4101D" w:rsidRPr="00F12023">
        <w:rPr>
          <w:rFonts w:asciiTheme="minorBidi" w:hAnsiTheme="minorBidi"/>
          <w:sz w:val="24"/>
          <w:szCs w:val="24"/>
        </w:rPr>
        <w:t xml:space="preserve">es its commitment to expansion </w:t>
      </w:r>
      <w:r w:rsidR="00FF6352" w:rsidRPr="00F12023">
        <w:rPr>
          <w:rFonts w:asciiTheme="minorBidi" w:hAnsiTheme="minorBidi"/>
          <w:sz w:val="24"/>
          <w:szCs w:val="24"/>
        </w:rPr>
        <w:t>(Selin, 2022).</w:t>
      </w:r>
    </w:p>
    <w:p w14:paraId="550ACB7A"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 xml:space="preserve">Marriott's brand diversification strategy is one of the main factors influencing its development potential. The firm offers a range of brands, from budget-friendly to upscale, to respond to different client segments and market expectations. Marriott can increase market share and adjust to shifting consumer tastes because of its varied portfolio. Additionally, their intention to diversify their product offerings and target new consumer demographics is demonstrated by the planned acquisition of the City Express brand portfolio and the launch of new brands, including Apartments by Marriott Bonvoy </w:t>
      </w:r>
      <w:r w:rsidR="00FF6352" w:rsidRPr="00F12023">
        <w:rPr>
          <w:rFonts w:asciiTheme="minorBidi" w:hAnsiTheme="minorBidi"/>
          <w:sz w:val="24"/>
          <w:szCs w:val="24"/>
        </w:rPr>
        <w:t>(Barreto).</w:t>
      </w:r>
    </w:p>
    <w:p w14:paraId="1A2CDD91"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Strategic alliances are a priority for Marriott International, which increases its development potential. Collaborations with airlines, credit card companies, and travel agents offer chances to draw in new clients and reward repeat business. With over 177 million members, the Marriott Bonvoy programme is vital to increasing demand for hotels and other goods (Kim &amp; Han, 2022). These alliances and loyalty initiatives help businesses increase their income and retain customers</w:t>
      </w:r>
      <w:r w:rsidR="00FF6352" w:rsidRPr="00F12023">
        <w:rPr>
          <w:rFonts w:asciiTheme="minorBidi" w:hAnsiTheme="minorBidi"/>
          <w:sz w:val="24"/>
          <w:szCs w:val="24"/>
        </w:rPr>
        <w:t>.</w:t>
      </w:r>
    </w:p>
    <w:p w14:paraId="463CB9C6"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Marriott's financial performance reflects its growth potential. The significant increase in gross fee revenues, adjusted EBITDA, and adjusted diluted earnings per share in 2022 highlights the company's ability to generate strong financial returns (Neupane &amp; Khanal, 2022). These financial resources can be reinvested in future expansion initiatives, including property development, brand enhancement, and technological innovation (Pashayev, 2022).</w:t>
      </w:r>
    </w:p>
    <w:p w14:paraId="22AFC051"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lastRenderedPageBreak/>
        <w:t>Hilton also possesses considerable growth potential based on its market strategies and performance. With over 5,895 properties and 845,518 rooms in the Americas, Hilton has a strong market presence in the region (Cardoso, 2022). The company's focus on expanding its luxury portfolio in marquee destinations, as evidenced by the opening of Conrad Hotels &amp; Resorts and Waldorf Astoria properties, positions it well to capture high-end market segments.</w:t>
      </w:r>
    </w:p>
    <w:p w14:paraId="4B719FAB"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In Europe, the Middle East, and Africa, Hilton's consistent hotel openings and the introduction of new brands like Motto by Hilton and Embassy Suites contribute to its growth potential. By adapting to regional market preferences and leveraging its brand equity, Hilton can capitalise on opportunities in diverse markets (Langer, 2022).</w:t>
      </w:r>
    </w:p>
    <w:p w14:paraId="61073E75"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The Asia Pacific region represents a significant growth opportunity for Hilton. Surpassing 600 hotels in the region, Hilton's expansion in Asia Pacific, including introducing new brands and luxury signings, demonstrates its commitment to tapping into the growing demand for quality hospitality experiences in this dynamic market (Cardoso, 2022)</w:t>
      </w:r>
      <w:r w:rsidR="00B6361A" w:rsidRPr="00F12023">
        <w:rPr>
          <w:rFonts w:asciiTheme="minorBidi" w:hAnsiTheme="minorBidi"/>
          <w:sz w:val="24"/>
          <w:szCs w:val="24"/>
        </w:rPr>
        <w:t xml:space="preserve">. </w:t>
      </w:r>
      <w:r w:rsidRPr="00F12023">
        <w:rPr>
          <w:rFonts w:asciiTheme="minorBidi" w:hAnsiTheme="minorBidi"/>
          <w:sz w:val="24"/>
          <w:szCs w:val="24"/>
        </w:rPr>
        <w:t>Hilton's financial performance also indicates its growth potential. With generated revenue of approximately 8.77 billion U.S. dollars in 2022, Hilton has experienced steady financial growth (Dai &amp; Han, 2022). This financial stability allows Hilton to invest in expansion initiatives and maintain a strong market presence.</w:t>
      </w:r>
    </w:p>
    <w:p w14:paraId="6DF3F873"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Marriott International and Hilton possess strong growth potential but differ in their strategic approaches. Marriott International's extensive global presence, robust development pipeline, and brand diversification give it an advantage in scale and market reach. The planned acquisitions and introduction of new brands reflect their proactive approach to expanding their offerings and capturing new market segments.Comparatively, Hilton focuses on strategic market penetration, particularly in the Americas, Europe, the Middle East, and the Asia Pacific. Their emphasis on luxury offerings and consistent hotel openings positions them well to attract high-end travellers and tap into emerging markets.</w:t>
      </w:r>
    </w:p>
    <w:p w14:paraId="438F4DD6" w14:textId="77777777" w:rsidR="00C752F5" w:rsidRPr="00F12023" w:rsidRDefault="00C752F5" w:rsidP="00F12023">
      <w:pPr>
        <w:spacing w:after="0" w:line="360" w:lineRule="auto"/>
        <w:jc w:val="both"/>
        <w:rPr>
          <w:rFonts w:asciiTheme="minorBidi" w:hAnsiTheme="minorBidi"/>
          <w:sz w:val="24"/>
          <w:szCs w:val="24"/>
        </w:rPr>
      </w:pPr>
    </w:p>
    <w:p w14:paraId="6BA9E088" w14:textId="77777777" w:rsidR="00C752F5" w:rsidRPr="00F12023" w:rsidRDefault="00396A7E" w:rsidP="00F12023">
      <w:pPr>
        <w:pStyle w:val="Heading2"/>
        <w:spacing w:before="0" w:line="360" w:lineRule="auto"/>
        <w:rPr>
          <w:rFonts w:asciiTheme="minorBidi" w:hAnsiTheme="minorBidi" w:cstheme="minorBidi"/>
          <w:szCs w:val="24"/>
        </w:rPr>
      </w:pPr>
      <w:bookmarkStart w:id="4" w:name="_Toc135434132"/>
      <w:r w:rsidRPr="00F12023">
        <w:rPr>
          <w:rFonts w:asciiTheme="minorBidi" w:hAnsiTheme="minorBidi" w:cstheme="minorBidi"/>
          <w:szCs w:val="24"/>
        </w:rPr>
        <w:t>Financial Commitment to CSR</w:t>
      </w:r>
      <w:bookmarkEnd w:id="4"/>
      <w:r w:rsidRPr="00F12023">
        <w:rPr>
          <w:rFonts w:asciiTheme="minorBidi" w:hAnsiTheme="minorBidi" w:cstheme="minorBidi"/>
          <w:szCs w:val="24"/>
        </w:rPr>
        <w:tab/>
      </w:r>
    </w:p>
    <w:p w14:paraId="6F17C0C8"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 xml:space="preserve">Both Marriott International and Hilton have demonstrated financial commitments to corporate social responsibility (CSR) initiatives, highlighting their dedication to </w:t>
      </w:r>
      <w:r w:rsidRPr="00F12023">
        <w:rPr>
          <w:rFonts w:asciiTheme="minorBidi" w:hAnsiTheme="minorBidi"/>
          <w:sz w:val="24"/>
          <w:szCs w:val="24"/>
        </w:rPr>
        <w:lastRenderedPageBreak/>
        <w:t>positively impacting society and the environment. Let's compare and critically analyse their approach to CSR.</w:t>
      </w:r>
    </w:p>
    <w:p w14:paraId="7D4BB0C3"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Marriott International has made significant financial commitments to CSR through its Sustainability and Social Impact Platform, Serve 360. The company has set ambitious goals, including reducing greenhouse gas emissions, minimising water consumption, and implementing sustainable sourcing practices. In 2022, Marriott invested $50 million in Marriott's Bridging, the Gap program, which aims to increase diverse hotel ownership. This financial commitment provides incentives and support to historically underrepresented owners and franchisees. Additionally, Marriott allocated $100 million in response to the COVID-19 pandemic, supporting its employees and communities affected by the crisis (Liu, 2022).</w:t>
      </w:r>
    </w:p>
    <w:p w14:paraId="5BC92FA2"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 xml:space="preserve">Through its Travel with Purpose initiative, Hilton has also made substantial financial commitments to CSR. The company has set ambitious goals, such as reducing carbon emissions, water consumption, and waste by 2030. Hilton has invested in renewable energy projects, implemented sustainable food sourcing practices, and introduced programs to promote recycling and waste reduction. </w:t>
      </w:r>
      <w:r w:rsidR="00C83AC2" w:rsidRPr="00F12023">
        <w:rPr>
          <w:rFonts w:asciiTheme="minorBidi" w:hAnsiTheme="minorBidi"/>
          <w:sz w:val="24"/>
          <w:szCs w:val="24"/>
        </w:rPr>
        <w:t>Hilton established the Hilton Effect Foundation in response to the COVID-19 outbreak with an initial donation of $10 million to aid local communities and frontline workers</w:t>
      </w:r>
      <w:r w:rsidRPr="00F12023">
        <w:rPr>
          <w:rFonts w:asciiTheme="minorBidi" w:hAnsiTheme="minorBidi"/>
          <w:sz w:val="24"/>
          <w:szCs w:val="24"/>
        </w:rPr>
        <w:t xml:space="preserve"> (Fu, 2023).</w:t>
      </w:r>
    </w:p>
    <w:p w14:paraId="5035515D"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Both organisations have established charitable foundations to support their CSR efforts. Marriott International operates the Marriott International Foundation, focusing on education, environmental sustainability, and workforce development. Hilton operates the Hilton Effect Foundation, which supports initiatives in disaster relief, education, and community development.</w:t>
      </w:r>
      <w:r w:rsidR="00F12023" w:rsidRPr="00F12023">
        <w:rPr>
          <w:rFonts w:asciiTheme="minorBidi" w:hAnsiTheme="minorBidi"/>
          <w:sz w:val="24"/>
          <w:szCs w:val="24"/>
        </w:rPr>
        <w:t xml:space="preserve"> </w:t>
      </w:r>
      <w:r w:rsidRPr="00F12023">
        <w:rPr>
          <w:rFonts w:asciiTheme="minorBidi" w:hAnsiTheme="minorBidi"/>
          <w:sz w:val="24"/>
          <w:szCs w:val="24"/>
        </w:rPr>
        <w:t>Regarding specific CSR initiatives, Marriott International has been recognised for its efforts in human trafficking prevention, diversity and inclusion, and youth employment. The company's financial commitments to organisations such as ECPAT-USA and Youth Career Initiative demonstrate its dedication to addressing social issues and creating positive change.</w:t>
      </w:r>
    </w:p>
    <w:p w14:paraId="287F2BC3"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 xml:space="preserve">Hilton has also been recognised for its CSR initiatives, including its efforts in human rights, LGBTQ+ inclusion, and community engagement. The company's financial commitments to organisations such as the International Tourism Partnership and Global Soap Project showcase its commitment to social and environmental responsibility (Lee </w:t>
      </w:r>
      <w:r w:rsidRPr="00F12023">
        <w:rPr>
          <w:rFonts w:asciiTheme="minorBidi" w:hAnsiTheme="minorBidi"/>
          <w:sz w:val="24"/>
          <w:szCs w:val="24"/>
        </w:rPr>
        <w:lastRenderedPageBreak/>
        <w:t>&amp; Legendre, 2023).Both organisations have incorporated sustainability and responsible practices into their operations and supply chains. Marriott International has implemented initiatives such as the Green Hotels Global program and the Serve 360: Doing Good in Every Direction campaign. Hilton has launched initiatives like LightStay, a sustainability measurement platform committed to responsible seafood sourcing and waste reduction.</w:t>
      </w:r>
    </w:p>
    <w:p w14:paraId="31BE9C8D" w14:textId="77777777" w:rsidR="00C752F5"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Critically analysing their financial commitments to CSR, both Marriott International and Hilton have demonstrated a genuine commitment to sustainability, social impact, and community engagement. Their financial investments in CSR initiatives are commendable and align with the growing expectations of stakeholders and consumers. By setting clear goals, implementing sustainable practices, and supporting social causes, both organisations strive to make a positive difference in the world.</w:t>
      </w:r>
      <w:r w:rsidR="00F12023" w:rsidRPr="00F12023">
        <w:rPr>
          <w:rFonts w:asciiTheme="minorBidi" w:hAnsiTheme="minorBidi"/>
          <w:sz w:val="24"/>
          <w:szCs w:val="24"/>
        </w:rPr>
        <w:t xml:space="preserve"> </w:t>
      </w:r>
      <w:r w:rsidRPr="00F12023">
        <w:rPr>
          <w:rFonts w:asciiTheme="minorBidi" w:hAnsiTheme="minorBidi"/>
          <w:sz w:val="24"/>
          <w:szCs w:val="24"/>
        </w:rPr>
        <w:t xml:space="preserve">However, it is essential to note that the impact of their financial commitments can vary depending on the scale of operations and the effectiveness of their initiatives. </w:t>
      </w:r>
      <w:r w:rsidR="003F0166" w:rsidRPr="00F12023">
        <w:rPr>
          <w:rFonts w:asciiTheme="minorBidi" w:hAnsiTheme="minorBidi"/>
          <w:sz w:val="24"/>
          <w:szCs w:val="24"/>
        </w:rPr>
        <w:t>Both firms must constantly assess the results of their CSR initiatives, maintain accountability and transparency, and make appropriate modifications to enhance their beneficial effects</w:t>
      </w:r>
      <w:r w:rsidRPr="00F12023">
        <w:rPr>
          <w:rFonts w:asciiTheme="minorBidi" w:hAnsiTheme="minorBidi"/>
          <w:sz w:val="24"/>
          <w:szCs w:val="24"/>
        </w:rPr>
        <w:t>.</w:t>
      </w:r>
    </w:p>
    <w:p w14:paraId="78889659" w14:textId="77777777" w:rsidR="00C752F5" w:rsidRPr="00F12023" w:rsidRDefault="00C752F5" w:rsidP="00F12023">
      <w:pPr>
        <w:spacing w:after="0" w:line="360" w:lineRule="auto"/>
        <w:jc w:val="both"/>
        <w:rPr>
          <w:rFonts w:asciiTheme="minorBidi" w:hAnsiTheme="minorBidi"/>
          <w:sz w:val="24"/>
          <w:szCs w:val="24"/>
        </w:rPr>
      </w:pPr>
    </w:p>
    <w:p w14:paraId="2AFCDF53" w14:textId="77777777" w:rsidR="00C752F5" w:rsidRPr="00F12023" w:rsidRDefault="00396A7E" w:rsidP="00F12023">
      <w:pPr>
        <w:pStyle w:val="Heading1"/>
        <w:spacing w:before="0" w:line="360" w:lineRule="auto"/>
        <w:rPr>
          <w:rFonts w:asciiTheme="minorBidi" w:hAnsiTheme="minorBidi" w:cstheme="minorBidi"/>
          <w:szCs w:val="24"/>
        </w:rPr>
      </w:pPr>
      <w:bookmarkStart w:id="5" w:name="_Toc135434133"/>
      <w:r w:rsidRPr="00F12023">
        <w:rPr>
          <w:rFonts w:asciiTheme="minorBidi" w:hAnsiTheme="minorBidi" w:cstheme="minorBidi"/>
          <w:szCs w:val="24"/>
        </w:rPr>
        <w:t>Conclusion</w:t>
      </w:r>
      <w:bookmarkEnd w:id="5"/>
    </w:p>
    <w:p w14:paraId="42104AE5" w14:textId="77777777" w:rsidR="00345CE2" w:rsidRPr="00F12023" w:rsidRDefault="00396A7E" w:rsidP="00F12023">
      <w:pPr>
        <w:spacing w:after="0" w:line="360" w:lineRule="auto"/>
        <w:ind w:firstLine="720"/>
        <w:jc w:val="both"/>
        <w:rPr>
          <w:rFonts w:asciiTheme="minorBidi" w:hAnsiTheme="minorBidi"/>
          <w:sz w:val="24"/>
          <w:szCs w:val="24"/>
        </w:rPr>
      </w:pPr>
      <w:r w:rsidRPr="00F12023">
        <w:rPr>
          <w:rFonts w:asciiTheme="minorBidi" w:hAnsiTheme="minorBidi"/>
          <w:sz w:val="24"/>
          <w:szCs w:val="24"/>
        </w:rPr>
        <w:t>In conclusion, Marriott International and Hilton are committed to corporate social responsibility (CSR), market presence, and good financial success. After overcoming the pandemic's obstacles, both organisations have significantly grown their sales and portfolios. Nevertheless, transparency, authenticity, and scalability issues with CSR projects have been noted. By focusing on these areas, Marriott International and Hilton may improve their financial performance, market position, and beneficial societal influence. For the hotel business to be sustainable and competitive over the long term, continued attention must be paid to financial management and CSR</w:t>
      </w:r>
      <w:r w:rsidR="004364C5" w:rsidRPr="00F12023">
        <w:rPr>
          <w:rFonts w:asciiTheme="minorBidi" w:hAnsiTheme="minorBidi"/>
          <w:sz w:val="24"/>
          <w:szCs w:val="24"/>
        </w:rPr>
        <w:t>.</w:t>
      </w:r>
    </w:p>
    <w:p w14:paraId="06160192" w14:textId="77777777" w:rsidR="004F1E38" w:rsidRPr="00F12023" w:rsidRDefault="00396A7E" w:rsidP="00F12023">
      <w:pPr>
        <w:spacing w:after="0" w:line="360" w:lineRule="auto"/>
        <w:rPr>
          <w:rFonts w:asciiTheme="minorBidi" w:eastAsiaTheme="majorEastAsia" w:hAnsiTheme="minorBidi"/>
          <w:b/>
          <w:bCs/>
          <w:i/>
          <w:color w:val="000000" w:themeColor="text1"/>
          <w:sz w:val="24"/>
          <w:szCs w:val="24"/>
        </w:rPr>
      </w:pPr>
      <w:r w:rsidRPr="00F12023">
        <w:rPr>
          <w:rFonts w:asciiTheme="minorBidi" w:hAnsiTheme="minorBidi"/>
          <w:szCs w:val="24"/>
        </w:rPr>
        <w:br w:type="page"/>
      </w:r>
    </w:p>
    <w:p w14:paraId="1546F15E" w14:textId="77777777" w:rsidR="003723B5" w:rsidRPr="00F12023" w:rsidRDefault="00396A7E" w:rsidP="00F12023">
      <w:pPr>
        <w:pStyle w:val="Heading1"/>
        <w:spacing w:before="0" w:line="360" w:lineRule="auto"/>
        <w:rPr>
          <w:rFonts w:asciiTheme="minorBidi" w:hAnsiTheme="minorBidi" w:cstheme="minorBidi"/>
          <w:szCs w:val="24"/>
        </w:rPr>
      </w:pPr>
      <w:bookmarkStart w:id="6" w:name="_Toc135434134"/>
      <w:r w:rsidRPr="00F12023">
        <w:rPr>
          <w:rFonts w:asciiTheme="minorBidi" w:hAnsiTheme="minorBidi" w:cstheme="minorBidi"/>
          <w:szCs w:val="24"/>
        </w:rPr>
        <w:lastRenderedPageBreak/>
        <w:t>References</w:t>
      </w:r>
      <w:bookmarkEnd w:id="6"/>
    </w:p>
    <w:p w14:paraId="5DA666E2"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Abardeh, H. C. (2022). Finding a Path to Success for the Hilton Atlanta Downtown Hotel. In SAGE Business Cases. SAGE Publications: SAGE Business Cases Originals.</w:t>
      </w:r>
    </w:p>
    <w:p w14:paraId="53C5CDBB"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Banyeva, I., Lebedieva, N., Nehrey, M., Velychko, O., Petrova, O., &amp; Peresichna, S. (2023). Digital Tools of Marketing Strategies in Hotel Branding. Journal of Information Technology Management, 15(1), 62-88.</w:t>
      </w:r>
    </w:p>
    <w:p w14:paraId="667272C5"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Barreto, N., &amp; Mayya, S. SWOC Analysis of Marriott International-A Case Study.</w:t>
      </w:r>
    </w:p>
    <w:p w14:paraId="4FA9E8BA"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Cardoso, L. E. (2022). Hilton worldwide holdings in the travel &amp; tourism industry (Doctoral dissertation).</w:t>
      </w:r>
    </w:p>
    <w:p w14:paraId="4451F665"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Cardoso, L. E. (2022). Hilton worldwide holdings in the travel &amp; tourism industry (Doctoral dissertation).</w:t>
      </w:r>
    </w:p>
    <w:p w14:paraId="17665DD4"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 xml:space="preserve">Correia, H. F. P. R. N. (2022). Marriott international </w:t>
      </w:r>
      <w:r w:rsidR="00A32441" w:rsidRPr="00F12023">
        <w:rPr>
          <w:rFonts w:asciiTheme="minorBidi" w:hAnsiTheme="minorBidi"/>
          <w:sz w:val="24"/>
          <w:szCs w:val="24"/>
        </w:rPr>
        <w:t>Inc</w:t>
      </w:r>
      <w:r w:rsidRPr="00F12023">
        <w:rPr>
          <w:rFonts w:asciiTheme="minorBidi" w:hAnsiTheme="minorBidi"/>
          <w:sz w:val="24"/>
          <w:szCs w:val="24"/>
        </w:rPr>
        <w:t>. equity research-consolidating a leading position amid recovery (Doctoral dissertation).</w:t>
      </w:r>
    </w:p>
    <w:p w14:paraId="4D2A5F63"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Dai, J., &amp; Han, X. (2022, December). Prediction of Hilton’s Future Cashflows. In 2022 2nd International Conference on Economic Development and Business Culture (ICEDBC 2022) (pp. 601-607). Atlantis Press.</w:t>
      </w:r>
    </w:p>
    <w:p w14:paraId="6D9A3CD8"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 xml:space="preserve">Demirçiftçi, T. (2022). How </w:t>
      </w:r>
      <w:r w:rsidR="00A32441" w:rsidRPr="00F12023">
        <w:rPr>
          <w:rFonts w:asciiTheme="minorBidi" w:hAnsiTheme="minorBidi"/>
          <w:sz w:val="24"/>
          <w:szCs w:val="24"/>
        </w:rPr>
        <w:t>to</w:t>
      </w:r>
      <w:r w:rsidRPr="00F12023">
        <w:rPr>
          <w:rFonts w:asciiTheme="minorBidi" w:hAnsiTheme="minorBidi"/>
          <w:sz w:val="24"/>
          <w:szCs w:val="24"/>
        </w:rPr>
        <w:t xml:space="preserve"> Be a Successful Revenue Manager: A Case from the Marriott Turkey Cluster. Journal of Tourismology, 8(1).</w:t>
      </w:r>
    </w:p>
    <w:p w14:paraId="511D092D"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Ertuna, B., Gu, H., &amp; Yu, L. (2022). “A thread connects all beads”: Aligning global CSR strategy by hotel MNCs. Tourism Management, 91, 104520.</w:t>
      </w:r>
    </w:p>
    <w:p w14:paraId="61F5F3F7"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Fu, L. (2023). COVID-19 Impacts on and Responses of the Hotel Industry. Journal of Education, Humanities and Social Sciences, 7, 320-323.</w:t>
      </w:r>
    </w:p>
    <w:p w14:paraId="339D24CC"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Hao, F., Xiao, Q., &amp; Chon, K. (2020). COVID-19 and China’s hotel industry: Impacts, a disaster management framework, and post-pandemic agenda. International journal of hospitality management, 90, 102636.</w:t>
      </w:r>
    </w:p>
    <w:p w14:paraId="2E996653"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Jiang, B. (2023). Analysis of Marriott's Financial Position under the Epidemic. Highlights in Business, Economics and Management, 10, 122-126.</w:t>
      </w:r>
    </w:p>
    <w:p w14:paraId="4DF74B2E"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Kim, J. J., &amp; Han, H. (2022). Saving the hotel industry: Strategic response to the COVID-19 pandemic, hotel selection analysis, and customer retention. International Journal of Hospitality Management, 102, 103163.</w:t>
      </w:r>
    </w:p>
    <w:p w14:paraId="230BF310"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lastRenderedPageBreak/>
        <w:t>Langer, A. (2022). The Hotel on the Hill: Hilton Hotel’s Unofficial Embassy in Rome. Diplomatic History, 46(2), 375-396.</w:t>
      </w:r>
    </w:p>
    <w:p w14:paraId="1C786E01"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Lee, R. H., &amp; Legendre, T. S. (2023). Learning from Hilton Worldwide–Successful Corporate Social Responsibility Strategies. In Teaching Cases in Tourism, Hospitality and Events (pp. 191-200). G.B.: CABI.</w:t>
      </w:r>
    </w:p>
    <w:p w14:paraId="5320D0E3"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Liu, J. (2022, December). Assessment of the Financial Effect of COVID-19 in Hospitality Industry and Companies’ Response. In 2022 2nd International Conference on Economic Development and Business Culture (ICEDBC 2022) (pp. 29-36). Atlantis Press.</w:t>
      </w:r>
    </w:p>
    <w:p w14:paraId="2CFA7AF8"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 xml:space="preserve">Mekhruza, V., Malokhat, S., Rustam, T., &amp; Bakhora, R. (2022). </w:t>
      </w:r>
      <w:r w:rsidR="00CF4844" w:rsidRPr="00F12023">
        <w:rPr>
          <w:rFonts w:asciiTheme="minorBidi" w:hAnsiTheme="minorBidi"/>
          <w:sz w:val="24"/>
          <w:szCs w:val="24"/>
        </w:rPr>
        <w:t>Performance of Hilton: How Hilton Tackles the Epidemic Covid-19 Disease</w:t>
      </w:r>
      <w:r w:rsidRPr="00F12023">
        <w:rPr>
          <w:rFonts w:asciiTheme="minorBidi" w:hAnsiTheme="minorBidi"/>
          <w:sz w:val="24"/>
          <w:szCs w:val="24"/>
        </w:rPr>
        <w:t>. Thematics Journal of Business Management, 5(2).</w:t>
      </w:r>
    </w:p>
    <w:p w14:paraId="204C4227"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Nair Ph D, G. K. (2019). The hotel industry's dynamics of learning orientation, innovativeness, and financial performance. Journal of Hospitality Financial Management, 27(1), 4.</w:t>
      </w:r>
    </w:p>
    <w:p w14:paraId="2892A5A4"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 xml:space="preserve">Neupane, R., &amp; Khanal, T. R. (2022). </w:t>
      </w:r>
      <w:r w:rsidR="00D246F6" w:rsidRPr="00F12023">
        <w:rPr>
          <w:rFonts w:asciiTheme="minorBidi" w:hAnsiTheme="minorBidi"/>
          <w:sz w:val="24"/>
          <w:szCs w:val="24"/>
        </w:rPr>
        <w:t xml:space="preserve">Evaluation </w:t>
      </w:r>
      <w:r w:rsidR="00F456D1" w:rsidRPr="00F12023">
        <w:rPr>
          <w:rFonts w:asciiTheme="minorBidi" w:hAnsiTheme="minorBidi"/>
          <w:sz w:val="24"/>
          <w:szCs w:val="24"/>
        </w:rPr>
        <w:t>of</w:t>
      </w:r>
      <w:r w:rsidR="00D246F6" w:rsidRPr="00F12023">
        <w:rPr>
          <w:rFonts w:asciiTheme="minorBidi" w:hAnsiTheme="minorBidi"/>
          <w:sz w:val="24"/>
          <w:szCs w:val="24"/>
        </w:rPr>
        <w:t xml:space="preserve"> The Impacts </w:t>
      </w:r>
      <w:r w:rsidR="00F456D1" w:rsidRPr="00F12023">
        <w:rPr>
          <w:rFonts w:asciiTheme="minorBidi" w:hAnsiTheme="minorBidi"/>
          <w:sz w:val="24"/>
          <w:szCs w:val="24"/>
        </w:rPr>
        <w:t>of</w:t>
      </w:r>
      <w:r w:rsidR="00D246F6" w:rsidRPr="00F12023">
        <w:rPr>
          <w:rFonts w:asciiTheme="minorBidi" w:hAnsiTheme="minorBidi"/>
          <w:sz w:val="24"/>
          <w:szCs w:val="24"/>
        </w:rPr>
        <w:t xml:space="preserve"> Training On Employee Performance </w:t>
      </w:r>
      <w:r w:rsidR="00F456D1" w:rsidRPr="00F12023">
        <w:rPr>
          <w:rFonts w:asciiTheme="minorBidi" w:hAnsiTheme="minorBidi"/>
          <w:sz w:val="24"/>
          <w:szCs w:val="24"/>
        </w:rPr>
        <w:t>in</w:t>
      </w:r>
      <w:r w:rsidR="00D246F6" w:rsidRPr="00F12023">
        <w:rPr>
          <w:rFonts w:asciiTheme="minorBidi" w:hAnsiTheme="minorBidi"/>
          <w:sz w:val="24"/>
          <w:szCs w:val="24"/>
        </w:rPr>
        <w:t xml:space="preserve"> The </w:t>
      </w:r>
      <w:r w:rsidR="00F456D1" w:rsidRPr="00F12023">
        <w:rPr>
          <w:rFonts w:asciiTheme="minorBidi" w:hAnsiTheme="minorBidi"/>
          <w:sz w:val="24"/>
          <w:szCs w:val="24"/>
        </w:rPr>
        <w:t xml:space="preserve">U.K. </w:t>
      </w:r>
      <w:r w:rsidR="00D246F6" w:rsidRPr="00F12023">
        <w:rPr>
          <w:rFonts w:asciiTheme="minorBidi" w:hAnsiTheme="minorBidi"/>
          <w:sz w:val="24"/>
          <w:szCs w:val="24"/>
        </w:rPr>
        <w:t xml:space="preserve">Hotel Industry: An Analysis </w:t>
      </w:r>
      <w:r w:rsidR="00F456D1" w:rsidRPr="00F12023">
        <w:rPr>
          <w:rFonts w:asciiTheme="minorBidi" w:hAnsiTheme="minorBidi"/>
          <w:sz w:val="24"/>
          <w:szCs w:val="24"/>
        </w:rPr>
        <w:t>of</w:t>
      </w:r>
      <w:r w:rsidR="00D246F6" w:rsidRPr="00F12023">
        <w:rPr>
          <w:rFonts w:asciiTheme="minorBidi" w:hAnsiTheme="minorBidi"/>
          <w:sz w:val="24"/>
          <w:szCs w:val="24"/>
        </w:rPr>
        <w:t xml:space="preserve"> Employees’perspectives </w:t>
      </w:r>
      <w:r w:rsidR="00A92BDE" w:rsidRPr="00F12023">
        <w:rPr>
          <w:rFonts w:asciiTheme="minorBidi" w:hAnsiTheme="minorBidi"/>
          <w:sz w:val="24"/>
          <w:szCs w:val="24"/>
        </w:rPr>
        <w:t>at</w:t>
      </w:r>
      <w:r w:rsidR="00D246F6" w:rsidRPr="00F12023">
        <w:rPr>
          <w:rFonts w:asciiTheme="minorBidi" w:hAnsiTheme="minorBidi"/>
          <w:sz w:val="24"/>
          <w:szCs w:val="24"/>
        </w:rPr>
        <w:t xml:space="preserve"> Marriott International</w:t>
      </w:r>
      <w:r w:rsidRPr="00F12023">
        <w:rPr>
          <w:rFonts w:asciiTheme="minorBidi" w:hAnsiTheme="minorBidi"/>
          <w:sz w:val="24"/>
          <w:szCs w:val="24"/>
        </w:rPr>
        <w:t>.</w:t>
      </w:r>
    </w:p>
    <w:p w14:paraId="1CE94565"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 xml:space="preserve">Neves, D. D. (2022). Marriott international </w:t>
      </w:r>
      <w:r w:rsidR="00F456D1" w:rsidRPr="00F12023">
        <w:rPr>
          <w:rFonts w:asciiTheme="minorBidi" w:hAnsiTheme="minorBidi"/>
          <w:sz w:val="24"/>
          <w:szCs w:val="24"/>
        </w:rPr>
        <w:t xml:space="preserve">Inc. </w:t>
      </w:r>
      <w:r w:rsidRPr="00F12023">
        <w:rPr>
          <w:rFonts w:asciiTheme="minorBidi" w:hAnsiTheme="minorBidi"/>
          <w:sz w:val="24"/>
          <w:szCs w:val="24"/>
        </w:rPr>
        <w:t>equity research-the hotel Giant's recovery (Doctoral dissertation).</w:t>
      </w:r>
    </w:p>
    <w:p w14:paraId="3C17EBBD"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 xml:space="preserve">Pashayev, A. (2022). </w:t>
      </w:r>
      <w:r w:rsidR="005229AF" w:rsidRPr="00F12023">
        <w:rPr>
          <w:rFonts w:asciiTheme="minorBidi" w:hAnsiTheme="minorBidi"/>
          <w:sz w:val="24"/>
          <w:szCs w:val="24"/>
        </w:rPr>
        <w:t>S</w:t>
      </w:r>
      <w:r w:rsidR="00DD3F43" w:rsidRPr="00F12023">
        <w:rPr>
          <w:rFonts w:asciiTheme="minorBidi" w:hAnsiTheme="minorBidi"/>
          <w:sz w:val="24"/>
          <w:szCs w:val="24"/>
        </w:rPr>
        <w:t xml:space="preserve">tudy of </w:t>
      </w:r>
      <w:r w:rsidR="00687AD4" w:rsidRPr="00F12023">
        <w:rPr>
          <w:rFonts w:asciiTheme="minorBidi" w:hAnsiTheme="minorBidi"/>
          <w:sz w:val="24"/>
          <w:szCs w:val="24"/>
        </w:rPr>
        <w:t xml:space="preserve">International Experience </w:t>
      </w:r>
      <w:r w:rsidR="00F456D1" w:rsidRPr="00F12023">
        <w:rPr>
          <w:rFonts w:asciiTheme="minorBidi" w:hAnsiTheme="minorBidi"/>
          <w:sz w:val="24"/>
          <w:szCs w:val="24"/>
        </w:rPr>
        <w:t>in</w:t>
      </w:r>
      <w:r w:rsidR="00687AD4" w:rsidRPr="00F12023">
        <w:rPr>
          <w:rFonts w:asciiTheme="minorBidi" w:hAnsiTheme="minorBidi"/>
          <w:sz w:val="24"/>
          <w:szCs w:val="24"/>
        </w:rPr>
        <w:t xml:space="preserve"> The Hospitality Industry </w:t>
      </w:r>
      <w:r w:rsidR="00F456D1" w:rsidRPr="00F12023">
        <w:rPr>
          <w:rFonts w:asciiTheme="minorBidi" w:hAnsiTheme="minorBidi"/>
          <w:sz w:val="24"/>
          <w:szCs w:val="24"/>
        </w:rPr>
        <w:t>in</w:t>
      </w:r>
      <w:r w:rsidR="00687AD4" w:rsidRPr="00F12023">
        <w:rPr>
          <w:rFonts w:asciiTheme="minorBidi" w:hAnsiTheme="minorBidi"/>
          <w:sz w:val="24"/>
          <w:szCs w:val="24"/>
        </w:rPr>
        <w:t xml:space="preserve"> Azerbaijan </w:t>
      </w:r>
      <w:r w:rsidR="00A92BDE" w:rsidRPr="00F12023">
        <w:rPr>
          <w:rFonts w:asciiTheme="minorBidi" w:hAnsiTheme="minorBidi"/>
          <w:sz w:val="24"/>
          <w:szCs w:val="24"/>
        </w:rPr>
        <w:t>and</w:t>
      </w:r>
      <w:r w:rsidR="00687AD4" w:rsidRPr="00F12023">
        <w:rPr>
          <w:rFonts w:asciiTheme="minorBidi" w:hAnsiTheme="minorBidi"/>
          <w:sz w:val="24"/>
          <w:szCs w:val="24"/>
        </w:rPr>
        <w:t xml:space="preserve"> Comparison </w:t>
      </w:r>
      <w:r w:rsidR="0004029B" w:rsidRPr="00F12023">
        <w:rPr>
          <w:rFonts w:asciiTheme="minorBidi" w:hAnsiTheme="minorBidi"/>
          <w:sz w:val="24"/>
          <w:szCs w:val="24"/>
        </w:rPr>
        <w:t>with</w:t>
      </w:r>
      <w:r w:rsidR="00687AD4" w:rsidRPr="00F12023">
        <w:rPr>
          <w:rFonts w:asciiTheme="minorBidi" w:hAnsiTheme="minorBidi"/>
          <w:sz w:val="24"/>
          <w:szCs w:val="24"/>
        </w:rPr>
        <w:t xml:space="preserve"> World Countries</w:t>
      </w:r>
      <w:r w:rsidRPr="00F12023">
        <w:rPr>
          <w:rFonts w:asciiTheme="minorBidi" w:hAnsiTheme="minorBidi"/>
          <w:sz w:val="24"/>
          <w:szCs w:val="24"/>
        </w:rPr>
        <w:t>. The Scientific Heritage, (97), 75-80.</w:t>
      </w:r>
    </w:p>
    <w:p w14:paraId="7CBB8667"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Poretti, C., Jérôme, T., &amp; Heo, C. Y. (2023). Business strategies and financial reporting complexity in hospitality firms. International Journal of Hospitality Management, 110, 103429.</w:t>
      </w:r>
    </w:p>
    <w:p w14:paraId="412007F7"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Rocha, R. A. (2022). Hilton equity research-the value under Hilton's strong brand portfolio (Doctoral dissertation).</w:t>
      </w:r>
    </w:p>
    <w:p w14:paraId="04DE73F6"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Selin, J. (2022). More than Just a Workplace: A Case Study of Diversity, Equity, and Inclusion in Marriott International Inc. Hotels.</w:t>
      </w:r>
    </w:p>
    <w:p w14:paraId="6513670D"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lastRenderedPageBreak/>
        <w:t>Singh, P., Gupta, A., &amp; Dwivedi, P. (2023, March). Financial and Management Accounting: The Analysis of Financial Models for comparison. In 2023 2nd International Conference for Innovation in Technology (INOCON) (pp. 1-6). IEEE.</w:t>
      </w:r>
    </w:p>
    <w:p w14:paraId="346550E3" w14:textId="77777777" w:rsidR="004364C5" w:rsidRPr="00F12023" w:rsidRDefault="00396A7E" w:rsidP="00F12023">
      <w:pPr>
        <w:spacing w:after="0" w:line="360" w:lineRule="auto"/>
        <w:ind w:left="720" w:hanging="720"/>
        <w:jc w:val="both"/>
        <w:rPr>
          <w:rFonts w:asciiTheme="minorBidi" w:hAnsiTheme="minorBidi"/>
          <w:sz w:val="24"/>
          <w:szCs w:val="24"/>
        </w:rPr>
      </w:pPr>
      <w:r w:rsidRPr="00F12023">
        <w:rPr>
          <w:rFonts w:asciiTheme="minorBidi" w:hAnsiTheme="minorBidi"/>
          <w:sz w:val="24"/>
          <w:szCs w:val="24"/>
        </w:rPr>
        <w:t>ZXhang, Y. X., Haxo, Y. M., &amp; Mat, Y. X. (2023). MAR Marriott International Class A Common Stock. A.C. Investment Research Journal, 220(44).</w:t>
      </w:r>
    </w:p>
    <w:sectPr w:rsidR="004364C5" w:rsidRPr="00F12023" w:rsidSect="00204A54">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2F4FF" w14:textId="77777777" w:rsidR="00D24B41" w:rsidRDefault="00D24B41" w:rsidP="002B1955">
      <w:pPr>
        <w:spacing w:after="0" w:line="240" w:lineRule="auto"/>
      </w:pPr>
      <w:r>
        <w:separator/>
      </w:r>
    </w:p>
  </w:endnote>
  <w:endnote w:type="continuationSeparator" w:id="0">
    <w:p w14:paraId="14079F29" w14:textId="77777777" w:rsidR="00D24B41" w:rsidRDefault="00D24B41" w:rsidP="002B1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90475" w14:textId="77777777" w:rsidR="00D24B41" w:rsidRDefault="00D24B41" w:rsidP="002B1955">
      <w:pPr>
        <w:spacing w:after="0" w:line="240" w:lineRule="auto"/>
      </w:pPr>
      <w:r>
        <w:separator/>
      </w:r>
    </w:p>
  </w:footnote>
  <w:footnote w:type="continuationSeparator" w:id="0">
    <w:p w14:paraId="71787815" w14:textId="77777777" w:rsidR="00D24B41" w:rsidRDefault="00D24B41" w:rsidP="002B19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BEEAD" w14:textId="4F5A4103" w:rsidR="00204A54" w:rsidRPr="00204A54" w:rsidRDefault="00000000">
    <w:pPr>
      <w:pStyle w:val="Header"/>
      <w:jc w:val="right"/>
      <w:rPr>
        <w:rFonts w:ascii="Times New Roman" w:hAnsi="Times New Roman" w:cs="Times New Roman"/>
        <w:sz w:val="24"/>
        <w:szCs w:val="24"/>
      </w:rPr>
    </w:pPr>
    <w:sdt>
      <w:sdtPr>
        <w:rPr>
          <w:rFonts w:ascii="Times New Roman" w:hAnsi="Times New Roman" w:cs="Times New Roman"/>
          <w:sz w:val="24"/>
          <w:szCs w:val="24"/>
        </w:rPr>
        <w:id w:val="735045400"/>
        <w:docPartObj>
          <w:docPartGallery w:val="Page Numbers (Top of Page)"/>
          <w:docPartUnique/>
        </w:docPartObj>
      </w:sdtPr>
      <w:sdtEndPr>
        <w:rPr>
          <w:noProof/>
        </w:rPr>
      </w:sdtEndPr>
      <w:sdtContent>
        <w:r w:rsidR="002B1955" w:rsidRPr="00204A54">
          <w:rPr>
            <w:rFonts w:ascii="Times New Roman" w:hAnsi="Times New Roman" w:cs="Times New Roman"/>
            <w:sz w:val="24"/>
            <w:szCs w:val="24"/>
          </w:rPr>
          <w:fldChar w:fldCharType="begin"/>
        </w:r>
        <w:r w:rsidR="00396A7E" w:rsidRPr="00204A54">
          <w:rPr>
            <w:rFonts w:ascii="Times New Roman" w:hAnsi="Times New Roman" w:cs="Times New Roman"/>
            <w:sz w:val="24"/>
            <w:szCs w:val="24"/>
          </w:rPr>
          <w:instrText xml:space="preserve"> PAGE   \* MERGEFORMAT </w:instrText>
        </w:r>
        <w:r w:rsidR="002B1955" w:rsidRPr="00204A54">
          <w:rPr>
            <w:rFonts w:ascii="Times New Roman" w:hAnsi="Times New Roman" w:cs="Times New Roman"/>
            <w:sz w:val="24"/>
            <w:szCs w:val="24"/>
          </w:rPr>
          <w:fldChar w:fldCharType="separate"/>
        </w:r>
        <w:r w:rsidR="00F12023">
          <w:rPr>
            <w:rFonts w:ascii="Times New Roman" w:hAnsi="Times New Roman" w:cs="Times New Roman"/>
            <w:noProof/>
            <w:sz w:val="24"/>
            <w:szCs w:val="24"/>
          </w:rPr>
          <w:t>12</w:t>
        </w:r>
        <w:r w:rsidR="002B1955" w:rsidRPr="00204A54">
          <w:rPr>
            <w:rFonts w:ascii="Times New Roman" w:hAnsi="Times New Roman" w:cs="Times New Roman"/>
            <w:noProof/>
            <w:sz w:val="24"/>
            <w:szCs w:val="24"/>
          </w:rPr>
          <w:fldChar w:fldCharType="end"/>
        </w:r>
      </w:sdtContent>
    </w:sdt>
  </w:p>
  <w:p w14:paraId="1D3048FA" w14:textId="77777777" w:rsidR="00204A54" w:rsidRDefault="00204A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srC0NDcytrQwNzM3tTBU0lEKTi0uzszPAykwrAUA4S7foywAAAA="/>
  </w:docVars>
  <w:rsids>
    <w:rsidRoot w:val="00BD7D4C"/>
    <w:rsid w:val="00001ED8"/>
    <w:rsid w:val="0004029B"/>
    <w:rsid w:val="00051C67"/>
    <w:rsid w:val="000D1E95"/>
    <w:rsid w:val="000E2347"/>
    <w:rsid w:val="000F04B7"/>
    <w:rsid w:val="00100C67"/>
    <w:rsid w:val="00117226"/>
    <w:rsid w:val="00174A97"/>
    <w:rsid w:val="001A2F0C"/>
    <w:rsid w:val="001B339F"/>
    <w:rsid w:val="00204A54"/>
    <w:rsid w:val="002B1955"/>
    <w:rsid w:val="0033082D"/>
    <w:rsid w:val="00332F24"/>
    <w:rsid w:val="00345CE2"/>
    <w:rsid w:val="003569DC"/>
    <w:rsid w:val="00366DC6"/>
    <w:rsid w:val="003723B5"/>
    <w:rsid w:val="00396A7E"/>
    <w:rsid w:val="003B4C5B"/>
    <w:rsid w:val="003D66F6"/>
    <w:rsid w:val="003E4073"/>
    <w:rsid w:val="003F0166"/>
    <w:rsid w:val="00435A67"/>
    <w:rsid w:val="004364C5"/>
    <w:rsid w:val="004B50F7"/>
    <w:rsid w:val="004F1E38"/>
    <w:rsid w:val="005229AF"/>
    <w:rsid w:val="0058581C"/>
    <w:rsid w:val="005D2591"/>
    <w:rsid w:val="005F0118"/>
    <w:rsid w:val="00662757"/>
    <w:rsid w:val="00687AD4"/>
    <w:rsid w:val="00693519"/>
    <w:rsid w:val="007D0575"/>
    <w:rsid w:val="007F2AF9"/>
    <w:rsid w:val="008637B4"/>
    <w:rsid w:val="009916A7"/>
    <w:rsid w:val="00A040E5"/>
    <w:rsid w:val="00A079CA"/>
    <w:rsid w:val="00A32441"/>
    <w:rsid w:val="00A80168"/>
    <w:rsid w:val="00A922F5"/>
    <w:rsid w:val="00A92BDE"/>
    <w:rsid w:val="00B6361A"/>
    <w:rsid w:val="00BB73C6"/>
    <w:rsid w:val="00BD7D4C"/>
    <w:rsid w:val="00BE0566"/>
    <w:rsid w:val="00BF0A89"/>
    <w:rsid w:val="00C013C6"/>
    <w:rsid w:val="00C212D9"/>
    <w:rsid w:val="00C752F5"/>
    <w:rsid w:val="00C83AC2"/>
    <w:rsid w:val="00CE4991"/>
    <w:rsid w:val="00CF4844"/>
    <w:rsid w:val="00CF4EE9"/>
    <w:rsid w:val="00D246F6"/>
    <w:rsid w:val="00D24B41"/>
    <w:rsid w:val="00DA3E22"/>
    <w:rsid w:val="00DC6A53"/>
    <w:rsid w:val="00DD3F43"/>
    <w:rsid w:val="00E375E1"/>
    <w:rsid w:val="00E4101D"/>
    <w:rsid w:val="00E94786"/>
    <w:rsid w:val="00EC233A"/>
    <w:rsid w:val="00F12023"/>
    <w:rsid w:val="00F456D1"/>
    <w:rsid w:val="00F5679F"/>
    <w:rsid w:val="00FB718F"/>
    <w:rsid w:val="00FF63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AA2E7"/>
  <w15:docId w15:val="{062F4550-9CCB-439D-911F-53EDB230F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955"/>
  </w:style>
  <w:style w:type="paragraph" w:styleId="Heading1">
    <w:name w:val="heading 1"/>
    <w:basedOn w:val="Normal"/>
    <w:next w:val="Normal"/>
    <w:link w:val="Heading1Char"/>
    <w:uiPriority w:val="9"/>
    <w:qFormat/>
    <w:rsid w:val="00345CE2"/>
    <w:pPr>
      <w:keepNext/>
      <w:keepLines/>
      <w:spacing w:before="480" w:after="0"/>
      <w:outlineLvl w:val="0"/>
    </w:pPr>
    <w:rPr>
      <w:rFonts w:ascii="Times New Roman" w:eastAsiaTheme="majorEastAsia" w:hAnsi="Times New Roman" w:cstheme="majorBidi"/>
      <w:b/>
      <w:bCs/>
      <w:i/>
      <w:color w:val="000000" w:themeColor="text1"/>
      <w:sz w:val="24"/>
      <w:szCs w:val="28"/>
    </w:rPr>
  </w:style>
  <w:style w:type="paragraph" w:styleId="Heading2">
    <w:name w:val="heading 2"/>
    <w:basedOn w:val="Normal"/>
    <w:next w:val="Normal"/>
    <w:link w:val="Heading2Char"/>
    <w:uiPriority w:val="9"/>
    <w:unhideWhenUsed/>
    <w:qFormat/>
    <w:rsid w:val="004B50F7"/>
    <w:pPr>
      <w:keepNext/>
      <w:keepLines/>
      <w:spacing w:before="200" w:after="0"/>
      <w:outlineLvl w:val="1"/>
    </w:pPr>
    <w:rPr>
      <w:rFonts w:ascii="Times New Roman" w:eastAsiaTheme="majorEastAsia" w:hAnsi="Times New Roman" w:cstheme="majorBidi"/>
      <w:bCs/>
      <w:i/>
      <w:color w:val="000000" w:themeColor="text1"/>
      <w:sz w:val="24"/>
      <w:szCs w:val="26"/>
    </w:rPr>
  </w:style>
  <w:style w:type="paragraph" w:styleId="Heading3">
    <w:name w:val="heading 3"/>
    <w:basedOn w:val="Normal"/>
    <w:next w:val="Normal"/>
    <w:link w:val="Heading3Char"/>
    <w:uiPriority w:val="9"/>
    <w:unhideWhenUsed/>
    <w:qFormat/>
    <w:rsid w:val="004B50F7"/>
    <w:pPr>
      <w:keepNext/>
      <w:keepLines/>
      <w:spacing w:before="200" w:after="0"/>
      <w:ind w:left="720"/>
      <w:outlineLvl w:val="2"/>
    </w:pPr>
    <w:rPr>
      <w:rFonts w:ascii="Times New Roman" w:eastAsiaTheme="majorEastAsia" w:hAnsi="Times New Roman" w:cstheme="majorBidi"/>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CE2"/>
    <w:rPr>
      <w:rFonts w:ascii="Times New Roman" w:eastAsiaTheme="majorEastAsia" w:hAnsi="Times New Roman" w:cstheme="majorBidi"/>
      <w:b/>
      <w:bCs/>
      <w:i/>
      <w:color w:val="000000" w:themeColor="text1"/>
      <w:sz w:val="24"/>
      <w:szCs w:val="28"/>
    </w:rPr>
  </w:style>
  <w:style w:type="character" w:customStyle="1" w:styleId="Heading2Char">
    <w:name w:val="Heading 2 Char"/>
    <w:basedOn w:val="DefaultParagraphFont"/>
    <w:link w:val="Heading2"/>
    <w:uiPriority w:val="9"/>
    <w:rsid w:val="004B50F7"/>
    <w:rPr>
      <w:rFonts w:ascii="Times New Roman" w:eastAsiaTheme="majorEastAsia" w:hAnsi="Times New Roman" w:cstheme="majorBidi"/>
      <w:bCs/>
      <w:i/>
      <w:color w:val="000000" w:themeColor="text1"/>
      <w:sz w:val="24"/>
      <w:szCs w:val="26"/>
    </w:rPr>
  </w:style>
  <w:style w:type="character" w:customStyle="1" w:styleId="Heading3Char">
    <w:name w:val="Heading 3 Char"/>
    <w:basedOn w:val="DefaultParagraphFont"/>
    <w:link w:val="Heading3"/>
    <w:uiPriority w:val="9"/>
    <w:rsid w:val="004B50F7"/>
    <w:rPr>
      <w:rFonts w:ascii="Times New Roman" w:eastAsiaTheme="majorEastAsia" w:hAnsi="Times New Roman" w:cstheme="majorBidi"/>
      <w:bCs/>
      <w:color w:val="000000" w:themeColor="text1"/>
      <w:sz w:val="24"/>
    </w:rPr>
  </w:style>
  <w:style w:type="paragraph" w:styleId="TOCHeading">
    <w:name w:val="TOC Heading"/>
    <w:basedOn w:val="Heading1"/>
    <w:next w:val="Normal"/>
    <w:uiPriority w:val="39"/>
    <w:semiHidden/>
    <w:unhideWhenUsed/>
    <w:qFormat/>
    <w:rsid w:val="00366DC6"/>
    <w:pPr>
      <w:outlineLvl w:val="9"/>
    </w:pPr>
    <w:rPr>
      <w:rFonts w:asciiTheme="majorHAnsi" w:hAnsiTheme="majorHAnsi"/>
      <w:i w:val="0"/>
      <w:color w:val="365F91" w:themeColor="accent1" w:themeShade="BF"/>
      <w:sz w:val="28"/>
      <w:lang w:eastAsia="ja-JP"/>
    </w:rPr>
  </w:style>
  <w:style w:type="paragraph" w:styleId="TOC1">
    <w:name w:val="toc 1"/>
    <w:basedOn w:val="Normal"/>
    <w:next w:val="Normal"/>
    <w:autoRedefine/>
    <w:uiPriority w:val="39"/>
    <w:unhideWhenUsed/>
    <w:rsid w:val="00366DC6"/>
    <w:pPr>
      <w:spacing w:after="100"/>
    </w:pPr>
  </w:style>
  <w:style w:type="paragraph" w:styleId="TOC2">
    <w:name w:val="toc 2"/>
    <w:basedOn w:val="Normal"/>
    <w:next w:val="Normal"/>
    <w:autoRedefine/>
    <w:uiPriority w:val="39"/>
    <w:unhideWhenUsed/>
    <w:rsid w:val="00366DC6"/>
    <w:pPr>
      <w:spacing w:after="100"/>
      <w:ind w:left="220"/>
    </w:pPr>
  </w:style>
  <w:style w:type="paragraph" w:styleId="TOC3">
    <w:name w:val="toc 3"/>
    <w:basedOn w:val="Normal"/>
    <w:next w:val="Normal"/>
    <w:autoRedefine/>
    <w:uiPriority w:val="39"/>
    <w:unhideWhenUsed/>
    <w:rsid w:val="00366DC6"/>
    <w:pPr>
      <w:spacing w:after="100"/>
      <w:ind w:left="440"/>
    </w:pPr>
  </w:style>
  <w:style w:type="character" w:styleId="Hyperlink">
    <w:name w:val="Hyperlink"/>
    <w:basedOn w:val="DefaultParagraphFont"/>
    <w:uiPriority w:val="99"/>
    <w:unhideWhenUsed/>
    <w:rsid w:val="00366DC6"/>
    <w:rPr>
      <w:color w:val="0000FF" w:themeColor="hyperlink"/>
      <w:u w:val="single"/>
    </w:rPr>
  </w:style>
  <w:style w:type="paragraph" w:styleId="BalloonText">
    <w:name w:val="Balloon Text"/>
    <w:basedOn w:val="Normal"/>
    <w:link w:val="BalloonTextChar"/>
    <w:uiPriority w:val="99"/>
    <w:semiHidden/>
    <w:unhideWhenUsed/>
    <w:rsid w:val="00366D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6DC6"/>
    <w:rPr>
      <w:rFonts w:ascii="Tahoma" w:hAnsi="Tahoma" w:cs="Tahoma"/>
      <w:sz w:val="16"/>
      <w:szCs w:val="16"/>
    </w:rPr>
  </w:style>
  <w:style w:type="paragraph" w:styleId="Header">
    <w:name w:val="header"/>
    <w:basedOn w:val="Normal"/>
    <w:link w:val="HeaderChar"/>
    <w:uiPriority w:val="99"/>
    <w:unhideWhenUsed/>
    <w:rsid w:val="00204A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4A54"/>
  </w:style>
  <w:style w:type="paragraph" w:styleId="Footer">
    <w:name w:val="footer"/>
    <w:basedOn w:val="Normal"/>
    <w:link w:val="FooterChar"/>
    <w:uiPriority w:val="99"/>
    <w:unhideWhenUsed/>
    <w:rsid w:val="00204A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4A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EBC587-305C-4EF0-A552-C9521821F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3123</Words>
  <Characters>17803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OANA</dc:creator>
  <cp:lastModifiedBy>Oana Nicoleta Manta (2124123)</cp:lastModifiedBy>
  <cp:revision>4</cp:revision>
  <dcterms:created xsi:type="dcterms:W3CDTF">2023-05-19T19:41:00Z</dcterms:created>
  <dcterms:modified xsi:type="dcterms:W3CDTF">2023-05-21T16:50:00Z</dcterms:modified>
</cp:coreProperties>
</file>