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259D8" w14:textId="678C267E" w:rsidR="002408D3" w:rsidRDefault="00AA25CA">
      <w:pPr>
        <w:rPr>
          <w:sz w:val="28"/>
          <w:szCs w:val="28"/>
          <w:u w:val="single"/>
        </w:rPr>
      </w:pPr>
      <w:r>
        <w:rPr>
          <w:sz w:val="28"/>
          <w:szCs w:val="28"/>
          <w:u w:val="single"/>
        </w:rPr>
        <w:t xml:space="preserve">A critical review of Mary Douglas’s </w:t>
      </w:r>
      <w:r>
        <w:rPr>
          <w:i/>
          <w:iCs/>
          <w:sz w:val="28"/>
          <w:szCs w:val="28"/>
          <w:u w:val="single"/>
        </w:rPr>
        <w:t>Purity and Danger</w:t>
      </w:r>
      <w:r>
        <w:rPr>
          <w:sz w:val="28"/>
          <w:szCs w:val="28"/>
          <w:u w:val="single"/>
        </w:rPr>
        <w:t xml:space="preserve"> for </w:t>
      </w:r>
      <w:proofErr w:type="spellStart"/>
      <w:proofErr w:type="gramStart"/>
      <w:r>
        <w:rPr>
          <w:sz w:val="28"/>
          <w:szCs w:val="28"/>
          <w:u w:val="single"/>
        </w:rPr>
        <w:t>a</w:t>
      </w:r>
      <w:proofErr w:type="spellEnd"/>
      <w:proofErr w:type="gramEnd"/>
      <w:r>
        <w:rPr>
          <w:sz w:val="28"/>
          <w:szCs w:val="28"/>
          <w:u w:val="single"/>
        </w:rPr>
        <w:t xml:space="preserve"> Independent Project </w:t>
      </w:r>
    </w:p>
    <w:p w14:paraId="0E132839" w14:textId="06ADA557" w:rsidR="00AA25CA" w:rsidRDefault="00AA25CA">
      <w:pPr>
        <w:rPr>
          <w:sz w:val="28"/>
          <w:szCs w:val="28"/>
          <w:u w:val="single"/>
        </w:rPr>
      </w:pPr>
      <w:r>
        <w:rPr>
          <w:sz w:val="28"/>
          <w:szCs w:val="28"/>
          <w:u w:val="single"/>
        </w:rPr>
        <w:t>By Tobias Theodore Olds</w:t>
      </w:r>
      <w:r>
        <w:rPr>
          <w:sz w:val="28"/>
          <w:szCs w:val="28"/>
        </w:rPr>
        <w:t xml:space="preserve">                                     </w:t>
      </w:r>
      <w:r>
        <w:rPr>
          <w:sz w:val="28"/>
          <w:szCs w:val="28"/>
          <w:u w:val="single"/>
        </w:rPr>
        <w:t>18/05/2020</w:t>
      </w:r>
    </w:p>
    <w:p w14:paraId="4EACADDB" w14:textId="51968DB0" w:rsidR="00AA25CA" w:rsidRDefault="00AA25CA">
      <w:pPr>
        <w:rPr>
          <w:sz w:val="28"/>
          <w:szCs w:val="28"/>
          <w:u w:val="single"/>
        </w:rPr>
      </w:pPr>
    </w:p>
    <w:p w14:paraId="675959E0" w14:textId="423ED813" w:rsidR="00F26F58" w:rsidRDefault="00F26F58" w:rsidP="00F26F58">
      <w:r>
        <w:t xml:space="preserve">For this work I will be trying to show how a seminal and highly influential book on Anthropological interest has been received not just in its wake, but in more contemporary times. Mary Douglas’s work </w:t>
      </w:r>
      <w:r>
        <w:rPr>
          <w:i/>
          <w:iCs/>
        </w:rPr>
        <w:t>Purity and</w:t>
      </w:r>
      <w:r w:rsidRPr="00212176">
        <w:rPr>
          <w:i/>
          <w:iCs/>
        </w:rPr>
        <w:t xml:space="preserve"> Taboo</w:t>
      </w:r>
      <w:r>
        <w:t xml:space="preserve"> is focused on an area of what she describes as Primitive Religions, which have generated much interest within the history of Anthropology. She states i</w:t>
      </w:r>
      <w:r w:rsidRPr="00212176">
        <w:t>n</w:t>
      </w:r>
      <w:r>
        <w:t xml:space="preserve"> the introduction to her book that “almost any missionary’s or traveller’s account of a primitive religion talks about the fear, terror or dread by which its adherents live” (Douglas, 1966, p. 1). And there </w:t>
      </w:r>
      <w:r w:rsidR="004E0D45">
        <w:t>are</w:t>
      </w:r>
      <w:r>
        <w:t xml:space="preserve"> some things she wants to dispute. She argues that other anthropologists who have ventured into what she terms “primitive cultures” instead </w:t>
      </w:r>
      <w:r w:rsidR="001660C2">
        <w:t>did not</w:t>
      </w:r>
      <w:r>
        <w:t xml:space="preserve"> find much evidence of fear (Douglas, 1966, p. 1). Rather they often found that was in contrary to the reality. In regards to the subject of witchcraft, one anthropologist she says, Evans-Pritchard study of the Azande, the people of Sudan stated that the common reaction to finding out what they considered to be bewitchment was not of terror, but of “hearty indignation as one of us might feel on finding himself the victims of embezzlement” (Douglas, 1966, p. 1). And when it came to the subject of religiosity and the idea of a personal god or deity, she cites the same authority of saying that they were not intimidated by their idea of a god, but regarded them as a familiar friend (Douglas, 1966, p. 1). Douglas proposal – and purpose for writing the book – was to suggest that an exploration into hygiene, whatever it entailed, would be better for a broader comparative analysis of cultures (</w:t>
      </w:r>
      <w:r w:rsidR="00E75427">
        <w:t xml:space="preserve">Douglas, </w:t>
      </w:r>
      <w:r>
        <w:t>1966, p.2-6). For Douglas she states that she regards her attempt to understand the “rules of purity” is a sound entry to comparative religion as she regards there to be at least comparative themes in not just the work of the Biblical Old Testament and that of Jewish culture, but of Polynesian and Central African culture (</w:t>
      </w:r>
      <w:r w:rsidR="00E75427">
        <w:t xml:space="preserve">Douglas, </w:t>
      </w:r>
      <w:r>
        <w:t>1966, p. 6). She also states</w:t>
      </w:r>
      <w:r w:rsidRPr="006634C5">
        <w:t xml:space="preserve"> </w:t>
      </w:r>
      <w:r>
        <w:t>that “the more we know about primitive religions the more clearly it appears that in their symbolic structures there is scope for meditation on the great mysteries of religion and philosophy” (Douglas, 1966, p. 5).</w:t>
      </w:r>
      <w:r>
        <w:br/>
        <w:t>And likewise, among the themes and topics that Douglas states she intends to explore in her work include that of beliefs about hygiene and dirt and pollution, rituals of purity and impurity, of taboos, and of ritual and pollution specifically related to that of sexuality. Within the introduction she in fact gives a brief summation of what she understands about the following concepts. For Douglas, dirt is essentially disorder (</w:t>
      </w:r>
      <w:r w:rsidR="00581BC2">
        <w:t xml:space="preserve">Douglas, </w:t>
      </w:r>
      <w:r>
        <w:t>1966, p. 2) “There is no such thing as absolute dirt: it exists in the eye of the beholder” (Douglas, 1966, p. 2). “Eliminating it is… a positive effort to organise the environment” (Douglas, 1966, p. 2). Within the introduction she argues that pollution ideas work within society on two levels: one instrumental and one expressive. She does suggest that there is an element of moral codes appearing to carry the weight of the whole universe (Douglas, 1966, p. 3), but she also argues that simultaneously the pollution beliefs are following instead more analogous concerns about the social order (</w:t>
      </w:r>
      <w:r w:rsidR="00581BC2">
        <w:t xml:space="preserve">Douglas, </w:t>
      </w:r>
      <w:r>
        <w:t>1966, p. 3).</w:t>
      </w:r>
      <w:r w:rsidRPr="00236DCD">
        <w:t xml:space="preserve"> </w:t>
      </w:r>
      <w:r>
        <w:t>One example of note is that Douglas does says that “I believe that some pollutions are used as analogies for expressing a general view of the social order” (</w:t>
      </w:r>
      <w:r w:rsidR="00581BC2">
        <w:t xml:space="preserve">Douglas, </w:t>
      </w:r>
      <w:r>
        <w:t>1966, p. 3). She offers scepticism that for instance beliefs that sex is a danger to the other through contact through sexual fluids simply necessarily expresses something about the actual relations via the sexes - when the beliefs may be skewed towards one sex being endangered by the other (Douglas, 1966, p. 3-4).</w:t>
      </w:r>
      <w:r>
        <w:br/>
        <w:t>Douglas also views rituals of purity and impurity as social behaviour that creates “unity in experience” (</w:t>
      </w:r>
      <w:r w:rsidR="00581BC2">
        <w:t xml:space="preserve">Douglas, </w:t>
      </w:r>
      <w:r>
        <w:t xml:space="preserve">1966, p. 2). She argues in the introduction that symbolic patterns are worked </w:t>
      </w:r>
      <w:r>
        <w:lastRenderedPageBreak/>
        <w:t>out and publicly displayed, and thus within these patterns, disparate elements are related, and disparate experience is given meaning (</w:t>
      </w:r>
      <w:r w:rsidR="00581BC2">
        <w:t xml:space="preserve">Douglas, </w:t>
      </w:r>
      <w:r>
        <w:t>1966, p. 3). Douglas suggests that the two sexes can serve as a model for collaboration of social units – reflecting symbolically for her “designs of hierarchy or symmetry in the larger social system” (</w:t>
      </w:r>
      <w:r w:rsidR="00581BC2">
        <w:t xml:space="preserve">Douglas, </w:t>
      </w:r>
      <w:r>
        <w:t xml:space="preserve">1966, p. 4). She acknowledges she may be biased, saying she is not afraid “of the charge of having made the social structure seem over-rigid” (Douglas, 1966, p. 4), as she states that “for I believe that ideas about separating, purifying, demarcating and punishing transgressions have as their main function to impose system on an inherently untidy experience. It is only by exaggerating the difference between within and without, about and below, male and female, with and against, that a semblance of the order is created (Douglas, 1966, p. 4). </w:t>
      </w:r>
      <w:r>
        <w:br/>
        <w:t>Douglas also cautions in her introduction to be careful of easily lapsing into judgements that a “proliferation of ideas about purity and contagion” implied a rigid social outlook – she has stressed the opposite could be true (1966, p. 5) as one would do well to remember that ideas about purity and impurity would not necessarily be timeless and unchanging – they would be instead quite sensitive to change (Douglas, 1966, p. 4-5). Douglas analogously compares human societies to animals in cages saying that any change can easily provoke anxiety at the very least which causes an equal reaction (1966, p. 5). However, she does insist that it would be necessary to look “for a more energetic organising principle to do justice to the elaborate cosmologies which pollution symbols reveal” (Douglas, 1966, p. 5)</w:t>
      </w:r>
    </w:p>
    <w:p w14:paraId="69D9DDF5" w14:textId="77777777" w:rsidR="00F26F58" w:rsidRPr="00F45F8B" w:rsidRDefault="00F26F58" w:rsidP="00F26F58">
      <w:r>
        <w:t>Thus, the aim of my critique is to focus on seeing whether Douglas analysis on any of the topics has useful application to the real world and other scholarly works, including that of more contemporary works. Firstly, to reach this aim, I would want to try and observe some other critical reviews made of the book by scholars of other fields. And secondly for the purpose of this critical review, I would want to try and narrow down my criticisms to certain topics that Douglas covers. Of the topics that I have noted to of been particularly discussed in her book, what is particularly reproduced in discussion of reviews of her work includes the themes of what is “dirt” and what it subliminally, psychologically, and culturally means for the broader culture. Similarly reviewed is the concept of what is meant as “polluting” and any analogous and similar categorisations (i.e. “purity” and “holiness”) and how they have been conceptualised like dirt above. These are relevant to what is considered “taboo”, as well of concepts of ritual and bodily pollution that are used within the work. And thirdly, I would want to comment on what I think are the validity of some of the arguments for why scholars agree and disagree with her work, on their own merits. These are what I intend to explore and observe how her analysis has held up overtime and see if the scholarship has gone in a different direction. And a useful direction as well.</w:t>
      </w:r>
    </w:p>
    <w:p w14:paraId="30A02B77" w14:textId="1E83B976" w:rsidR="00C72284" w:rsidRDefault="00C72284" w:rsidP="00C72284">
      <w:r>
        <w:t>Some major criticisms that was made of Douglas’s work was Douglas use of the body (and by proxy, bodily pollution) to symbolise the underlying social and cultural subconscious of the larger society by Melford E Spiro in Review for the American Anthropologist Journal. Spiro represents Douglas’s argument this way: He states that the way Douglas conceptualises various phobic attitudes to objects that might enter or issue from the body as “anxiety about bodily margins” and as a matter of fact these are “expressing danger to group survival” (</w:t>
      </w:r>
      <w:r w:rsidR="00581BC2">
        <w:t xml:space="preserve">Spiro, </w:t>
      </w:r>
      <w:r>
        <w:t>1968, p. 392). Like “when rituals express anxiety about the body’s orifices the socio-logical counterpart of this anxiety is a care to protect the political and cultural unity of a minority group” (Douglas, 1966, p. 124). So thus, when one group wants to be distinct, general taboos against pollution of the body are the proxy means about how maintaining order goes about in any social group. Indeed Douglas does assert that for the Coorgs (Srivinas) in the Hindu Caste system “the model of exits and entrances of the human body is a doubly apt symbolic focus of fears for their minority standing in the larger society” (</w:t>
      </w:r>
      <w:r w:rsidR="00581BC2">
        <w:t xml:space="preserve">Douglas, </w:t>
      </w:r>
      <w:r>
        <w:t xml:space="preserve">1966, p.124-125). Douglas argues this with the example of the Coorgs, as the context is that they are within the </w:t>
      </w:r>
      <w:r>
        <w:lastRenderedPageBreak/>
        <w:t>Hindu caste system and the idea of bodily functions symbolises descent in the caste system as you would come into contact with the excretement of someone not of your caste (</w:t>
      </w:r>
      <w:r w:rsidR="00581BC2">
        <w:t xml:space="preserve">Douglas, </w:t>
      </w:r>
      <w:r>
        <w:t>1966, p. 124-125). Any caste position below the one someone occupies would be polluting to them (</w:t>
      </w:r>
      <w:r w:rsidR="00581BC2">
        <w:t xml:space="preserve">Douglas, </w:t>
      </w:r>
      <w:r>
        <w:t xml:space="preserve">1966, p. 124-125). </w:t>
      </w:r>
      <w:r>
        <w:br/>
        <w:t>With this argument he has set up this is how he critiques it. Firstly he says that “to assume that ritual avoidance of excreta is based on anxiety about “bodily margins” (rather than, for example, on anxiety about presumed dangers of excreta) is a gratuitous assumption that, surely, must be defended rather than merely asserted” (Spiro, 1968, p. 392). In other words, he is saying that the idea Douglas puts forward has made some leaps of obvious logic to get to its position and it needs to be more thoroughly backed up.</w:t>
      </w:r>
      <w:r w:rsidRPr="00926622">
        <w:t xml:space="preserve"> </w:t>
      </w:r>
      <w:r>
        <w:t>Spiro also suggests that there are methodological shortcomings – the symbolic meaning is not backed up by evidence or arguments, in a way that could be tested or proven (</w:t>
      </w:r>
      <w:r w:rsidR="00581BC2">
        <w:t xml:space="preserve">Spiro, </w:t>
      </w:r>
      <w:r>
        <w:t xml:space="preserve">1968, p. 392). The question about whether anxiety about bodily margins expresses danger to group survival is also not backed up with evidence (Spiro, 1968, p. 392). It is stated that it is as self-evident </w:t>
      </w:r>
      <w:r w:rsidRPr="001E4E5A">
        <w:rPr>
          <w:i/>
          <w:iCs/>
        </w:rPr>
        <w:t>A Priori</w:t>
      </w:r>
      <w:r>
        <w:t xml:space="preserve"> truth (Spiro, 1968, p. 392) that the anxiety of bodily functions expresses danger to group survival. </w:t>
      </w:r>
      <w:r w:rsidRPr="00F07C11">
        <w:t>I would argue it could be likened to “The God of the Gaps” argument if one wants to point out whether it would be fallacious to just assume that the avoidance of excreta would symbolize social anxiety – in the sense it’s  not logically sound to advance the claim of broader socio-political tensions is the result of general rules around hygiene, pollution and taboo in the absence of proof, which is what the God of the Gaps argument is generally understood as (Collins,</w:t>
      </w:r>
      <w:r w:rsidR="00E75427" w:rsidRPr="00F07C11">
        <w:t xml:space="preserve"> 2003,</w:t>
      </w:r>
      <w:r w:rsidRPr="00F07C11">
        <w:t xml:space="preserve"> p. 1) (Even if in this case it’s not necessarily the super-natural being invoked as originally meant by God-of-the-Gaps reasoning, but instead underlying psychology)</w:t>
      </w:r>
      <w:r>
        <w:t>. Spiro also tries to critique certain aspects of the theory within Douglas’s argument. One such question he poses is why should minority status be symbolized? If the group is anxious about its minority status, then for what reason – advantageous or not – would there be intentionally (?) a construction of a ritual and belief system to symbolise this anxiety (Spiro, 1968, p. 392). And even if we grant the idea that minority status is necessarily or desirably represented through symbolic ritual to be true, then for what reason should the symbolic system consist of beliefs that create even more anxiety in the form of pollution anxieties (Spiro, 1968, p. 392). He also suggests that the theory has further logical inconsistency in the real-life application; as an example he suggests if Douglas’s pollution rituals are concerned with “danger pressing on external boundaries” then surely, they would purely be concerned with external issues (Spiro, 1968, p. 392). He cites a passage of Douglas where she writes that the Coorgs most fear “anything which has re-emerged gaining re-entry” (</w:t>
      </w:r>
      <w:r w:rsidR="00581BC2">
        <w:t xml:space="preserve">Douglas, </w:t>
      </w:r>
      <w:r>
        <w:t>1966, p. 123) and suggest that surely by the theory they wouldn’t be afraid of it at all (</w:t>
      </w:r>
      <w:r w:rsidR="00581BC2">
        <w:t>Spiro</w:t>
      </w:r>
      <w:r>
        <w:t>, 1</w:t>
      </w:r>
      <w:r w:rsidR="00581BC2">
        <w:t>68</w:t>
      </w:r>
      <w:r>
        <w:t xml:space="preserve">, p. 392). </w:t>
      </w:r>
      <w:r w:rsidRPr="00F07C11">
        <w:t>In fairness to Douglas here though, Spiro arguing this way is inaccurate as he is critiquing Douglas’s piece in the narrow sense of understanding “Danger pressing in on external boundaries”. Spiro has said that Douglas has stated that “danger” in the theoretical abstract of ritual pollution is categorised in four different ways: “Danger pressing in on external boundaries”, “Danger from transgressing the internal lines of the system”, “Danger in the margins of the lines” and “Danger from internal contradictions” (1966, p. 122). Spiro is critiquing the first type (“Danger pressing in on external boundaries”) which he states is what bodily pollution symbolised (1968, p. 392) and has stated that he was focusing on the first due to space limitations. Thus it</w:t>
      </w:r>
      <w:r w:rsidR="00E75427" w:rsidRPr="00F07C11">
        <w:t xml:space="preserve"> i</w:t>
      </w:r>
      <w:r w:rsidRPr="00F07C11">
        <w:t>s disingenuous to suggest that necessarily undermines her thesis.</w:t>
      </w:r>
      <w:r>
        <w:rPr>
          <w:color w:val="FF0000"/>
        </w:rPr>
        <w:br/>
      </w:r>
      <w:r>
        <w:t xml:space="preserve">Critically however, he also points out that the term “Ritual Pollution” is nowhere explicitly defined or consistently applied (Spiro, 1968, p. 391) and this thus makes many arguments where the term is curried to be extremely difficult to evaluate. It is cited according to Spiro to mean any of these: </w:t>
      </w:r>
    </w:p>
    <w:p w14:paraId="0BB04395" w14:textId="77777777" w:rsidR="00C72284" w:rsidRDefault="00C72284" w:rsidP="00C72284">
      <w:pPr>
        <w:pStyle w:val="ListParagraph"/>
        <w:numPr>
          <w:ilvl w:val="0"/>
          <w:numId w:val="1"/>
        </w:numPr>
      </w:pPr>
      <w:r>
        <w:t xml:space="preserve">Dirt </w:t>
      </w:r>
    </w:p>
    <w:p w14:paraId="041D6C52" w14:textId="77777777" w:rsidR="00C72284" w:rsidRDefault="00C72284" w:rsidP="00C72284">
      <w:pPr>
        <w:pStyle w:val="ListParagraph"/>
        <w:numPr>
          <w:ilvl w:val="0"/>
          <w:numId w:val="1"/>
        </w:numPr>
      </w:pPr>
      <w:r>
        <w:t>Disorder</w:t>
      </w:r>
    </w:p>
    <w:p w14:paraId="77D13A50" w14:textId="77777777" w:rsidR="00C72284" w:rsidRDefault="00C72284" w:rsidP="00C72284">
      <w:pPr>
        <w:pStyle w:val="ListParagraph"/>
        <w:numPr>
          <w:ilvl w:val="0"/>
          <w:numId w:val="1"/>
        </w:numPr>
      </w:pPr>
      <w:r>
        <w:lastRenderedPageBreak/>
        <w:t xml:space="preserve">Defilement </w:t>
      </w:r>
    </w:p>
    <w:p w14:paraId="30B6F591" w14:textId="77777777" w:rsidR="00C72284" w:rsidRDefault="00C72284" w:rsidP="00C72284">
      <w:pPr>
        <w:pStyle w:val="ListParagraph"/>
        <w:numPr>
          <w:ilvl w:val="0"/>
          <w:numId w:val="1"/>
        </w:numPr>
      </w:pPr>
      <w:r>
        <w:t xml:space="preserve">Danger </w:t>
      </w:r>
    </w:p>
    <w:p w14:paraId="75F781BB" w14:textId="77777777" w:rsidR="00C72284" w:rsidRDefault="00C72284" w:rsidP="00C72284">
      <w:pPr>
        <w:pStyle w:val="ListParagraph"/>
        <w:numPr>
          <w:ilvl w:val="0"/>
          <w:numId w:val="1"/>
        </w:numPr>
      </w:pPr>
      <w:r>
        <w:t>Power</w:t>
      </w:r>
    </w:p>
    <w:p w14:paraId="3338DCC5" w14:textId="77777777" w:rsidR="00C72284" w:rsidRDefault="00C72284" w:rsidP="00C72284">
      <w:pPr>
        <w:pStyle w:val="ListParagraph"/>
        <w:numPr>
          <w:ilvl w:val="0"/>
          <w:numId w:val="1"/>
        </w:numPr>
      </w:pPr>
      <w:r>
        <w:t>Taboo</w:t>
      </w:r>
    </w:p>
    <w:p w14:paraId="17C67EB1" w14:textId="4081436A" w:rsidR="00AA25CA" w:rsidRPr="00F07C11" w:rsidRDefault="00C72284" w:rsidP="00C72284">
      <w:r>
        <w:t>In another critique of her methodology, Spiro suggests that Douglas’s work here reflects a wider and more general issue within Anthropological analysis of symbol as it proceeds “neither from a general theory of symbolism, from which the meaning attributed to a symbol can be logically deduced, nor from a set of psychological data on social actors, from which the putative meaning of the symbol is empirically deduced” (</w:t>
      </w:r>
      <w:r w:rsidR="00581BC2">
        <w:t xml:space="preserve">Spiro, </w:t>
      </w:r>
      <w:r>
        <w:t>1968, p. 391). But in their absence, it comes down to merely the persuasiveness of the anthropologist’s argument (Spiro, 1968, p. 391).</w:t>
      </w:r>
      <w:r w:rsidRPr="00926622">
        <w:t xml:space="preserve"> </w:t>
      </w:r>
      <w:r>
        <w:t>Overall, according to Spiro rather than coming to this conclusion through established theorems it comes about if you accept Mary Douglas’s anthropological paradigm (and he insists it is in the Thomas Kuhn understanding of a paradigm) (</w:t>
      </w:r>
      <w:r w:rsidR="00581BC2">
        <w:t xml:space="preserve">Spiro, </w:t>
      </w:r>
      <w:r>
        <w:t>1968, p. 392-393), of which it consists of axioms such as “rituals work upon the body politic through the symbolic medium of the physical body” or “rituals enable people to know their own society” (Douglas, 1966, p. 128).</w:t>
      </w:r>
      <w:r w:rsidR="00581BC2">
        <w:t xml:space="preserve"> </w:t>
      </w:r>
      <w:r w:rsidRPr="00F07C11">
        <w:t>And looking at</w:t>
      </w:r>
      <w:r w:rsidR="00F07C11">
        <w:t xml:space="preserve"> Ben</w:t>
      </w:r>
      <w:r w:rsidRPr="00F07C11">
        <w:t xml:space="preserve"> Campkin’s </w:t>
      </w:r>
      <w:r w:rsidR="00F07C11">
        <w:t xml:space="preserve">in </w:t>
      </w:r>
      <w:r w:rsidR="00F07C11">
        <w:rPr>
          <w:i/>
          <w:iCs/>
        </w:rPr>
        <w:t>Architectural Theory Review</w:t>
      </w:r>
      <w:r w:rsidR="00F07C11" w:rsidRPr="00F07C11">
        <w:t xml:space="preserve"> </w:t>
      </w:r>
      <w:r w:rsidRPr="00F07C11">
        <w:t>criticisms of Douglas work in many ways highlights the dispute when certain theoretical paradigms are reapplied to an understanding on a piece of work.</w:t>
      </w:r>
      <w:r>
        <w:br/>
        <w:t>A point that could also be explored is when Spiro also argues that “Douglas is relentless in her insistence that the social system is the universal symbolic referent not only for rituals of pollution, but for all ritual” (</w:t>
      </w:r>
      <w:r w:rsidR="00581BC2">
        <w:t xml:space="preserve">Douglas, </w:t>
      </w:r>
      <w:r>
        <w:t>1966, p. 116) (</w:t>
      </w:r>
      <w:r w:rsidR="00581BC2">
        <w:t xml:space="preserve">Spiro, </w:t>
      </w:r>
      <w:r>
        <w:t xml:space="preserve">1968, p. 392). He backs himself up with Douglas saying that regarding rituals where there is genital bleeding caused on males that “what is being carved in human flesh is an image of society”. In fact, he quotes her as going as far to suggest that the occurrence of these rituals in moiety- and section-divided societies, that is shows that they “are concerned to create a symbol of the symmetry of the two halves of society” (Douglas, 1966, p. 116) (Spiro, 1968, p. 392).  Again, for Spiro there are shortcomings in the actual demonstration of this being true, either by specific and strong argument or even data. </w:t>
      </w:r>
      <w:r w:rsidRPr="00F07C11">
        <w:t xml:space="preserve">But however if Douglas is still true and bodily rituals with the body are indeed  proxy for the wider social structure then would one then try to control the body if they perceived it to be a way of reaching their ideal social structure? Haven’t many different authoritarian governments tried to control the bodily function of thinking and how people adorn themselves? A contemporary example would include the way that a report has indicated in how the Chinese Government (which repeats the assertion that it can be characterized as featuring environmental authoritarianism (Tang &amp; Chen &amp; Wu, 2018, p. 2)) has responded to concerns about air pollution and particularly malodorous waste gas. The study also suggests that the results show that provincial governments were inclined to yes invest in waste gas pollution, but not as much in water control (Tang &amp; Chen &amp; Wu, 2018, p. 2). Waste gas pollution was most visible to the general Chinese public and most information-gathering channels are also more accessible for them (Tang &amp; Chen &amp; Wu, p. 13). It more than other forms of pollution evokes emotion within the public and dealing with it appeared to calm public society more according to the study – generally within brief timespans (Tang &amp; Chen &amp; Wu, p. 13). As, the study also argues that results have shown the Chinese government responses to these environmental concerns tended to be what would achieve short-term results for them -  even though it may provide more focus and funding for pollution governance if public opinion shows concern it won’t equally respond to all types of public pollution, depending on the government objective (Tang &amp; Chen &amp; Wu, 2018, p. 2-12). </w:t>
      </w:r>
      <w:bookmarkStart w:id="0" w:name="_Hlk40706204"/>
      <w:r w:rsidRPr="00F07C11">
        <w:t xml:space="preserve">Perhaps this description is not only unique to dictatorships necessarily though – even comparatively free democratic societies may have some environmental measures outsourced from public opinion. But it does demonstrate how views on pollution are linked to social control in a modern context nonetheless and how it may even be counteracting factor in people understanding </w:t>
      </w:r>
      <w:r w:rsidRPr="00F07C11">
        <w:lastRenderedPageBreak/>
        <w:t>reality.</w:t>
      </w:r>
      <w:bookmarkEnd w:id="0"/>
      <w:r w:rsidRPr="00F07C11">
        <w:br/>
      </w:r>
      <w:r>
        <w:t xml:space="preserve">Finally Spiro says “There are pollution powers which inhere in the structure of ideas itself and which punish a symbolic breaking of that which should be joined or joining of that which should be separate… A polluting person… has developed some wrong condition or simply crossed some line which should not have been crossed, and this displacement unleashes danger for someone. The power which presents a danger for careless humans is very evidently a power inhering in the structure of ideas, a power by which the structure is expected to protect itself (Douglas, 1966, p. 113). </w:t>
      </w:r>
      <w:r w:rsidRPr="00F07C11">
        <w:t>Thus, in other words the structure of ideas is supposed to self-regulate against potentially hazards that come about of people who do not conform to the boundaries of the structure of ideas. When it’s described in that manner, human societies as self-regulating organisms makes me think that this analysis is looking at human societies almost in a way that is known in other fields as “superorganisms” (what in a biological sense is described as highly cooperative and socially integrated animal groups) (Kesebir, 2011, p. 233). The features otherwise attributed to what is understood in a by biologists include “(1) mechanisms to integrate individual units, (2) mechanisms to achieve unity of action, (3) low levels of heritable within-group variation, (4) a common fate, and (5) mechanisms to resolve conflicts of interest in the collective’s favour” (Kesebir, 2011, p. 233). Not necessarily the same characteristics Douglas identifies as part of forming attitudes to the taboo, and thus in many ways this highlights how Anthropology can often end up understanding broader social structures differently to other disciplines.</w:t>
      </w:r>
    </w:p>
    <w:p w14:paraId="398DC3D7" w14:textId="331B251A" w:rsidR="00EA048B" w:rsidRDefault="00EA048B" w:rsidP="00C72284">
      <w:r>
        <w:t xml:space="preserve">Another more contemporary review of Douglas’s work is that of Ben Campkin </w:t>
      </w:r>
      <w:bookmarkStart w:id="1" w:name="_Hlk40736610"/>
      <w:r>
        <w:t xml:space="preserve">in </w:t>
      </w:r>
      <w:r>
        <w:rPr>
          <w:i/>
          <w:iCs/>
        </w:rPr>
        <w:t>Architectural Theory Review</w:t>
      </w:r>
      <w:bookmarkEnd w:id="1"/>
      <w:r>
        <w:t>, which makes a couple of different points. He reveals until the late 1970s it was actually considered marginal within the discipline of Anthropology – Spiros sceptical analysis perhaps reflecting that – and yet after that, alongside the fact it was being applied to architecture, the theory within Purity and Danger was cutting across disciplines and it suggests that few Anthropological texts have had such a notable impact outside of their discipline (Campkin, 2013, p. 2). Campkin on the one hand he credits her with bringing “a focused attention on relationships between dirt, cleanliness and the design and organisation of space” and her work is argued by Ben Campkin to be able to open up “architecture up to the broader fields of contextual evidence considered within anthropological and material culture scholarship” (</w:t>
      </w:r>
      <w:r w:rsidR="00581BC2">
        <w:t xml:space="preserve">Campkin, </w:t>
      </w:r>
      <w:r>
        <w:t>2013, p. 2). On the other however, he simultaneously criticises her for her “idiosyncratic structuralism” saying that her work contained “unresolved tensions between material and conceptual evidence, and between dirt as matter or symbol, and these are at the heart of dirt as a research trope” (Campkin, 2013, p. 17). He lists several forms of critiques that to him highlight deficiencies with her work such as critical theory, feminist and psychoanalytic writings (Campkin, 2013, p. 1), as well as “recent neo-Marxist scholarship on the Urban environment” (Campkin, 2013, p. 1).</w:t>
      </w:r>
      <w:r>
        <w:br/>
        <w:t xml:space="preserve">To understand his critiques, and what he views as deficient with Douglas’ work, we would need to examine his own terminology. Structuralism in an Anthropological sense is referring to a school of thought that views cultures are viewed as systems and are analysed in terms of the structural relations beyond their elements (Encyclopaedia Britannica, 2020).What would be for Campkin the evidence that Douglas’s work is biased inaccurately towards thinking that understandings of dirt reflects the system of anthropocentric psychology? One of Campkin’s points of contention is Douglas’s use of a phrase “dirt is matter out of place” (2013, p. 3).  Even if dirt is matter out of place, numerous writers according to Campkin have observed, including Mary Douglas’ biographer Richard Fardon has said that in </w:t>
      </w:r>
      <w:r>
        <w:rPr>
          <w:i/>
          <w:iCs/>
        </w:rPr>
        <w:t>Mary Douglas: An Intellectual Biographer</w:t>
      </w:r>
      <w:r>
        <w:t xml:space="preserve"> that “the formulation is not reversible: all matter out of place is not dirt” (Campkin, 2013, p. </w:t>
      </w:r>
      <w:r w:rsidR="00581BC2">
        <w:t>4)</w:t>
      </w:r>
      <w:r>
        <w:t xml:space="preserve">. </w:t>
      </w:r>
      <w:r>
        <w:br/>
        <w:t>He cites pages 47‒59 of the book where he asserts Douglas portrayal of what is dirty is determined “through inextricably linked bodily sensations, physiological and psychological processes” (</w:t>
      </w:r>
      <w:r w:rsidR="00581BC2">
        <w:t xml:space="preserve">Campkin, </w:t>
      </w:r>
      <w:r>
        <w:lastRenderedPageBreak/>
        <w:t>2013, p. 4). To Campkin there however is no such thing as absolute dirt – it is merely a matter of perception and classification (</w:t>
      </w:r>
      <w:r w:rsidR="00581BC2">
        <w:t xml:space="preserve">Campkin, </w:t>
      </w:r>
      <w:r>
        <w:t xml:space="preserve">2013, p. 4). </w:t>
      </w:r>
      <w:r>
        <w:br/>
        <w:t>Another piece of evidence he cites for Douglas being a structuralist thinker is when she writes “reflection on dirt involves reflection on the relation of order to disorder, being to non-being, form to formlessness, life to death” (Douglas, 1966, p. 6) and cites Douglas as saying in her introduction that “there is no dirt without classification” (Campkin, 2013, p. 7). Campkin suggests that this shows to him that Douglas views these accepted classifications are necessarily binary – and to him that is what implicates her (</w:t>
      </w:r>
      <w:r w:rsidR="00581BC2">
        <w:t xml:space="preserve">Campkin, </w:t>
      </w:r>
      <w:r>
        <w:t>2013, p. 5) as being a structuralist. He argues that Douglas’s view is that individual pollution beliefs and behaviours, observed through text and fieldwork, are evidence for understanding social systems – something that means his criticisms are in some way similar to Spiro’s – and to him that is another hallmark of the structural tradition of Anthropology (</w:t>
      </w:r>
      <w:r w:rsidR="00581BC2">
        <w:t xml:space="preserve">Campkin, </w:t>
      </w:r>
      <w:r>
        <w:t>2013 p. 5). In other ways Campkin does concur with Spiro when he says that Douglas having the view that dirt as a concept does in effect disrupts classification systems and as Campkin puts it “the `normal` ordered relations that one understands the world through” (</w:t>
      </w:r>
      <w:r w:rsidR="00581BC2">
        <w:t xml:space="preserve">Campkin, </w:t>
      </w:r>
      <w:r>
        <w:t>2013, p. 5).</w:t>
      </w:r>
      <w:r>
        <w:br/>
        <w:t xml:space="preserve">Campkin also suggests that there is another inconsistency within Douglas’s work; the way he represents Douglas’s position is that for her pollution is thought of in the same way William A. Cohen thought of it in his book </w:t>
      </w:r>
      <w:r>
        <w:rPr>
          <w:i/>
          <w:iCs/>
        </w:rPr>
        <w:t>Filth: Dirt, Disgust and Modern Life</w:t>
      </w:r>
      <w:r>
        <w:t>: “Pollution is not simply the opposite of cleanliness; it also arises out of a confusion of categories” (</w:t>
      </w:r>
      <w:r w:rsidR="00581BC2">
        <w:t xml:space="preserve">Campkin, </w:t>
      </w:r>
      <w:r>
        <w:t>2013, p. 4). But Campkin argues that this is inconsistent of Douglas’s understanding of “dirt as matter that is out of place” (</w:t>
      </w:r>
      <w:r w:rsidR="00581BC2">
        <w:t xml:space="preserve">Campkin, </w:t>
      </w:r>
      <w:r>
        <w:t>2013, p. 3) as by giving dirt a specific definition and making it a “stable and clearly defined category, rather than a catchall and relative term” (</w:t>
      </w:r>
      <w:r w:rsidR="00581BC2">
        <w:t xml:space="preserve">Campkin, </w:t>
      </w:r>
      <w:r>
        <w:t xml:space="preserve">2013, p. 4-5). It also implies a simple binary understanding of the boundary dirty/clean (Campkin, 2013, p. 5). </w:t>
      </w:r>
      <w:r w:rsidRPr="00F07C11">
        <w:t>How can something be polluting if it is a confusion of categories while going by dirt as something that is objectively, yet albeit broadly defined. It seems like Campkin is making this criticism to further demonstrate why he might critique what he views as the “necessary binary classifications” within structuralism and suggests that</w:t>
      </w:r>
      <w:r w:rsidR="00F07C11" w:rsidRPr="00F07C11">
        <w:t xml:space="preserve"> i</w:t>
      </w:r>
      <w:r w:rsidRPr="00F07C11">
        <w:t>s why they</w:t>
      </w:r>
      <w:r w:rsidR="00F07C11" w:rsidRPr="00F07C11">
        <w:t xml:space="preserve"> a</w:t>
      </w:r>
      <w:r w:rsidRPr="00F07C11">
        <w:t>re deficient for properly understanding the subject of dirt.</w:t>
      </w:r>
      <w:r w:rsidR="001D7E58" w:rsidRPr="00F07C11">
        <w:t xml:space="preserve"> </w:t>
      </w:r>
      <w:r w:rsidR="00512635" w:rsidRPr="00F07C11">
        <w:t>He argues that Douglas work understands culture as of “`</w:t>
      </w:r>
      <w:r w:rsidR="00512635" w:rsidRPr="00F07C11">
        <w:t>the public, standardised values of a community’, and of universes based on ‘general principles’, assuming shared and agreed rules, codes and ideas across a homogeneous society</w:t>
      </w:r>
      <w:r w:rsidR="00512635" w:rsidRPr="00F07C11">
        <w:t xml:space="preserve">” (Campkin, 2013, p. 10). As far as he is concerned the idea of classifying being a human universal is a mistaken idea and constitutes a “general theory of universality” (Campkin, 2013, p. 10). And this conflicts with modern “deconstruction” of what he calls “modernism” (Campkin, 2013, p. 10). Deconstruction has been an intellectual movement that has questioned the fundamental conceptual distinctions or “oppositions” in western philosophy by examining the language and logic of philosophical and literary text (Britannica Encyclopaedia, 2020) and it seems that Campkin views aspects of </w:t>
      </w:r>
      <w:r w:rsidR="00512635" w:rsidRPr="00F07C11">
        <w:rPr>
          <w:i/>
          <w:iCs/>
        </w:rPr>
        <w:t>Purity and Danger</w:t>
      </w:r>
      <w:r w:rsidR="00512635" w:rsidRPr="00F07C11">
        <w:t xml:space="preserve"> as archaic due to Mary Douglas not sharing her approach to the work. </w:t>
      </w:r>
      <w:r w:rsidRPr="00F07C11">
        <w:br/>
      </w:r>
      <w:r>
        <w:t xml:space="preserve">Campkin’s work appears to of been written with several intentionally activism-oriented intentions. At one point he suggests that “Douglas’s own more rigid approach often seems to lack an overt criticality or political position” (Campkin, 2013, p. 11). As a way of example, Campkin cites Karl Marx from </w:t>
      </w:r>
      <w:r>
        <w:rPr>
          <w:i/>
          <w:iCs/>
        </w:rPr>
        <w:t>Early Writings</w:t>
      </w:r>
      <w:r>
        <w:t xml:space="preserve"> where he states that “Middleclass hygienists mobilised cleanliness, through hygiene reform, as a means of social control, and to ensure the health and longevity of a productive proletariat” (Campkin, 2013, p. 9) which is again evidence of appropriating the topics to try and bolster support for certain ideological outlooks – in this case that of Marxism. </w:t>
      </w:r>
      <w:r w:rsidRPr="00F07C11">
        <w:t xml:space="preserve">Perhaps there is something to these claims, as Campkin also argues that this has been demonstrated further by the architectural historian Adrian Forty – but the simple observation of social control would arguably be wisely distinguished from opinionated visions on social reform. </w:t>
      </w:r>
      <w:r>
        <w:br/>
        <w:t>In fact, inconsistencies, and negations of alignment of Douglas’ original work with what Campkin describes as “critical theory, psychoanalytic theory, feminist, and other poststructuralist accounts” (</w:t>
      </w:r>
      <w:r w:rsidR="00581BC2">
        <w:t xml:space="preserve">Campkin, </w:t>
      </w:r>
      <w:r>
        <w:t xml:space="preserve">2013, p. 12) may be what is often his issue with Douglas’s own work. Among the ways </w:t>
      </w:r>
      <w:r>
        <w:lastRenderedPageBreak/>
        <w:t>that Campkin suggests Douglas’s work can be complemented better by Post-Structuralist accounts and “the psychoanalytic notion of the abject and recent neo-Marxian scholarship on the production of urban nature” (</w:t>
      </w:r>
      <w:r w:rsidR="00581BC2">
        <w:t xml:space="preserve">Campkin, </w:t>
      </w:r>
      <w:r>
        <w:t xml:space="preserve">2013, p. 1). </w:t>
      </w:r>
      <w:r w:rsidRPr="00F07C11">
        <w:t xml:space="preserve">What this would mean is that in looking at again the role that Marx and Forty suggested was there, but in a way with the presumption of an amalgam of other theories as well that were developed by Marx and Max Weber in the 1960s (Encyclopaedia Britannica, 2020). Other sources summarise it “‘there is … a conflict between social equality and the liberty of some people,’ but that should not stand in the way of ‘the pursuit of social equality, since a humane concern for liberty must first of all direct itself to the condition of those who enjoy hardly any of it” (Science Direct, 2020). </w:t>
      </w:r>
      <w:r w:rsidRPr="00F07C11">
        <w:br/>
        <w:t xml:space="preserve">Campkin as well as this also argues that as a matter of </w:t>
      </w:r>
      <w:r>
        <w:t>fact Douglas work was influential to the development of material culture studies with the anthropological field and that this is “intersecting in creative ways with the disciplines of architecture and architectural history” as for Campkin he regards this as being able to perceive that architectures has itself a role into social systems and some agency in relation to material culture (</w:t>
      </w:r>
      <w:r w:rsidR="00581BC2">
        <w:t xml:space="preserve">Campkin, </w:t>
      </w:r>
      <w:r>
        <w:t xml:space="preserve">2013, p. </w:t>
      </w:r>
      <w:r w:rsidR="00581BC2">
        <w:t>5</w:t>
      </w:r>
      <w:r>
        <w:t xml:space="preserve">). He also suggests that from the influence of her teacher Claude-Levi Strauss has been at the time she was writing criticising the categorisation of what was “deemed primitive societies in relation to modern western ones and was arguing for `commonalities` between the `savage` mind and the `civilised` mind” (Campkin, 2013, p. 6). </w:t>
      </w:r>
      <w:r w:rsidRPr="00F07C11">
        <w:t xml:space="preserve">Which I would suggest makes sense when looking at Mary Douglas’ purpose for writing the book and it contextualises her use of the word `primitive` in the introduction.  </w:t>
      </w:r>
      <w:r w:rsidRPr="00F07C11">
        <w:br/>
        <w:t>Campkin does argue that Douglas’s work has positively influenced architecture, citing for example Victor Buchli and Gavin Lucas 2001 book, Archaeologies of the Contemporary Past (</w:t>
      </w:r>
      <w:r w:rsidR="00581BC2" w:rsidRPr="00F07C11">
        <w:t xml:space="preserve">Campkin, </w:t>
      </w:r>
      <w:r w:rsidRPr="00F07C11">
        <w:t>2013, p. 5), but similar to Spiro’s scepticism on whether Douglas’s views of the subliminal influence dirt has on us, I am uncertain of whether any architecture designed with her theory in play as a factor will have any difference. I am unsure for instance about what the extent of the popularity or demand there would be from the wider public as well. It would if it had any appeal most likely be limited to those who could recognise and comprehend the influence behind any such design – perhaps more professional critics rather than the layperson.</w:t>
      </w:r>
      <w:r w:rsidRPr="00F07C11">
        <w:br/>
      </w:r>
      <w:r>
        <w:t>And while he recognises that for instance Douglas ideas have undergone Freudian and post-Freudian psychoanalysis, Campkin feels that it has been limited to just very specific areas of hygiene – and hasn’t been extended to a wider social analysis at all (</w:t>
      </w:r>
      <w:r w:rsidR="00581BC2">
        <w:t xml:space="preserve">Campkin, </w:t>
      </w:r>
      <w:r>
        <w:t xml:space="preserve">2013, p. 14).  </w:t>
      </w:r>
    </w:p>
    <w:p w14:paraId="12B0F63B" w14:textId="71260EC1" w:rsidR="00C72284" w:rsidRDefault="00C72284" w:rsidP="00C72284">
      <w:r>
        <w:t>In conclusion, I think that Douglas’s work</w:t>
      </w:r>
      <w:r w:rsidR="00EA048B">
        <w:t xml:space="preserve"> has some interesting concepts that could be explored. However, shortcomings</w:t>
      </w:r>
      <w:r w:rsidR="00E75427">
        <w:t xml:space="preserve"> with her methodology demonstrate that anthropological scholarship could definitely be improved – through possibly more rigorous and critical methodology that allows one to explore the actual effects of understanding not just social ideas – but scholarly and academic ideas about those social ideas as well.</w:t>
      </w:r>
    </w:p>
    <w:p w14:paraId="5FA2B8BE" w14:textId="7887D38F" w:rsidR="00C72284" w:rsidRDefault="00C72284" w:rsidP="00C72284"/>
    <w:p w14:paraId="2E681D63" w14:textId="77777777" w:rsidR="00F07C11" w:rsidRDefault="00F07C11" w:rsidP="00C72284">
      <w:pPr>
        <w:rPr>
          <w:u w:val="single"/>
        </w:rPr>
      </w:pPr>
    </w:p>
    <w:p w14:paraId="7F98914C" w14:textId="77777777" w:rsidR="00F07C11" w:rsidRDefault="00F07C11" w:rsidP="00C72284">
      <w:pPr>
        <w:rPr>
          <w:u w:val="single"/>
        </w:rPr>
      </w:pPr>
    </w:p>
    <w:p w14:paraId="1445B9A8" w14:textId="77777777" w:rsidR="00F07C11" w:rsidRDefault="00F07C11" w:rsidP="00C72284">
      <w:pPr>
        <w:rPr>
          <w:u w:val="single"/>
        </w:rPr>
      </w:pPr>
    </w:p>
    <w:p w14:paraId="018D1861" w14:textId="77777777" w:rsidR="00F07C11" w:rsidRDefault="00F07C11" w:rsidP="00C72284">
      <w:pPr>
        <w:rPr>
          <w:u w:val="single"/>
        </w:rPr>
      </w:pPr>
    </w:p>
    <w:p w14:paraId="47ABD6B7" w14:textId="77777777" w:rsidR="00F07C11" w:rsidRDefault="00F07C11" w:rsidP="00C72284">
      <w:pPr>
        <w:rPr>
          <w:u w:val="single"/>
        </w:rPr>
      </w:pPr>
    </w:p>
    <w:p w14:paraId="4225670C" w14:textId="77777777" w:rsidR="00F07C11" w:rsidRDefault="00F07C11" w:rsidP="00C72284">
      <w:pPr>
        <w:rPr>
          <w:u w:val="single"/>
        </w:rPr>
      </w:pPr>
    </w:p>
    <w:p w14:paraId="7859B3F3" w14:textId="77777777" w:rsidR="00F07C11" w:rsidRDefault="00F07C11" w:rsidP="00C72284">
      <w:pPr>
        <w:rPr>
          <w:u w:val="single"/>
        </w:rPr>
      </w:pPr>
    </w:p>
    <w:p w14:paraId="46E07B37" w14:textId="51384FC9" w:rsidR="00C72284" w:rsidRPr="00C72284" w:rsidRDefault="00C72284" w:rsidP="00C72284">
      <w:pPr>
        <w:rPr>
          <w:u w:val="single"/>
        </w:rPr>
      </w:pPr>
      <w:r w:rsidRPr="00C72284">
        <w:rPr>
          <w:u w:val="single"/>
        </w:rPr>
        <w:lastRenderedPageBreak/>
        <w:t>Bibliography:</w:t>
      </w:r>
    </w:p>
    <w:p w14:paraId="2CE3BBBB" w14:textId="77777777" w:rsidR="00C72284" w:rsidRPr="00B54C21" w:rsidRDefault="00C72284" w:rsidP="00C72284">
      <w:pPr>
        <w:pStyle w:val="ListParagraph"/>
        <w:numPr>
          <w:ilvl w:val="0"/>
          <w:numId w:val="2"/>
        </w:numPr>
      </w:pPr>
      <w:r>
        <w:rPr>
          <w:rFonts w:cstheme="minorHAnsi"/>
        </w:rPr>
        <w:t xml:space="preserve">Campkin, B. (2013) `Placing “matter out of place”: Purity and Danger as Evidence for Architecture and Urbanism`, </w:t>
      </w:r>
      <w:r>
        <w:rPr>
          <w:rFonts w:cstheme="minorHAnsi"/>
          <w:i/>
          <w:iCs/>
        </w:rPr>
        <w:t>Architectural Theory Review</w:t>
      </w:r>
      <w:r>
        <w:rPr>
          <w:rFonts w:cstheme="minorHAnsi"/>
        </w:rPr>
        <w:t xml:space="preserve">, 18 (1), p. 46-61. </w:t>
      </w:r>
    </w:p>
    <w:p w14:paraId="37A5CB1A" w14:textId="77777777" w:rsidR="00C72284" w:rsidRDefault="00C72284" w:rsidP="00C72284">
      <w:pPr>
        <w:pStyle w:val="ListParagraph"/>
        <w:numPr>
          <w:ilvl w:val="0"/>
          <w:numId w:val="2"/>
        </w:numPr>
      </w:pPr>
      <w:r>
        <w:t xml:space="preserve">Collins, J. (2003) `Miracles, Intelligent Design, and God-of-the-Gaps`, </w:t>
      </w:r>
      <w:r>
        <w:rPr>
          <w:i/>
          <w:iCs/>
        </w:rPr>
        <w:t>Perspectives on Science and Christian Faith</w:t>
      </w:r>
      <w:r>
        <w:t>, 55 (1), pp. 22-29.</w:t>
      </w:r>
    </w:p>
    <w:p w14:paraId="6E6D79F0" w14:textId="77777777" w:rsidR="00C72284" w:rsidRDefault="00C72284" w:rsidP="00C72284">
      <w:pPr>
        <w:pStyle w:val="ListParagraph"/>
        <w:numPr>
          <w:ilvl w:val="0"/>
          <w:numId w:val="2"/>
        </w:numPr>
      </w:pPr>
      <w:r>
        <w:t xml:space="preserve">Douglas, M. (1966) </w:t>
      </w:r>
      <w:r>
        <w:rPr>
          <w:i/>
          <w:iCs/>
        </w:rPr>
        <w:t>Purity and Danger: An Analysis of the concepts of pollution and taboo</w:t>
      </w:r>
      <w:r>
        <w:t>. Routledge: London and New York</w:t>
      </w:r>
    </w:p>
    <w:p w14:paraId="0741A6BE" w14:textId="10353F6E" w:rsidR="00F40AC3" w:rsidRDefault="00F40AC3" w:rsidP="00C72284">
      <w:pPr>
        <w:pStyle w:val="ListParagraph"/>
        <w:numPr>
          <w:ilvl w:val="0"/>
          <w:numId w:val="2"/>
        </w:numPr>
      </w:pPr>
      <w:r>
        <w:t xml:space="preserve">Encyclopaedia Britannica (2020) </w:t>
      </w:r>
      <w:r>
        <w:rPr>
          <w:i/>
        </w:rPr>
        <w:t>Deconstructivism.</w:t>
      </w:r>
      <w:r>
        <w:rPr>
          <w:iCs/>
        </w:rPr>
        <w:t xml:space="preserve"> Available at: </w:t>
      </w:r>
      <w:hyperlink r:id="rId5" w:history="1">
        <w:r w:rsidRPr="00F40AC3">
          <w:rPr>
            <w:color w:val="0000FF"/>
            <w:u w:val="single"/>
          </w:rPr>
          <w:t>https://www.britannica.com/topic/deconstruction</w:t>
        </w:r>
      </w:hyperlink>
      <w:r>
        <w:t xml:space="preserve"> (Accessed 18th May 2020)</w:t>
      </w:r>
    </w:p>
    <w:p w14:paraId="78EBCFB0" w14:textId="14C5E728" w:rsidR="00C72284" w:rsidRDefault="00C72284" w:rsidP="00C72284">
      <w:pPr>
        <w:pStyle w:val="ListParagraph"/>
        <w:numPr>
          <w:ilvl w:val="0"/>
          <w:numId w:val="2"/>
        </w:numPr>
      </w:pPr>
      <w:r>
        <w:t xml:space="preserve">Encyclopaedia Britannica (2020) </w:t>
      </w:r>
      <w:r>
        <w:rPr>
          <w:i/>
          <w:iCs/>
        </w:rPr>
        <w:t>Structuralism</w:t>
      </w:r>
      <w:r w:rsidRPr="007B0A4B">
        <w:t xml:space="preserve">. </w:t>
      </w:r>
      <w:r>
        <w:t xml:space="preserve">Available at: </w:t>
      </w:r>
      <w:hyperlink r:id="rId6" w:history="1">
        <w:r>
          <w:rPr>
            <w:rStyle w:val="Hyperlink"/>
          </w:rPr>
          <w:t>https://www.britannica.com/science/structuralism-anthropology</w:t>
        </w:r>
      </w:hyperlink>
      <w:r>
        <w:t xml:space="preserve"> (Accessed 15th May 2020)</w:t>
      </w:r>
    </w:p>
    <w:p w14:paraId="098B9B89" w14:textId="77777777" w:rsidR="00C72284" w:rsidRDefault="00C72284" w:rsidP="00C72284">
      <w:pPr>
        <w:pStyle w:val="ListParagraph"/>
        <w:numPr>
          <w:ilvl w:val="0"/>
          <w:numId w:val="2"/>
        </w:numPr>
      </w:pPr>
      <w:r>
        <w:t xml:space="preserve">Encyclopaedia Britannica (2020) </w:t>
      </w:r>
      <w:r>
        <w:rPr>
          <w:i/>
        </w:rPr>
        <w:t>Sociology</w:t>
      </w:r>
      <w:r>
        <w:rPr>
          <w:iCs/>
        </w:rPr>
        <w:t xml:space="preserve">. Available at: </w:t>
      </w:r>
      <w:hyperlink r:id="rId7" w:anchor="ref748628" w:history="1">
        <w:r w:rsidRPr="00451A0B">
          <w:rPr>
            <w:color w:val="0000FF"/>
            <w:u w:val="single"/>
          </w:rPr>
          <w:t>https://www.britannica.com/topic/sociology/Replacing-Darwinist-determinism#ref748628</w:t>
        </w:r>
      </w:hyperlink>
      <w:r>
        <w:t xml:space="preserve"> (Accessed 18</w:t>
      </w:r>
      <w:r w:rsidRPr="00451A0B">
        <w:rPr>
          <w:vertAlign w:val="superscript"/>
        </w:rPr>
        <w:t>th</w:t>
      </w:r>
      <w:r>
        <w:t xml:space="preserve"> May 2020)</w:t>
      </w:r>
    </w:p>
    <w:p w14:paraId="4BDA8F57" w14:textId="77777777" w:rsidR="00C72284" w:rsidRDefault="00C72284" w:rsidP="00C72284">
      <w:pPr>
        <w:pStyle w:val="ListParagraph"/>
        <w:numPr>
          <w:ilvl w:val="0"/>
          <w:numId w:val="2"/>
        </w:numPr>
      </w:pPr>
      <w:r>
        <w:t>Kesebir, S. (2012) `The Superorganism Account of Human Sociality: How and When Human Groups Are Like Beehives`</w:t>
      </w:r>
      <w:r w:rsidRPr="000E4C02">
        <w:t xml:space="preserve"> </w:t>
      </w:r>
      <w:r w:rsidRPr="000E4C02">
        <w:rPr>
          <w:i/>
          <w:iCs/>
        </w:rPr>
        <w:t>Personality and Social Psychology Review</w:t>
      </w:r>
      <w:r>
        <w:t>, 16(3), pp. 233–261</w:t>
      </w:r>
    </w:p>
    <w:p w14:paraId="1AB9DBC4" w14:textId="77777777" w:rsidR="00C72284" w:rsidRDefault="00C72284" w:rsidP="00C72284">
      <w:pPr>
        <w:pStyle w:val="ListParagraph"/>
        <w:numPr>
          <w:ilvl w:val="0"/>
          <w:numId w:val="2"/>
        </w:numPr>
      </w:pPr>
      <w:r>
        <w:t xml:space="preserve">Science Direct (2020) </w:t>
      </w:r>
      <w:r>
        <w:rPr>
          <w:i/>
          <w:iCs/>
        </w:rPr>
        <w:t>Neo-</w:t>
      </w:r>
      <w:r w:rsidRPr="008A4AC9">
        <w:rPr>
          <w:i/>
          <w:iCs/>
        </w:rPr>
        <w:t>Marxism</w:t>
      </w:r>
      <w:r>
        <w:t xml:space="preserve">. </w:t>
      </w:r>
      <w:r w:rsidRPr="008A4AC9">
        <w:t>Available</w:t>
      </w:r>
      <w:r>
        <w:t xml:space="preserve"> at: </w:t>
      </w:r>
      <w:hyperlink r:id="rId8" w:history="1">
        <w:r w:rsidRPr="00126684">
          <w:rPr>
            <w:rStyle w:val="Hyperlink"/>
          </w:rPr>
          <w:t>https://www.sciencedirect.com/topics/social-sciences/neo-marxism</w:t>
        </w:r>
      </w:hyperlink>
      <w:r>
        <w:t xml:space="preserve"> (Accessed 18th May 2020)  </w:t>
      </w:r>
    </w:p>
    <w:p w14:paraId="6730BBE7" w14:textId="77777777" w:rsidR="00C72284" w:rsidRDefault="00C72284" w:rsidP="00C72284">
      <w:pPr>
        <w:pStyle w:val="ListParagraph"/>
        <w:numPr>
          <w:ilvl w:val="0"/>
          <w:numId w:val="2"/>
        </w:numPr>
      </w:pPr>
      <w:r>
        <w:t xml:space="preserve">Spiro, M. E. (1968) </w:t>
      </w:r>
      <w:r w:rsidRPr="00276B5B">
        <w:rPr>
          <w:rFonts w:cstheme="minorHAnsi"/>
        </w:rPr>
        <w:t>`</w:t>
      </w:r>
      <w:r w:rsidRPr="00276B5B">
        <w:rPr>
          <w:rFonts w:cstheme="minorHAnsi"/>
          <w:sz w:val="21"/>
          <w:szCs w:val="21"/>
          <w:shd w:val="clear" w:color="auto" w:fill="FFFFFF"/>
        </w:rPr>
        <w:t>Reviewed Work: </w:t>
      </w:r>
      <w:r w:rsidRPr="00276B5B">
        <w:rPr>
          <w:rStyle w:val="HTMLCite"/>
          <w:rFonts w:cstheme="minorHAnsi"/>
          <w:sz w:val="21"/>
          <w:szCs w:val="21"/>
          <w:shd w:val="clear" w:color="auto" w:fill="FFFFFF"/>
        </w:rPr>
        <w:t>Purity and Danger: An Analysis of Concepts of Pollution and Taboo</w:t>
      </w:r>
      <w:r w:rsidRPr="00276B5B">
        <w:rPr>
          <w:rStyle w:val="HTMLCite"/>
          <w:rFonts w:cstheme="minorHAnsi"/>
          <w:i w:val="0"/>
          <w:iCs w:val="0"/>
          <w:sz w:val="21"/>
          <w:szCs w:val="21"/>
          <w:shd w:val="clear" w:color="auto" w:fill="FFFFFF"/>
        </w:rPr>
        <w:t xml:space="preserve">`, </w:t>
      </w:r>
      <w:r w:rsidRPr="00276B5B">
        <w:rPr>
          <w:rStyle w:val="HTMLCite"/>
          <w:rFonts w:cstheme="minorHAnsi"/>
          <w:sz w:val="21"/>
          <w:szCs w:val="21"/>
          <w:shd w:val="clear" w:color="auto" w:fill="FFFFFF"/>
        </w:rPr>
        <w:t>American Anthropologist</w:t>
      </w:r>
      <w:r w:rsidRPr="00276B5B">
        <w:rPr>
          <w:rStyle w:val="HTMLCite"/>
          <w:rFonts w:cstheme="minorHAnsi"/>
          <w:i w:val="0"/>
          <w:iCs w:val="0"/>
          <w:sz w:val="21"/>
          <w:szCs w:val="21"/>
          <w:shd w:val="clear" w:color="auto" w:fill="FFFFFF"/>
        </w:rPr>
        <w:t>, 70 (2), pp. 391-393</w:t>
      </w:r>
      <w:r w:rsidRPr="00276B5B">
        <w:t xml:space="preserve"> </w:t>
      </w:r>
    </w:p>
    <w:p w14:paraId="53A5749E" w14:textId="77777777" w:rsidR="00C72284" w:rsidRDefault="00C72284" w:rsidP="00C72284">
      <w:pPr>
        <w:pStyle w:val="ListParagraph"/>
        <w:numPr>
          <w:ilvl w:val="0"/>
          <w:numId w:val="2"/>
        </w:numPr>
      </w:pPr>
      <w:r>
        <w:t>Tang, X. &amp; Chen, W. &amp; Wu, T. (2018) `</w:t>
      </w:r>
      <w:r w:rsidRPr="00B16C38">
        <w:t>Do Authoritarian Governments Respond to Public Opinion on the Environment? Evidence from China</w:t>
      </w:r>
      <w:r>
        <w:t xml:space="preserve">`, </w:t>
      </w:r>
      <w:r w:rsidRPr="00276B5B">
        <w:rPr>
          <w:i/>
          <w:iCs/>
        </w:rPr>
        <w:t>International Journal of Environmental Research and Public Health</w:t>
      </w:r>
      <w:r>
        <w:t xml:space="preserve">, 15 (2), pp. 1-15 </w:t>
      </w:r>
    </w:p>
    <w:p w14:paraId="325FE23C" w14:textId="77777777" w:rsidR="00C72284" w:rsidRPr="00C72284" w:rsidRDefault="00C72284" w:rsidP="00C72284"/>
    <w:sectPr w:rsidR="00C72284" w:rsidRPr="00C722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5F6468"/>
    <w:multiLevelType w:val="hybridMultilevel"/>
    <w:tmpl w:val="A29E236E"/>
    <w:lvl w:ilvl="0" w:tplc="E82CA55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BFC141B"/>
    <w:multiLevelType w:val="hybridMultilevel"/>
    <w:tmpl w:val="416C5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5CA"/>
    <w:rsid w:val="001660C2"/>
    <w:rsid w:val="001D7E58"/>
    <w:rsid w:val="002408D3"/>
    <w:rsid w:val="004E0D45"/>
    <w:rsid w:val="00512635"/>
    <w:rsid w:val="00581BC2"/>
    <w:rsid w:val="008A46B4"/>
    <w:rsid w:val="00AA25CA"/>
    <w:rsid w:val="00C72284"/>
    <w:rsid w:val="00E06FE5"/>
    <w:rsid w:val="00E75427"/>
    <w:rsid w:val="00EA048B"/>
    <w:rsid w:val="00F07C11"/>
    <w:rsid w:val="00F26F58"/>
    <w:rsid w:val="00F40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61E6A"/>
  <w15:chartTrackingRefBased/>
  <w15:docId w15:val="{DFB35FD9-A8B6-45FD-9B5B-5CDD3C349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284"/>
    <w:pPr>
      <w:ind w:left="720"/>
      <w:contextualSpacing/>
    </w:pPr>
  </w:style>
  <w:style w:type="character" w:styleId="HTMLCite">
    <w:name w:val="HTML Cite"/>
    <w:basedOn w:val="DefaultParagraphFont"/>
    <w:uiPriority w:val="99"/>
    <w:semiHidden/>
    <w:unhideWhenUsed/>
    <w:rsid w:val="00C72284"/>
    <w:rPr>
      <w:i/>
      <w:iCs/>
    </w:rPr>
  </w:style>
  <w:style w:type="character" w:styleId="Hyperlink">
    <w:name w:val="Hyperlink"/>
    <w:basedOn w:val="DefaultParagraphFont"/>
    <w:uiPriority w:val="99"/>
    <w:unhideWhenUsed/>
    <w:rsid w:val="00C722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628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social-sciences/neo-marxism" TargetMode="External"/><Relationship Id="rId3" Type="http://schemas.openxmlformats.org/officeDocument/2006/relationships/settings" Target="settings.xml"/><Relationship Id="rId7" Type="http://schemas.openxmlformats.org/officeDocument/2006/relationships/hyperlink" Target="https://www.britannica.com/topic/sociology/Replacing-Darwinist-determini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science/structuralism-anthropology" TargetMode="External"/><Relationship Id="rId5" Type="http://schemas.openxmlformats.org/officeDocument/2006/relationships/hyperlink" Target="https://www.britannica.com/topic/deconstruc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8</Pages>
  <Words>4665</Words>
  <Characters>26592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9</cp:revision>
  <dcterms:created xsi:type="dcterms:W3CDTF">2020-05-17T22:49:00Z</dcterms:created>
  <dcterms:modified xsi:type="dcterms:W3CDTF">2020-05-18T22:24:00Z</dcterms:modified>
</cp:coreProperties>
</file>