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03BDD6" w14:textId="638FED1B" w:rsidR="00FB1572" w:rsidRDefault="006D5D4D">
      <w:bookmarkStart w:id="0" w:name="_GoBack"/>
      <w:bookmarkEnd w:id="0"/>
      <w:r>
        <w:t>Critically assess the argument presented by Judith Jarvis Thomson in her paper “A Defence of Abortion”</w:t>
      </w:r>
    </w:p>
    <w:p w14:paraId="3AD44650" w14:textId="3671A759" w:rsidR="006D5D4D" w:rsidRDefault="002B6A45">
      <w:r>
        <w:t xml:space="preserve"> </w:t>
      </w:r>
    </w:p>
    <w:p w14:paraId="427DC42E" w14:textId="2471FFC5" w:rsidR="006D5D4D" w:rsidRDefault="009740BD">
      <w:r>
        <w:t>Judith Jarvis Thomson was a moral realist, known for her perspectives on moral objectivity. She w</w:t>
      </w:r>
      <w:r w:rsidR="00D46A80">
        <w:t>as</w:t>
      </w:r>
      <w:r>
        <w:t xml:space="preserve"> as well aware of the conservative view of abortion and of the premises it relies upon – the idea that the unborn f</w:t>
      </w:r>
      <w:r w:rsidR="00F8435E">
        <w:t>o</w:t>
      </w:r>
      <w:r>
        <w:t>etus has as much intrinsic moral value, and therefore the same moral rights as the mother or any living adult for that matter, and as such she attempted to defend her view on abortion on those conservative principles even though these were not her own views. Rather, even though she did not necessarily believe that the unborn f</w:t>
      </w:r>
      <w:r w:rsidR="00F8435E">
        <w:t>o</w:t>
      </w:r>
      <w:r>
        <w:t>etus does have as much moral value as the mother,</w:t>
      </w:r>
      <w:r w:rsidR="00F8435E">
        <w:t xml:space="preserve"> for the sake of her essay</w:t>
      </w:r>
      <w:r>
        <w:t xml:space="preserve"> she assumed they did and attempted to defend abortion on the intrinsic right to control one’s body.</w:t>
      </w:r>
      <w:r w:rsidR="009F7262">
        <w:t xml:space="preserve"> A she states in h</w:t>
      </w:r>
      <w:r w:rsidR="00366990">
        <w:t>e</w:t>
      </w:r>
      <w:r w:rsidR="009F7262">
        <w:t>r paper – “Every person has a right to life. So the foetus has a life. No doubt the mother has a right decide what shall happen in and to her body; everyone would grant that. But surely a person’s right to life to life is stronger and more stringent than the mother’s right to decide what happens to and in her body, and so outweighs it. So the foetus may not be killed; an abortion may not be performed</w:t>
      </w:r>
      <w:r w:rsidR="00696096">
        <w:t>”</w:t>
      </w:r>
      <w:r w:rsidR="00366990">
        <w:rPr>
          <w:rStyle w:val="FootnoteReference"/>
        </w:rPr>
        <w:footnoteReference w:id="1"/>
      </w:r>
      <w:r w:rsidR="009F7262">
        <w:t>.</w:t>
      </w:r>
      <w:r>
        <w:t xml:space="preserve"> This is unlike many of her liberal thinking contemporaries whose defences on abortion relied heavily upon denying the personhood of the f</w:t>
      </w:r>
      <w:r w:rsidR="00F8435E">
        <w:t>o</w:t>
      </w:r>
      <w:r>
        <w:t>etus. This 1971 essay of hers is her most famous</w:t>
      </w:r>
      <w:r w:rsidR="00000F0A">
        <w:t>.</w:t>
      </w:r>
      <w:r w:rsidR="00E77303">
        <w:t xml:space="preserve"> </w:t>
      </w:r>
      <w:r w:rsidR="00F94EF6">
        <w:t>In this essay I ill not be drawing upon all of her analogies</w:t>
      </w:r>
      <w:r w:rsidR="00D46A80">
        <w:t xml:space="preserve"> or even necessarily explaining them in detail</w:t>
      </w:r>
      <w:r w:rsidR="00F94EF6">
        <w:t xml:space="preserve"> but instead addressing the philosophical implications of her argument in a broader context</w:t>
      </w:r>
      <w:r w:rsidR="000C4620">
        <w:t xml:space="preserve">, fairly frequently referring to Rosalind </w:t>
      </w:r>
      <w:proofErr w:type="spellStart"/>
      <w:r w:rsidR="000C4620">
        <w:t>Hurthouse</w:t>
      </w:r>
      <w:proofErr w:type="spellEnd"/>
      <w:r w:rsidR="000C4620">
        <w:t xml:space="preserve"> in his book “Beginning Lives”, where he attacks </w:t>
      </w:r>
      <w:proofErr w:type="spellStart"/>
      <w:r w:rsidR="000C4620">
        <w:t>Thomsons</w:t>
      </w:r>
      <w:proofErr w:type="spellEnd"/>
      <w:r w:rsidR="000C4620">
        <w:t xml:space="preserve"> arguments.</w:t>
      </w:r>
    </w:p>
    <w:p w14:paraId="4047AFE2" w14:textId="0598CCD0" w:rsidR="00D740AC" w:rsidRDefault="00614429">
      <w:r>
        <w:t xml:space="preserve">The most obvious </w:t>
      </w:r>
      <w:r w:rsidR="00D740AC">
        <w:t xml:space="preserve">drawback of </w:t>
      </w:r>
      <w:proofErr w:type="spellStart"/>
      <w:r w:rsidR="00D740AC">
        <w:t>Thomsons</w:t>
      </w:r>
      <w:proofErr w:type="spellEnd"/>
      <w:r w:rsidR="00D740AC">
        <w:t xml:space="preserve"> paper</w:t>
      </w:r>
      <w:r>
        <w:t xml:space="preserve"> </w:t>
      </w:r>
      <w:r w:rsidR="00D740AC">
        <w:t xml:space="preserve">is that it is so heavy on analogies. Analogies in general as a tool to accommodate philosophical debates are often very useful and actually </w:t>
      </w:r>
      <w:proofErr w:type="spellStart"/>
      <w:r w:rsidR="00D740AC">
        <w:t>nec</w:t>
      </w:r>
      <w:r>
        <w:t>c</w:t>
      </w:r>
      <w:r w:rsidR="00D740AC">
        <w:t>e</w:t>
      </w:r>
      <w:r>
        <w:t>s</w:t>
      </w:r>
      <w:r w:rsidR="00D740AC">
        <w:t>sary</w:t>
      </w:r>
      <w:proofErr w:type="spellEnd"/>
      <w:r w:rsidR="00D740AC">
        <w:t xml:space="preserve"> to</w:t>
      </w:r>
      <w:r>
        <w:t xml:space="preserve"> highlight </w:t>
      </w:r>
      <w:r w:rsidR="00D740AC">
        <w:t>the mental logical discourse that a person takes when analysing any issue. However in the particular issue of abortion, we could argue this is considerably more problematic. The reason for this is because pregnancy, everyone can acknowledge is such a unique situation. It is the process by which we are all brought into the world, the reason why we can even be in a place to comment on anything, including the topic of abortion.</w:t>
      </w:r>
    </w:p>
    <w:p w14:paraId="4216F3A3" w14:textId="300F6A9A" w:rsidR="00D46A80" w:rsidRDefault="00F8435E">
      <w:r>
        <w:t xml:space="preserve">Rosalind </w:t>
      </w:r>
      <w:proofErr w:type="spellStart"/>
      <w:r>
        <w:t>Hurthouse</w:t>
      </w:r>
      <w:proofErr w:type="spellEnd"/>
      <w:r>
        <w:t xml:space="preserve"> was one of mo</w:t>
      </w:r>
      <w:r w:rsidR="001E7A42">
        <w:t>re</w:t>
      </w:r>
      <w:r>
        <w:t xml:space="preserve"> critical writers on the subject of Thomson’s paper. Like myself, he took issue with Thompsons heavy dependence on analogy, specifically pointing out in the scenario of </w:t>
      </w:r>
      <w:r w:rsidR="00366990">
        <w:t>people breaking into a person’s house</w:t>
      </w:r>
      <w:r>
        <w:t xml:space="preserve"> that it </w:t>
      </w:r>
      <w:r w:rsidRPr="00366990">
        <w:rPr>
          <w:i/>
        </w:rPr>
        <w:t>misses out on the crucial aspect of foetus being dependent on the use of the woman’s body for survival.</w:t>
      </w:r>
      <w:r w:rsidR="00366990">
        <w:rPr>
          <w:rStyle w:val="FootnoteReference"/>
        </w:rPr>
        <w:footnoteReference w:id="2"/>
      </w:r>
      <w:r>
        <w:t xml:space="preserve"> This isn’t something that her first and most famo</w:t>
      </w:r>
      <w:r w:rsidR="00E33A1A">
        <w:t>u</w:t>
      </w:r>
      <w:r>
        <w:t xml:space="preserve">s analogy is guilty of, that of the violinist attached to an </w:t>
      </w:r>
      <w:proofErr w:type="spellStart"/>
      <w:r>
        <w:t>unconsenting</w:t>
      </w:r>
      <w:proofErr w:type="spellEnd"/>
      <w:r>
        <w:t xml:space="preserve"> person</w:t>
      </w:r>
      <w:r w:rsidR="00366990">
        <w:t xml:space="preserve"> for the violinist to survive</w:t>
      </w:r>
      <w:r>
        <w:t xml:space="preserve"> </w:t>
      </w:r>
      <w:r w:rsidR="00E33A1A">
        <w:t>but then this analogy does not take into account that it is something else entirely to be taken without consent and have your body attached to another person, even to save a life.</w:t>
      </w:r>
      <w:r w:rsidR="00D46A80">
        <w:t xml:space="preserve"> If this were merely </w:t>
      </w:r>
      <w:r w:rsidR="00A33C2E">
        <w:t xml:space="preserve">a defence of abortion as a consequence of rape, it does seem very reasonable and </w:t>
      </w:r>
      <w:proofErr w:type="gramStart"/>
      <w:r w:rsidR="00A33C2E">
        <w:t>on</w:t>
      </w:r>
      <w:proofErr w:type="gramEnd"/>
      <w:r w:rsidR="00A33C2E">
        <w:t xml:space="preserve"> a pure emotional level it </w:t>
      </w:r>
      <w:r w:rsidR="004356A1">
        <w:t>is certainly more than satisfactory.</w:t>
      </w:r>
      <w:r w:rsidR="00A33C2E">
        <w:t xml:space="preserve"> Even the vast majority of </w:t>
      </w:r>
      <w:r w:rsidR="00D46A80">
        <w:t>“</w:t>
      </w:r>
      <w:r w:rsidR="00A33C2E">
        <w:t>pro-lifers</w:t>
      </w:r>
      <w:r w:rsidR="00D46A80">
        <w:t xml:space="preserve">” </w:t>
      </w:r>
      <w:r w:rsidR="00A33C2E">
        <w:t xml:space="preserve">would defend abortion in the case of rape. What this seems to imply also that if the scenario for the woman is painful </w:t>
      </w:r>
      <w:r w:rsidR="00D46A80">
        <w:t>to a certain degree,</w:t>
      </w:r>
      <w:r w:rsidR="00A33C2E">
        <w:t xml:space="preserve"> the pain of t</w:t>
      </w:r>
      <w:r w:rsidR="00DF0757">
        <w:t>he mo</w:t>
      </w:r>
      <w:r w:rsidR="00A33C2E">
        <w:t xml:space="preserve">ther outweighs whatever potentiality and individual moral status of the foetus </w:t>
      </w:r>
      <w:r w:rsidR="00D46A80">
        <w:t xml:space="preserve">and therefore the foetus can be killed. </w:t>
      </w:r>
      <w:r w:rsidR="00A33C2E">
        <w:t xml:space="preserve">But </w:t>
      </w:r>
      <w:r w:rsidR="004356A1">
        <w:t xml:space="preserve">the reasoning for </w:t>
      </w:r>
      <w:r w:rsidR="004356A1">
        <w:lastRenderedPageBreak/>
        <w:t xml:space="preserve">this defence </w:t>
      </w:r>
      <w:r w:rsidR="00F94EF6">
        <w:t>at a deeper level</w:t>
      </w:r>
      <w:r w:rsidR="00D46A80">
        <w:t xml:space="preserve">, </w:t>
      </w:r>
      <w:r w:rsidR="00F94EF6">
        <w:t>in harmony with what Thompson was herself addressing</w:t>
      </w:r>
      <w:r w:rsidR="00D46A80">
        <w:t>,</w:t>
      </w:r>
      <w:r w:rsidR="00F94EF6">
        <w:t xml:space="preserve"> was that</w:t>
      </w:r>
      <w:r w:rsidR="00A33C2E">
        <w:t xml:space="preserve"> that if the mother did not consent to intercourse that resulted in her getting pregnant, the foetus did not have a right to live in the first place and therefore the mother does not violate it’s right to life by killing it.</w:t>
      </w:r>
      <w:r w:rsidR="00AB53C2">
        <w:t xml:space="preserve"> This is certainly a component of Thompsons argument.</w:t>
      </w:r>
      <w:r w:rsidR="00A33C2E">
        <w:t xml:space="preserve"> A dangerous implication </w:t>
      </w:r>
      <w:r w:rsidR="00DF0757">
        <w:t xml:space="preserve">of this </w:t>
      </w:r>
      <w:r w:rsidR="00A33C2E">
        <w:t xml:space="preserve">justification </w:t>
      </w:r>
      <w:r w:rsidR="00DF0757">
        <w:t xml:space="preserve">however is that it </w:t>
      </w:r>
      <w:r w:rsidR="00A33C2E">
        <w:t xml:space="preserve">would also seems to allow for murder of </w:t>
      </w:r>
      <w:r w:rsidR="00DF0757">
        <w:t xml:space="preserve">children conceived of rape outside the womb, though this may seem pointless or simply not worth </w:t>
      </w:r>
      <w:r w:rsidR="00491EC3">
        <w:t>acknowledging</w:t>
      </w:r>
      <w:r w:rsidR="00DF0757">
        <w:t xml:space="preserve"> since it is not a</w:t>
      </w:r>
      <w:r w:rsidR="00491EC3">
        <w:t>n</w:t>
      </w:r>
      <w:r w:rsidR="00DF0757">
        <w:t xml:space="preserve"> epidemic or applicable to real life cases. Aborted children of rape are vastly aborted in the very early stages, pre-viability.</w:t>
      </w:r>
      <w:r w:rsidR="00491EC3">
        <w:t xml:space="preserve"> However that it does seem to imply</w:t>
      </w:r>
      <w:r w:rsidR="00DF0757">
        <w:t xml:space="preserve"> </w:t>
      </w:r>
      <w:r w:rsidR="00D46A80">
        <w:t xml:space="preserve">or at least </w:t>
      </w:r>
      <w:r w:rsidR="00DF0757">
        <w:t xml:space="preserve">seems to confirm my observation that abortion defendants do </w:t>
      </w:r>
      <w:r w:rsidR="00D46A80">
        <w:t xml:space="preserve">rely upon </w:t>
      </w:r>
      <w:r w:rsidR="00AB53C2">
        <w:t>on a culmination of arguments and not individually upon the development of the chid</w:t>
      </w:r>
      <w:r w:rsidR="00D46A80">
        <w:t xml:space="preserve"> by itself</w:t>
      </w:r>
      <w:r w:rsidR="00614429">
        <w:t xml:space="preserve"> or</w:t>
      </w:r>
      <w:r w:rsidR="00AB53C2">
        <w:t xml:space="preserve"> </w:t>
      </w:r>
      <w:proofErr w:type="spellStart"/>
      <w:proofErr w:type="gramStart"/>
      <w:r w:rsidR="00AB53C2">
        <w:t>it’s</w:t>
      </w:r>
      <w:proofErr w:type="spellEnd"/>
      <w:proofErr w:type="gramEnd"/>
      <w:r w:rsidR="00AB53C2">
        <w:t xml:space="preserve"> moral status and right to life</w:t>
      </w:r>
      <w:r w:rsidR="00D46A80">
        <w:t xml:space="preserve"> by itself</w:t>
      </w:r>
      <w:r w:rsidR="00AB53C2">
        <w:t xml:space="preserve"> or the moral status of the mother</w:t>
      </w:r>
      <w:r w:rsidR="00D46A80">
        <w:t>, by itself</w:t>
      </w:r>
      <w:r w:rsidR="00AB53C2">
        <w:t xml:space="preserve">. </w:t>
      </w:r>
      <w:r w:rsidR="00D46A80">
        <w:t xml:space="preserve">But we </w:t>
      </w:r>
      <w:proofErr w:type="spellStart"/>
      <w:r w:rsidR="00D46A80">
        <w:t>we</w:t>
      </w:r>
      <w:proofErr w:type="spellEnd"/>
      <w:r w:rsidR="00D46A80">
        <w:t xml:space="preserve"> could also level such a criticism at the conservative view since many people with the conservative view</w:t>
      </w:r>
      <w:r w:rsidR="00AB53C2">
        <w:t xml:space="preserve"> do make an exception in the case of rape, or so do many of them, including U. S politician Ted Cruz</w:t>
      </w:r>
      <w:r w:rsidR="00491EC3">
        <w:t xml:space="preserve">. </w:t>
      </w:r>
      <w:r w:rsidR="00D46A80">
        <w:t xml:space="preserve">Clearly they are somewhat inconsistent in their thinking of the issue as well. So the debate is not just about the moral or </w:t>
      </w:r>
      <w:proofErr w:type="spellStart"/>
      <w:r w:rsidR="00D46A80">
        <w:t>non moral</w:t>
      </w:r>
      <w:proofErr w:type="spellEnd"/>
      <w:r w:rsidR="00D46A80">
        <w:t xml:space="preserve"> status of the innocent child who is not responsible for </w:t>
      </w:r>
      <w:proofErr w:type="spellStart"/>
      <w:proofErr w:type="gramStart"/>
      <w:r w:rsidR="00D46A80">
        <w:t>it’s</w:t>
      </w:r>
      <w:proofErr w:type="spellEnd"/>
      <w:proofErr w:type="gramEnd"/>
      <w:r w:rsidR="00D46A80">
        <w:t xml:space="preserve"> conception? </w:t>
      </w:r>
    </w:p>
    <w:p w14:paraId="36B21F80" w14:textId="28B23DA3" w:rsidR="000C4620" w:rsidRDefault="000C4620">
      <w:r>
        <w:t xml:space="preserve">Thompson does not suggest that consent is what grants a foetus a right to use </w:t>
      </w:r>
      <w:proofErr w:type="spellStart"/>
      <w:proofErr w:type="gramStart"/>
      <w:r>
        <w:t>it’s</w:t>
      </w:r>
      <w:proofErr w:type="spellEnd"/>
      <w:proofErr w:type="gramEnd"/>
      <w:r>
        <w:t xml:space="preserve"> mothers body as </w:t>
      </w:r>
      <w:proofErr w:type="spellStart"/>
      <w:r>
        <w:t>Hurthouse</w:t>
      </w:r>
      <w:proofErr w:type="spellEnd"/>
      <w:r>
        <w:t xml:space="preserve"> points out but she does use analogies that speak to contraception – bars installed on windows to keep people out of a person’s home</w:t>
      </w:r>
      <w:r w:rsidR="00366990">
        <w:rPr>
          <w:rStyle w:val="FootnoteReference"/>
        </w:rPr>
        <w:footnoteReference w:id="3"/>
      </w:r>
      <w:r>
        <w:t xml:space="preserve">. Since she does do this, it seems fair to criticise her argument on the ground that during her paper, it would appear consent is essential for the right or non-right of a foetus to use the mother body. If we took this point of view, </w:t>
      </w:r>
      <w:r w:rsidR="00491EC3">
        <w:t>we would have to make an exception to abortion in the case of all scenarios on which the women did not expect to get pregnant</w:t>
      </w:r>
      <w:r w:rsidR="00A90142">
        <w:t>. This would include where</w:t>
      </w:r>
      <w:r w:rsidR="00491EC3">
        <w:t xml:space="preserve"> faulty contraception</w:t>
      </w:r>
      <w:r w:rsidR="00A90142">
        <w:t xml:space="preserve"> was used during intercourse</w:t>
      </w:r>
      <w:r w:rsidR="002D0234">
        <w:t>, or even a scenario in which there was some miscommunication about whether contraception was in fact being used. It could even apply to such a borderline implausible situation where an extremely naïve couple were unaware of the dangers of intercourse. So basing off the premise that consent is what grants the foetus to the right of the mothers body</w:t>
      </w:r>
      <w:r w:rsidR="00DF0757">
        <w:t xml:space="preserve">, </w:t>
      </w:r>
      <w:r w:rsidR="002D0234">
        <w:t>the</w:t>
      </w:r>
      <w:r w:rsidR="00614429">
        <w:t xml:space="preserve"> various</w:t>
      </w:r>
      <w:r w:rsidR="002D0234">
        <w:t xml:space="preserve"> conclusion</w:t>
      </w:r>
      <w:r w:rsidR="00614429">
        <w:t>s</w:t>
      </w:r>
      <w:r w:rsidR="002D0234">
        <w:t xml:space="preserve"> that would stem from this</w:t>
      </w:r>
      <w:r w:rsidR="00614429">
        <w:t xml:space="preserve"> regarding in what circumstances </w:t>
      </w:r>
      <w:proofErr w:type="gramStart"/>
      <w:r w:rsidR="00614429">
        <w:t>should abortion</w:t>
      </w:r>
      <w:proofErr w:type="gramEnd"/>
      <w:r w:rsidR="00614429">
        <w:t xml:space="preserve"> be acceptable</w:t>
      </w:r>
      <w:r w:rsidR="002D0234">
        <w:t xml:space="preserve"> do</w:t>
      </w:r>
      <w:r w:rsidR="00614429">
        <w:t>es</w:t>
      </w:r>
      <w:r w:rsidR="002D0234">
        <w:t xml:space="preserve"> seem to be</w:t>
      </w:r>
      <w:r w:rsidR="00614429">
        <w:t xml:space="preserve"> bizarre and also highlights how private the matter seems.</w:t>
      </w:r>
      <w:r w:rsidR="002D0234">
        <w:t xml:space="preserve"> </w:t>
      </w:r>
      <w:r>
        <w:t>Again, to be fair to Thomson, if my understanding is accurate, it is not necessarily that she believes a foetus does not have the right to use the mothers body, it is that just because the foetus may have that right, it does not have the right to not be killed</w:t>
      </w:r>
      <w:r w:rsidR="00366990">
        <w:rPr>
          <w:rStyle w:val="FootnoteReference"/>
        </w:rPr>
        <w:footnoteReference w:id="4"/>
      </w:r>
      <w:r>
        <w:t xml:space="preserve">. Is this really very convincing? As </w:t>
      </w:r>
      <w:proofErr w:type="spellStart"/>
      <w:r>
        <w:t>Hurthouse</w:t>
      </w:r>
      <w:proofErr w:type="spellEnd"/>
      <w:r>
        <w:t xml:space="preserve"> puts it, “One might think that if the right to life did not at least amount at least to the right not to be killed then it did not amount to anything at all”</w:t>
      </w:r>
      <w:r w:rsidR="00366990">
        <w:rPr>
          <w:rStyle w:val="FootnoteReference"/>
        </w:rPr>
        <w:footnoteReference w:id="5"/>
      </w:r>
      <w:r w:rsidR="00366990">
        <w:t>.</w:t>
      </w:r>
    </w:p>
    <w:p w14:paraId="4796446E" w14:textId="53FC5CEE" w:rsidR="001E7A42" w:rsidRDefault="00EA61B0">
      <w:r>
        <w:t xml:space="preserve">It is also worth acknowledging that the analogy Thomson uses of the violinist </w:t>
      </w:r>
      <w:r w:rsidR="00E33A1A">
        <w:t xml:space="preserve">is so </w:t>
      </w:r>
      <w:r>
        <w:t xml:space="preserve">exceedingly </w:t>
      </w:r>
      <w:r w:rsidR="00E33A1A">
        <w:t xml:space="preserve">far-fetched and certainly seems to </w:t>
      </w:r>
      <w:r w:rsidR="00C93283">
        <w:t>me</w:t>
      </w:r>
      <w:r w:rsidR="00E33A1A">
        <w:t xml:space="preserve">, to be so contrived to the point of convincing one that abortion is amoral, in the sense that it is acceptable and indifferent to morality. </w:t>
      </w:r>
      <w:r>
        <w:t>This is again related to the general issue of analogies particularly in this debate that I alluded to earlier, that pregnancy is such a</w:t>
      </w:r>
      <w:r w:rsidR="00226CB3">
        <w:t>n e</w:t>
      </w:r>
      <w:r>
        <w:t xml:space="preserve">specially unique situation. That it is such a unique situation has I think resulted in people often </w:t>
      </w:r>
      <w:r>
        <w:lastRenderedPageBreak/>
        <w:t>coming down very firmly on one side or the other because there is probably no accurate or fair analogy that can be used adequately to support the intellectual and emotional weight of the argument</w:t>
      </w:r>
      <w:r w:rsidR="00BD31C7">
        <w:t xml:space="preserve">, while granted that some analogies may be more successful or convincing than others. </w:t>
      </w:r>
    </w:p>
    <w:p w14:paraId="560E52AC" w14:textId="4AAA0F30" w:rsidR="00335B16" w:rsidRDefault="00BD31C7">
      <w:proofErr w:type="spellStart"/>
      <w:r>
        <w:t>Hursthouse</w:t>
      </w:r>
      <w:proofErr w:type="spellEnd"/>
      <w:r>
        <w:t xml:space="preserve">, in Beginning Lives, does have a counter-analogy to </w:t>
      </w:r>
      <w:proofErr w:type="spellStart"/>
      <w:r>
        <w:t>Thomsons</w:t>
      </w:r>
      <w:proofErr w:type="spellEnd"/>
      <w:r>
        <w:t xml:space="preserve"> to address her argument on the basis of property – “Is it morally permissible for me to choose to take the life support machine from one person and attach it to someone else who will die without it, solely on the grounds that she is very rich and owns it? I don’t think so”</w:t>
      </w:r>
      <w:r w:rsidR="005B4380">
        <w:rPr>
          <w:rStyle w:val="FootnoteReference"/>
        </w:rPr>
        <w:footnoteReference w:id="6"/>
      </w:r>
      <w:r w:rsidR="006D60AF">
        <w:t xml:space="preserve">. </w:t>
      </w:r>
      <w:r w:rsidR="00D46A80">
        <w:t xml:space="preserve">It is an analogy that acknowledges the dependent relationship the foetus has to the mother, and though it may not be perfect, </w:t>
      </w:r>
      <w:proofErr w:type="spellStart"/>
      <w:r w:rsidR="00D46A80">
        <w:t>Hur</w:t>
      </w:r>
      <w:r w:rsidR="005B4380">
        <w:t>s</w:t>
      </w:r>
      <w:r w:rsidR="00D46A80">
        <w:t>thouse</w:t>
      </w:r>
      <w:proofErr w:type="spellEnd"/>
      <w:r w:rsidR="00D46A80">
        <w:t xml:space="preserve"> </w:t>
      </w:r>
      <w:r w:rsidR="006D60AF">
        <w:t>has</w:t>
      </w:r>
      <w:r w:rsidR="0072328D">
        <w:t>, I</w:t>
      </w:r>
      <w:r w:rsidR="006D60AF">
        <w:t xml:space="preserve"> think hit the weaknesses of many of </w:t>
      </w:r>
      <w:proofErr w:type="spellStart"/>
      <w:r w:rsidR="006D60AF">
        <w:t>Thomsons</w:t>
      </w:r>
      <w:proofErr w:type="spellEnd"/>
      <w:r w:rsidR="006D60AF">
        <w:t xml:space="preserve"> analogies that fail to take into account that though the mother is indeed an independent human being that has control over her decisions, which include around her body, the f</w:t>
      </w:r>
      <w:r w:rsidR="00335B16">
        <w:t>o</w:t>
      </w:r>
      <w:r w:rsidR="006D60AF">
        <w:t>etus is dependent on the mother’s body for survival. Does the notion of dependency bear any moral weight upon the right of the mother to be entirely</w:t>
      </w:r>
      <w:r w:rsidR="00226CB3">
        <w:t xml:space="preserve"> independent</w:t>
      </w:r>
      <w:r w:rsidR="00057F3C">
        <w:t xml:space="preserve">? This would seem to be the heart of the issue. </w:t>
      </w:r>
      <w:r w:rsidR="00DC54AF">
        <w:t xml:space="preserve"> I think Thompson does somehow allude to this towards the end of her essay – “It may be said that what is important is not merely the fact that the f</w:t>
      </w:r>
      <w:r w:rsidR="004E4C41">
        <w:t>oe</w:t>
      </w:r>
      <w:r w:rsidR="00DC54AF">
        <w:t xml:space="preserve">tus is a person, but that it is a </w:t>
      </w:r>
      <w:r w:rsidR="00335B16">
        <w:t>person for whom the woman has a special kind of responsibility issuing from the fact that she is a mother”</w:t>
      </w:r>
      <w:r w:rsidR="00366990">
        <w:rPr>
          <w:rStyle w:val="FootnoteReference"/>
        </w:rPr>
        <w:footnoteReference w:id="7"/>
      </w:r>
      <w:r w:rsidR="00335B16">
        <w:t>. Again, this is an allusion towards the significance of the dependence of the foetus and not an obvious acknowledgement. It seems to be a value judgement as to what extent this can really be considered</w:t>
      </w:r>
      <w:r w:rsidR="001E7A42">
        <w:t xml:space="preserve"> to work against her own argument.</w:t>
      </w:r>
      <w:r w:rsidR="00335B16">
        <w:t xml:space="preserve"> Thompson is more referring to foresee</w:t>
      </w:r>
      <w:r w:rsidR="00D46A80">
        <w:t>able</w:t>
      </w:r>
      <w:r w:rsidR="00335B16">
        <w:t xml:space="preserve"> critics of her paper suggesting she has focused on the wrong argument since her analogies do not address this special </w:t>
      </w:r>
      <w:r w:rsidR="001E7A42">
        <w:t xml:space="preserve">or particular </w:t>
      </w:r>
      <w:r w:rsidR="00335B16">
        <w:t>“bond”.</w:t>
      </w:r>
      <w:r w:rsidR="00D46A80">
        <w:t xml:space="preserve"> Moreover, the counterargument analogy used by </w:t>
      </w:r>
      <w:proofErr w:type="spellStart"/>
      <w:r w:rsidR="00D46A80">
        <w:t>Hur</w:t>
      </w:r>
      <w:r w:rsidR="005B4380">
        <w:t>s</w:t>
      </w:r>
      <w:r w:rsidR="00D46A80">
        <w:t>thouse</w:t>
      </w:r>
      <w:proofErr w:type="spellEnd"/>
      <w:r w:rsidR="00D46A80">
        <w:t xml:space="preserve"> can be criticised for obvious reasons. The mother owns her own body – we all own our own bodies, in a way that people do not own equipment, even if that equipment were a life support machine.</w:t>
      </w:r>
      <w:r w:rsidR="005B4380">
        <w:t xml:space="preserve"> So despite criticising </w:t>
      </w:r>
      <w:proofErr w:type="gramStart"/>
      <w:r w:rsidR="005B4380">
        <w:t>Thompsons</w:t>
      </w:r>
      <w:proofErr w:type="gramEnd"/>
      <w:r w:rsidR="005B4380">
        <w:t xml:space="preserve"> use of analogies, he seems to be arguably guilty of the same thing.</w:t>
      </w:r>
    </w:p>
    <w:p w14:paraId="3A063B3B" w14:textId="6ACFA2D8" w:rsidR="007F7A28" w:rsidRDefault="00226CB3">
      <w:r>
        <w:t>A</w:t>
      </w:r>
      <w:r w:rsidR="00003ABC">
        <w:t xml:space="preserve">rguments defending abortion in general seem to be a culmination of arguments including the privacy and independence of the woman’s body, the non-viability of the foetus. So in the case of Judith Thomson we have a paper that does not address viability, assumes the moral status of the foetus from conception in harmony with the traditional conservative argument and perhaps her paper is weaker for it. </w:t>
      </w:r>
      <w:r w:rsidR="007F7A28">
        <w:t>That isn’t to necessarily say that there couldn’t be a successful, coherent argument in defen</w:t>
      </w:r>
      <w:r w:rsidR="00DB4C4D">
        <w:t>c</w:t>
      </w:r>
      <w:r w:rsidR="007F7A28">
        <w:t xml:space="preserve">e on abortion that </w:t>
      </w:r>
      <w:r w:rsidR="00CB0D2B">
        <w:t xml:space="preserve">depends entirely upon the status of a women’s body that entails the woman to make all decisions surrounding it, but I don’t think that Thompson </w:t>
      </w:r>
      <w:r w:rsidR="005B4380">
        <w:t xml:space="preserve">entirely </w:t>
      </w:r>
      <w:r w:rsidR="00CB0D2B">
        <w:t xml:space="preserve">mastered it. </w:t>
      </w:r>
    </w:p>
    <w:p w14:paraId="32811EED" w14:textId="5C7D1389" w:rsidR="00D87B37" w:rsidRDefault="00D87B37"/>
    <w:p w14:paraId="13CA97F0" w14:textId="77777777" w:rsidR="005B4380" w:rsidRDefault="005B4380"/>
    <w:p w14:paraId="6EBF8A66" w14:textId="452D6B2F" w:rsidR="00A94C32" w:rsidRDefault="00A94C32"/>
    <w:p w14:paraId="7A75B4ED" w14:textId="10AAD38C" w:rsidR="00A94C32" w:rsidRDefault="00A94C32"/>
    <w:p w14:paraId="1687203D" w14:textId="77777777" w:rsidR="005B4380" w:rsidRDefault="005B4380"/>
    <w:p w14:paraId="03BC0E1F" w14:textId="77777777" w:rsidR="005B4380" w:rsidRDefault="005B4380"/>
    <w:p w14:paraId="48463365" w14:textId="77777777" w:rsidR="005B4380" w:rsidRDefault="005B4380"/>
    <w:p w14:paraId="5EAFF477" w14:textId="607676E7" w:rsidR="005B4380" w:rsidRDefault="005B4380">
      <w:r>
        <w:t>Bibliography</w:t>
      </w:r>
    </w:p>
    <w:p w14:paraId="0D70F8B9" w14:textId="52C3F4BD" w:rsidR="00A94C32" w:rsidRDefault="005B4380">
      <w:proofErr w:type="spellStart"/>
      <w:r>
        <w:t>Hursthouse</w:t>
      </w:r>
      <w:proofErr w:type="spellEnd"/>
      <w:r>
        <w:t>, Rosalind</w:t>
      </w:r>
      <w:r w:rsidR="00A94C32">
        <w:t xml:space="preserve"> “Beginning lives”, Basil Blackwood Ltd, Oxford 1997</w:t>
      </w:r>
    </w:p>
    <w:p w14:paraId="179A9AE1" w14:textId="515FBBE8" w:rsidR="00366990" w:rsidRDefault="00366990">
      <w:r>
        <w:rPr>
          <w:rFonts w:ascii="Arial" w:hAnsi="Arial" w:cs="Arial"/>
          <w:color w:val="333333"/>
          <w:sz w:val="21"/>
          <w:szCs w:val="21"/>
        </w:rPr>
        <w:t xml:space="preserve">Thomson, Judith Jarvis. “A </w:t>
      </w:r>
      <w:proofErr w:type="spellStart"/>
      <w:r>
        <w:rPr>
          <w:rFonts w:ascii="Arial" w:hAnsi="Arial" w:cs="Arial"/>
          <w:color w:val="333333"/>
          <w:sz w:val="21"/>
          <w:szCs w:val="21"/>
        </w:rPr>
        <w:t>Defense</w:t>
      </w:r>
      <w:proofErr w:type="spellEnd"/>
      <w:r>
        <w:rPr>
          <w:rFonts w:ascii="Arial" w:hAnsi="Arial" w:cs="Arial"/>
          <w:color w:val="333333"/>
          <w:sz w:val="21"/>
          <w:szCs w:val="21"/>
        </w:rPr>
        <w:t xml:space="preserve"> of Abortion.” </w:t>
      </w:r>
      <w:r>
        <w:rPr>
          <w:rFonts w:ascii="&amp;quot" w:hAnsi="&amp;quot"/>
          <w:i/>
          <w:iCs/>
          <w:color w:val="333333"/>
          <w:sz w:val="21"/>
          <w:szCs w:val="21"/>
        </w:rPr>
        <w:t>Philosophy &amp; Public Affairs</w:t>
      </w:r>
      <w:r>
        <w:rPr>
          <w:rFonts w:ascii="Arial" w:hAnsi="Arial" w:cs="Arial"/>
          <w:color w:val="333333"/>
          <w:sz w:val="21"/>
          <w:szCs w:val="21"/>
        </w:rPr>
        <w:t xml:space="preserve">, vol. 1, no. 1, 1971, pp. 47–66. </w:t>
      </w:r>
      <w:r>
        <w:rPr>
          <w:rFonts w:ascii="&amp;quot" w:hAnsi="&amp;quot"/>
          <w:i/>
          <w:iCs/>
          <w:color w:val="333333"/>
          <w:sz w:val="21"/>
          <w:szCs w:val="21"/>
        </w:rPr>
        <w:t>JSTOR</w:t>
      </w:r>
      <w:r>
        <w:rPr>
          <w:rFonts w:ascii="Arial" w:hAnsi="Arial" w:cs="Arial"/>
          <w:color w:val="333333"/>
          <w:sz w:val="21"/>
          <w:szCs w:val="21"/>
        </w:rPr>
        <w:t>, JSTOR, www.jstor.org/stable/2265091</w:t>
      </w:r>
    </w:p>
    <w:sectPr w:rsidR="003669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7C635" w14:textId="77777777" w:rsidR="0004707C" w:rsidRDefault="0004707C" w:rsidP="000C4620">
      <w:pPr>
        <w:spacing w:after="0" w:line="240" w:lineRule="auto"/>
      </w:pPr>
      <w:r>
        <w:separator/>
      </w:r>
    </w:p>
  </w:endnote>
  <w:endnote w:type="continuationSeparator" w:id="0">
    <w:p w14:paraId="33E9AEDB" w14:textId="77777777" w:rsidR="0004707C" w:rsidRDefault="0004707C" w:rsidP="000C4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65B324" w14:textId="77777777" w:rsidR="0004707C" w:rsidRDefault="0004707C" w:rsidP="000C4620">
      <w:pPr>
        <w:spacing w:after="0" w:line="240" w:lineRule="auto"/>
      </w:pPr>
      <w:r>
        <w:separator/>
      </w:r>
    </w:p>
  </w:footnote>
  <w:footnote w:type="continuationSeparator" w:id="0">
    <w:p w14:paraId="7E175E53" w14:textId="77777777" w:rsidR="0004707C" w:rsidRDefault="0004707C" w:rsidP="000C4620">
      <w:pPr>
        <w:spacing w:after="0" w:line="240" w:lineRule="auto"/>
      </w:pPr>
      <w:r>
        <w:continuationSeparator/>
      </w:r>
    </w:p>
  </w:footnote>
  <w:footnote w:id="1">
    <w:p w14:paraId="2F50E1A6" w14:textId="77777777" w:rsidR="00366990" w:rsidRDefault="00366990" w:rsidP="00366990">
      <w:r>
        <w:rPr>
          <w:rStyle w:val="FootnoteReference"/>
        </w:rPr>
        <w:footnoteRef/>
      </w:r>
      <w:r>
        <w:t xml:space="preserve"> </w:t>
      </w:r>
      <w:bookmarkStart w:id="1" w:name="_Hlk510649038"/>
      <w:r>
        <w:rPr>
          <w:rFonts w:ascii="Arial" w:hAnsi="Arial" w:cs="Arial"/>
          <w:color w:val="333333"/>
          <w:sz w:val="21"/>
          <w:szCs w:val="21"/>
        </w:rPr>
        <w:t xml:space="preserve">Thomson, Judith Jarvis. “A </w:t>
      </w:r>
      <w:proofErr w:type="spellStart"/>
      <w:r>
        <w:rPr>
          <w:rFonts w:ascii="Arial" w:hAnsi="Arial" w:cs="Arial"/>
          <w:color w:val="333333"/>
          <w:sz w:val="21"/>
          <w:szCs w:val="21"/>
        </w:rPr>
        <w:t>Defense</w:t>
      </w:r>
      <w:proofErr w:type="spellEnd"/>
      <w:r>
        <w:rPr>
          <w:rFonts w:ascii="Arial" w:hAnsi="Arial" w:cs="Arial"/>
          <w:color w:val="333333"/>
          <w:sz w:val="21"/>
          <w:szCs w:val="21"/>
        </w:rPr>
        <w:t xml:space="preserve"> of Abortion.” </w:t>
      </w:r>
      <w:r>
        <w:rPr>
          <w:rFonts w:ascii="&amp;quot" w:hAnsi="&amp;quot"/>
          <w:i/>
          <w:iCs/>
          <w:color w:val="333333"/>
          <w:sz w:val="21"/>
          <w:szCs w:val="21"/>
        </w:rPr>
        <w:t>Philosophy &amp; Public Affairs</w:t>
      </w:r>
      <w:r>
        <w:rPr>
          <w:rFonts w:ascii="Arial" w:hAnsi="Arial" w:cs="Arial"/>
          <w:color w:val="333333"/>
          <w:sz w:val="21"/>
          <w:szCs w:val="21"/>
        </w:rPr>
        <w:t xml:space="preserve">, vol. 1, no. 1, 1971, pp. 47–66. </w:t>
      </w:r>
      <w:r>
        <w:rPr>
          <w:rFonts w:ascii="&amp;quot" w:hAnsi="&amp;quot"/>
          <w:i/>
          <w:iCs/>
          <w:color w:val="333333"/>
          <w:sz w:val="21"/>
          <w:szCs w:val="21"/>
        </w:rPr>
        <w:t>JSTOR</w:t>
      </w:r>
      <w:r>
        <w:rPr>
          <w:rFonts w:ascii="Arial" w:hAnsi="Arial" w:cs="Arial"/>
          <w:color w:val="333333"/>
          <w:sz w:val="21"/>
          <w:szCs w:val="21"/>
        </w:rPr>
        <w:t>, JSTOR, www.jstor.org/stable/2265091</w:t>
      </w:r>
    </w:p>
    <w:bookmarkEnd w:id="1"/>
    <w:p w14:paraId="446DF18C" w14:textId="2FB02722" w:rsidR="00366990" w:rsidRDefault="00366990">
      <w:pPr>
        <w:pStyle w:val="FootnoteText"/>
      </w:pPr>
    </w:p>
  </w:footnote>
  <w:footnote w:id="2">
    <w:p w14:paraId="7B7DF4D5" w14:textId="1BFD7D52" w:rsidR="00366990" w:rsidRDefault="00366990" w:rsidP="00366990">
      <w:r>
        <w:rPr>
          <w:rStyle w:val="FootnoteReference"/>
        </w:rPr>
        <w:footnoteRef/>
      </w:r>
      <w:r>
        <w:t xml:space="preserve"> Rosalind </w:t>
      </w:r>
      <w:proofErr w:type="spellStart"/>
      <w:r>
        <w:t>Hursthouse</w:t>
      </w:r>
      <w:proofErr w:type="spellEnd"/>
      <w:r>
        <w:t xml:space="preserve"> </w:t>
      </w:r>
      <w:r w:rsidRPr="00366990">
        <w:rPr>
          <w:i/>
        </w:rPr>
        <w:t xml:space="preserve">Beginning lives, </w:t>
      </w:r>
      <w:r>
        <w:t>Basil Blackwood Ltd: Oxford,1997</w:t>
      </w:r>
    </w:p>
    <w:p w14:paraId="4B76AACB" w14:textId="159EEFFF" w:rsidR="00366990" w:rsidRDefault="00366990">
      <w:pPr>
        <w:pStyle w:val="FootnoteText"/>
      </w:pPr>
    </w:p>
  </w:footnote>
  <w:footnote w:id="3">
    <w:p w14:paraId="54E01365" w14:textId="77777777" w:rsidR="00366990" w:rsidRDefault="00366990" w:rsidP="00366990">
      <w:r>
        <w:rPr>
          <w:rStyle w:val="FootnoteReference"/>
        </w:rPr>
        <w:footnoteRef/>
      </w:r>
      <w:r>
        <w:t xml:space="preserve"> </w:t>
      </w:r>
      <w:r>
        <w:rPr>
          <w:rFonts w:ascii="Arial" w:hAnsi="Arial" w:cs="Arial"/>
          <w:color w:val="333333"/>
          <w:sz w:val="21"/>
          <w:szCs w:val="21"/>
        </w:rPr>
        <w:t xml:space="preserve">Thomson, Judith Jarvis. “A </w:t>
      </w:r>
      <w:proofErr w:type="spellStart"/>
      <w:r>
        <w:rPr>
          <w:rFonts w:ascii="Arial" w:hAnsi="Arial" w:cs="Arial"/>
          <w:color w:val="333333"/>
          <w:sz w:val="21"/>
          <w:szCs w:val="21"/>
        </w:rPr>
        <w:t>Defense</w:t>
      </w:r>
      <w:proofErr w:type="spellEnd"/>
      <w:r>
        <w:rPr>
          <w:rFonts w:ascii="Arial" w:hAnsi="Arial" w:cs="Arial"/>
          <w:color w:val="333333"/>
          <w:sz w:val="21"/>
          <w:szCs w:val="21"/>
        </w:rPr>
        <w:t xml:space="preserve"> of Abortion.” </w:t>
      </w:r>
      <w:r>
        <w:rPr>
          <w:rFonts w:ascii="&amp;quot" w:hAnsi="&amp;quot"/>
          <w:i/>
          <w:iCs/>
          <w:color w:val="333333"/>
          <w:sz w:val="21"/>
          <w:szCs w:val="21"/>
        </w:rPr>
        <w:t>Philosophy &amp; Public Affairs</w:t>
      </w:r>
      <w:r>
        <w:rPr>
          <w:rFonts w:ascii="Arial" w:hAnsi="Arial" w:cs="Arial"/>
          <w:color w:val="333333"/>
          <w:sz w:val="21"/>
          <w:szCs w:val="21"/>
        </w:rPr>
        <w:t xml:space="preserve">, vol. 1, no. 1, 1971, pp. 47–66. </w:t>
      </w:r>
      <w:r>
        <w:rPr>
          <w:rFonts w:ascii="&amp;quot" w:hAnsi="&amp;quot"/>
          <w:i/>
          <w:iCs/>
          <w:color w:val="333333"/>
          <w:sz w:val="21"/>
          <w:szCs w:val="21"/>
        </w:rPr>
        <w:t>JSTOR</w:t>
      </w:r>
      <w:r>
        <w:rPr>
          <w:rFonts w:ascii="Arial" w:hAnsi="Arial" w:cs="Arial"/>
          <w:color w:val="333333"/>
          <w:sz w:val="21"/>
          <w:szCs w:val="21"/>
        </w:rPr>
        <w:t>, JSTOR, www.jstor.org/stable/2265091</w:t>
      </w:r>
    </w:p>
    <w:p w14:paraId="0E9287A4" w14:textId="58B80ACC" w:rsidR="00366990" w:rsidRDefault="00366990">
      <w:pPr>
        <w:pStyle w:val="FootnoteText"/>
      </w:pPr>
    </w:p>
  </w:footnote>
  <w:footnote w:id="4">
    <w:p w14:paraId="58F11942" w14:textId="77777777" w:rsidR="005B4380" w:rsidRDefault="00366990" w:rsidP="005B4380">
      <w:r>
        <w:rPr>
          <w:rStyle w:val="FootnoteReference"/>
        </w:rPr>
        <w:footnoteRef/>
      </w:r>
      <w:r>
        <w:t xml:space="preserve"> </w:t>
      </w:r>
      <w:r w:rsidR="005B4380">
        <w:rPr>
          <w:rFonts w:ascii="Arial" w:hAnsi="Arial" w:cs="Arial"/>
          <w:color w:val="333333"/>
          <w:sz w:val="21"/>
          <w:szCs w:val="21"/>
        </w:rPr>
        <w:t xml:space="preserve">Thomson, Judith Jarvis. “A </w:t>
      </w:r>
      <w:proofErr w:type="spellStart"/>
      <w:r w:rsidR="005B4380">
        <w:rPr>
          <w:rFonts w:ascii="Arial" w:hAnsi="Arial" w:cs="Arial"/>
          <w:color w:val="333333"/>
          <w:sz w:val="21"/>
          <w:szCs w:val="21"/>
        </w:rPr>
        <w:t>Defense</w:t>
      </w:r>
      <w:proofErr w:type="spellEnd"/>
      <w:r w:rsidR="005B4380">
        <w:rPr>
          <w:rFonts w:ascii="Arial" w:hAnsi="Arial" w:cs="Arial"/>
          <w:color w:val="333333"/>
          <w:sz w:val="21"/>
          <w:szCs w:val="21"/>
        </w:rPr>
        <w:t xml:space="preserve"> of Abortion.” </w:t>
      </w:r>
      <w:r w:rsidR="005B4380">
        <w:rPr>
          <w:rFonts w:ascii="&amp;quot" w:hAnsi="&amp;quot"/>
          <w:i/>
          <w:iCs/>
          <w:color w:val="333333"/>
          <w:sz w:val="21"/>
          <w:szCs w:val="21"/>
        </w:rPr>
        <w:t>Philosophy &amp; Public Affairs</w:t>
      </w:r>
      <w:r w:rsidR="005B4380">
        <w:rPr>
          <w:rFonts w:ascii="Arial" w:hAnsi="Arial" w:cs="Arial"/>
          <w:color w:val="333333"/>
          <w:sz w:val="21"/>
          <w:szCs w:val="21"/>
        </w:rPr>
        <w:t xml:space="preserve">, vol. 1, no. 1, 1971, pp. 47–66. </w:t>
      </w:r>
      <w:r w:rsidR="005B4380">
        <w:rPr>
          <w:rFonts w:ascii="&amp;quot" w:hAnsi="&amp;quot"/>
          <w:i/>
          <w:iCs/>
          <w:color w:val="333333"/>
          <w:sz w:val="21"/>
          <w:szCs w:val="21"/>
        </w:rPr>
        <w:t>JSTOR</w:t>
      </w:r>
      <w:r w:rsidR="005B4380">
        <w:rPr>
          <w:rFonts w:ascii="Arial" w:hAnsi="Arial" w:cs="Arial"/>
          <w:color w:val="333333"/>
          <w:sz w:val="21"/>
          <w:szCs w:val="21"/>
        </w:rPr>
        <w:t>, JSTOR, www.jstor.org/stable/2265091</w:t>
      </w:r>
    </w:p>
    <w:p w14:paraId="6DD9E57C" w14:textId="1C5253C4" w:rsidR="00366990" w:rsidRDefault="00366990">
      <w:pPr>
        <w:pStyle w:val="FootnoteText"/>
      </w:pPr>
    </w:p>
  </w:footnote>
  <w:footnote w:id="5">
    <w:p w14:paraId="58F34DA9" w14:textId="272D9645" w:rsidR="00366990" w:rsidRDefault="00366990">
      <w:pPr>
        <w:pStyle w:val="FootnoteText"/>
      </w:pPr>
      <w:r>
        <w:rPr>
          <w:rStyle w:val="FootnoteReference"/>
        </w:rPr>
        <w:footnoteRef/>
      </w:r>
      <w:r>
        <w:t xml:space="preserve"> </w:t>
      </w:r>
      <w:bookmarkStart w:id="2" w:name="_Hlk510649213"/>
      <w:r>
        <w:t xml:space="preserve">Rosalind </w:t>
      </w:r>
      <w:proofErr w:type="spellStart"/>
      <w:r>
        <w:t>Hursthouse</w:t>
      </w:r>
      <w:proofErr w:type="spellEnd"/>
      <w:r>
        <w:t xml:space="preserve"> </w:t>
      </w:r>
      <w:r w:rsidRPr="00366990">
        <w:rPr>
          <w:i/>
        </w:rPr>
        <w:t xml:space="preserve">Beginning lives, </w:t>
      </w:r>
      <w:r>
        <w:t>Basil Blackwood Ltd: Oxford,1997</w:t>
      </w:r>
      <w:bookmarkEnd w:id="2"/>
    </w:p>
  </w:footnote>
  <w:footnote w:id="6">
    <w:p w14:paraId="4A985948" w14:textId="25FF574C" w:rsidR="005B4380" w:rsidRDefault="005B4380">
      <w:pPr>
        <w:pStyle w:val="FootnoteText"/>
      </w:pPr>
      <w:r>
        <w:rPr>
          <w:rStyle w:val="FootnoteReference"/>
        </w:rPr>
        <w:footnoteRef/>
      </w:r>
      <w:r>
        <w:t xml:space="preserve"> Rosalind </w:t>
      </w:r>
      <w:proofErr w:type="spellStart"/>
      <w:r>
        <w:t>Hursthouse</w:t>
      </w:r>
      <w:proofErr w:type="spellEnd"/>
      <w:r>
        <w:t xml:space="preserve"> </w:t>
      </w:r>
      <w:r w:rsidRPr="00366990">
        <w:rPr>
          <w:i/>
        </w:rPr>
        <w:t xml:space="preserve">Beginning lives, </w:t>
      </w:r>
      <w:r>
        <w:t>Basil Blackwood Ltd: Oxford,1997</w:t>
      </w:r>
    </w:p>
  </w:footnote>
  <w:footnote w:id="7">
    <w:p w14:paraId="3B38FB9D" w14:textId="4C2B93D7" w:rsidR="005B4380" w:rsidRDefault="005B4380">
      <w:pPr>
        <w:pStyle w:val="FootnoteText"/>
      </w:pPr>
    </w:p>
    <w:p w14:paraId="3ED3865B" w14:textId="53D63670" w:rsidR="005B4380" w:rsidRDefault="005B4380">
      <w:pPr>
        <w:pStyle w:val="FootnoteText"/>
      </w:pPr>
    </w:p>
    <w:p w14:paraId="5DFAD386" w14:textId="77777777" w:rsidR="005B4380" w:rsidRDefault="005B4380">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D4D"/>
    <w:rsid w:val="00000F0A"/>
    <w:rsid w:val="00003ABC"/>
    <w:rsid w:val="0004707C"/>
    <w:rsid w:val="00050594"/>
    <w:rsid w:val="00057F3C"/>
    <w:rsid w:val="000C4620"/>
    <w:rsid w:val="000E7FB8"/>
    <w:rsid w:val="00111390"/>
    <w:rsid w:val="00134F38"/>
    <w:rsid w:val="001E7A42"/>
    <w:rsid w:val="00226CB3"/>
    <w:rsid w:val="002B6A45"/>
    <w:rsid w:val="002D0234"/>
    <w:rsid w:val="002E7665"/>
    <w:rsid w:val="00335B16"/>
    <w:rsid w:val="00366990"/>
    <w:rsid w:val="003722FA"/>
    <w:rsid w:val="003966B7"/>
    <w:rsid w:val="004356A1"/>
    <w:rsid w:val="004517DA"/>
    <w:rsid w:val="00491EC3"/>
    <w:rsid w:val="004E4C41"/>
    <w:rsid w:val="005442A1"/>
    <w:rsid w:val="005B4380"/>
    <w:rsid w:val="005E4991"/>
    <w:rsid w:val="00614429"/>
    <w:rsid w:val="00696096"/>
    <w:rsid w:val="006D5D4D"/>
    <w:rsid w:val="006D60AF"/>
    <w:rsid w:val="0072328D"/>
    <w:rsid w:val="0073135B"/>
    <w:rsid w:val="0078121D"/>
    <w:rsid w:val="007E6BD6"/>
    <w:rsid w:val="007F7A28"/>
    <w:rsid w:val="00812E2D"/>
    <w:rsid w:val="009740BD"/>
    <w:rsid w:val="009F7262"/>
    <w:rsid w:val="00A33C2E"/>
    <w:rsid w:val="00A90142"/>
    <w:rsid w:val="00A94C32"/>
    <w:rsid w:val="00AB53C2"/>
    <w:rsid w:val="00BD31C7"/>
    <w:rsid w:val="00C12277"/>
    <w:rsid w:val="00C85E2D"/>
    <w:rsid w:val="00C93283"/>
    <w:rsid w:val="00CB0D2B"/>
    <w:rsid w:val="00D16C7C"/>
    <w:rsid w:val="00D46A80"/>
    <w:rsid w:val="00D740AC"/>
    <w:rsid w:val="00D87B37"/>
    <w:rsid w:val="00DB4C4D"/>
    <w:rsid w:val="00DC54AF"/>
    <w:rsid w:val="00DF0757"/>
    <w:rsid w:val="00E33A1A"/>
    <w:rsid w:val="00E77303"/>
    <w:rsid w:val="00EA61B0"/>
    <w:rsid w:val="00F528B4"/>
    <w:rsid w:val="00F8435E"/>
    <w:rsid w:val="00F94EF6"/>
    <w:rsid w:val="00FB1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479C9"/>
  <w15:chartTrackingRefBased/>
  <w15:docId w15:val="{3E0E461E-EE56-4A08-9B48-3C930EA3F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C46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4620"/>
    <w:rPr>
      <w:sz w:val="20"/>
      <w:szCs w:val="20"/>
    </w:rPr>
  </w:style>
  <w:style w:type="character" w:styleId="FootnoteReference">
    <w:name w:val="footnote reference"/>
    <w:basedOn w:val="DefaultParagraphFont"/>
    <w:uiPriority w:val="99"/>
    <w:semiHidden/>
    <w:unhideWhenUsed/>
    <w:rsid w:val="000C46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8FF35-3B0A-4DB1-BD49-8CD9C1EAD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1557</Words>
  <Characters>8881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Evans</dc:creator>
  <cp:keywords/>
  <dc:description/>
  <cp:lastModifiedBy>Tristan Nash</cp:lastModifiedBy>
  <cp:revision>2</cp:revision>
  <dcterms:created xsi:type="dcterms:W3CDTF">2018-04-16T19:04:00Z</dcterms:created>
  <dcterms:modified xsi:type="dcterms:W3CDTF">2018-04-16T19:04:00Z</dcterms:modified>
</cp:coreProperties>
</file>