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000001" w14:textId="77777777" w:rsidR="00AE22E7" w:rsidRPr="001270CD" w:rsidRDefault="00AE22E7" w:rsidP="00491772">
      <w:pPr>
        <w:jc w:val="center"/>
        <w:rPr>
          <w:b/>
          <w:bCs/>
          <w:sz w:val="32"/>
          <w:szCs w:val="32"/>
        </w:rPr>
      </w:pPr>
    </w:p>
    <w:p w14:paraId="4E26F0BD" w14:textId="77777777" w:rsidR="001270CD" w:rsidRPr="001270CD" w:rsidRDefault="001270CD" w:rsidP="00491772">
      <w:pPr>
        <w:jc w:val="center"/>
        <w:rPr>
          <w:b/>
          <w:bCs/>
          <w:sz w:val="32"/>
          <w:szCs w:val="32"/>
        </w:rPr>
      </w:pPr>
    </w:p>
    <w:p w14:paraId="3FD87DC3" w14:textId="77777777" w:rsidR="001270CD" w:rsidRPr="001270CD" w:rsidRDefault="001270CD" w:rsidP="00491772">
      <w:pPr>
        <w:jc w:val="center"/>
        <w:rPr>
          <w:b/>
          <w:bCs/>
          <w:sz w:val="32"/>
          <w:szCs w:val="32"/>
        </w:rPr>
      </w:pPr>
    </w:p>
    <w:p w14:paraId="00000002" w14:textId="77777777" w:rsidR="00AE22E7" w:rsidRPr="001270CD" w:rsidRDefault="00AE22E7" w:rsidP="00491772">
      <w:pPr>
        <w:jc w:val="center"/>
        <w:rPr>
          <w:b/>
          <w:bCs/>
          <w:sz w:val="32"/>
          <w:szCs w:val="32"/>
        </w:rPr>
      </w:pPr>
    </w:p>
    <w:p w14:paraId="00000003" w14:textId="77777777" w:rsidR="00AE22E7" w:rsidRPr="001270CD" w:rsidRDefault="00AE22E7" w:rsidP="00491772">
      <w:pPr>
        <w:jc w:val="center"/>
        <w:rPr>
          <w:b/>
          <w:bCs/>
          <w:sz w:val="32"/>
          <w:szCs w:val="32"/>
        </w:rPr>
      </w:pPr>
    </w:p>
    <w:p w14:paraId="00000004" w14:textId="77777777" w:rsidR="00AE22E7" w:rsidRDefault="00AE22E7" w:rsidP="00491772">
      <w:pPr>
        <w:jc w:val="center"/>
        <w:rPr>
          <w:b/>
          <w:bCs/>
          <w:sz w:val="32"/>
          <w:szCs w:val="32"/>
        </w:rPr>
      </w:pPr>
    </w:p>
    <w:p w14:paraId="5112F53A" w14:textId="77777777" w:rsidR="001270CD" w:rsidRPr="001270CD" w:rsidRDefault="001270CD" w:rsidP="00491772">
      <w:pPr>
        <w:jc w:val="center"/>
        <w:rPr>
          <w:b/>
          <w:bCs/>
          <w:sz w:val="32"/>
          <w:szCs w:val="32"/>
        </w:rPr>
      </w:pPr>
    </w:p>
    <w:p w14:paraId="00000005" w14:textId="77777777" w:rsidR="00AE22E7" w:rsidRPr="001270CD" w:rsidRDefault="00AE22E7" w:rsidP="00491772">
      <w:pPr>
        <w:jc w:val="center"/>
        <w:rPr>
          <w:b/>
          <w:bCs/>
          <w:sz w:val="32"/>
          <w:szCs w:val="32"/>
        </w:rPr>
      </w:pPr>
    </w:p>
    <w:p w14:paraId="00000006" w14:textId="77777777" w:rsidR="00AE22E7" w:rsidRPr="001270CD" w:rsidRDefault="00486FAC" w:rsidP="00491772">
      <w:pPr>
        <w:jc w:val="center"/>
        <w:rPr>
          <w:b/>
          <w:bCs/>
          <w:sz w:val="32"/>
          <w:szCs w:val="32"/>
        </w:rPr>
      </w:pPr>
      <w:r w:rsidRPr="001270CD">
        <w:rPr>
          <w:b/>
          <w:bCs/>
          <w:sz w:val="32"/>
          <w:szCs w:val="32"/>
        </w:rPr>
        <w:t>STUDENT NAME: MARIAN GABRIEL APOSTU</w:t>
      </w:r>
    </w:p>
    <w:p w14:paraId="00000007" w14:textId="77777777" w:rsidR="00AE22E7" w:rsidRPr="001270CD" w:rsidRDefault="00486FAC" w:rsidP="00491772">
      <w:pPr>
        <w:jc w:val="center"/>
        <w:rPr>
          <w:b/>
          <w:bCs/>
          <w:sz w:val="32"/>
          <w:szCs w:val="32"/>
        </w:rPr>
      </w:pPr>
      <w:r w:rsidRPr="001270CD">
        <w:rPr>
          <w:b/>
          <w:bCs/>
          <w:sz w:val="32"/>
          <w:szCs w:val="32"/>
        </w:rPr>
        <w:t>STUDENT ID NUMBER: 2327280</w:t>
      </w:r>
    </w:p>
    <w:p w14:paraId="00000008" w14:textId="77777777" w:rsidR="00AE22E7" w:rsidRPr="001270CD" w:rsidRDefault="00486FAC" w:rsidP="00491772">
      <w:pPr>
        <w:jc w:val="center"/>
        <w:rPr>
          <w:b/>
          <w:bCs/>
          <w:sz w:val="32"/>
          <w:szCs w:val="32"/>
        </w:rPr>
      </w:pPr>
      <w:r w:rsidRPr="001270CD">
        <w:rPr>
          <w:b/>
          <w:bCs/>
          <w:sz w:val="32"/>
          <w:szCs w:val="32"/>
        </w:rPr>
        <w:t>MODULE:  PROJECT MANAGEMENT</w:t>
      </w:r>
    </w:p>
    <w:p w14:paraId="00000009" w14:textId="77777777" w:rsidR="00AE22E7" w:rsidRPr="001270CD" w:rsidRDefault="00486FAC" w:rsidP="00491772">
      <w:pPr>
        <w:jc w:val="center"/>
        <w:rPr>
          <w:b/>
          <w:bCs/>
          <w:sz w:val="32"/>
          <w:szCs w:val="32"/>
        </w:rPr>
      </w:pPr>
      <w:r w:rsidRPr="001270CD">
        <w:rPr>
          <w:b/>
          <w:bCs/>
          <w:sz w:val="32"/>
          <w:szCs w:val="32"/>
        </w:rPr>
        <w:t>MODULE CODE:  LCBB6006</w:t>
      </w:r>
    </w:p>
    <w:p w14:paraId="0000000A" w14:textId="77777777" w:rsidR="00AE22E7" w:rsidRPr="001270CD" w:rsidRDefault="00AE22E7" w:rsidP="00491772">
      <w:pPr>
        <w:rPr>
          <w:b/>
          <w:bCs/>
          <w:sz w:val="32"/>
          <w:szCs w:val="32"/>
        </w:rPr>
      </w:pPr>
    </w:p>
    <w:p w14:paraId="0000000B" w14:textId="77777777" w:rsidR="00AE22E7" w:rsidRPr="001270CD" w:rsidRDefault="00AE22E7" w:rsidP="00491772">
      <w:pPr>
        <w:rPr>
          <w:b/>
          <w:bCs/>
          <w:sz w:val="32"/>
          <w:szCs w:val="32"/>
        </w:rPr>
      </w:pPr>
    </w:p>
    <w:p w14:paraId="3C99A670" w14:textId="77777777" w:rsidR="001270CD" w:rsidRDefault="001270CD" w:rsidP="00491772">
      <w:pPr>
        <w:rPr>
          <w:b/>
          <w:bCs/>
        </w:rPr>
      </w:pPr>
      <w:bookmarkStart w:id="0" w:name="_h9qcdxt4nphm" w:colFirst="0" w:colLast="0"/>
      <w:bookmarkStart w:id="1" w:name="_ew8e92za6hhs" w:colFirst="0" w:colLast="0"/>
      <w:bookmarkEnd w:id="0"/>
      <w:bookmarkEnd w:id="1"/>
      <w:r>
        <w:br w:type="page"/>
      </w:r>
    </w:p>
    <w:sdt>
      <w:sdtPr>
        <w:rPr>
          <w:rFonts w:ascii="Times New Roman" w:eastAsia="Times New Roman" w:hAnsi="Times New Roman" w:cs="Times New Roman"/>
          <w:b/>
          <w:bCs/>
          <w:color w:val="000000" w:themeColor="text1"/>
          <w:sz w:val="24"/>
          <w:szCs w:val="24"/>
          <w:lang w:val="en-GB" w:eastAsia="en-IN"/>
        </w:rPr>
        <w:id w:val="-142433082"/>
        <w:docPartObj>
          <w:docPartGallery w:val="Table of Contents"/>
          <w:docPartUnique/>
        </w:docPartObj>
      </w:sdtPr>
      <w:sdtEndPr>
        <w:rPr>
          <w:noProof/>
          <w:color w:val="auto"/>
        </w:rPr>
      </w:sdtEndPr>
      <w:sdtContent>
        <w:p w14:paraId="2CEBD7CC" w14:textId="2F44C18B" w:rsidR="00A70601" w:rsidRPr="003303A6" w:rsidRDefault="00A70601" w:rsidP="00491772">
          <w:pPr>
            <w:pStyle w:val="TOCHeading"/>
            <w:spacing w:line="360" w:lineRule="auto"/>
            <w:jc w:val="center"/>
            <w:rPr>
              <w:rFonts w:ascii="Times New Roman" w:hAnsi="Times New Roman" w:cs="Times New Roman"/>
              <w:b/>
              <w:bCs/>
              <w:color w:val="000000" w:themeColor="text1"/>
              <w:sz w:val="24"/>
              <w:szCs w:val="24"/>
            </w:rPr>
          </w:pPr>
          <w:r w:rsidRPr="003303A6">
            <w:rPr>
              <w:rFonts w:ascii="Times New Roman" w:hAnsi="Times New Roman" w:cs="Times New Roman"/>
              <w:b/>
              <w:bCs/>
              <w:color w:val="000000" w:themeColor="text1"/>
              <w:sz w:val="24"/>
              <w:szCs w:val="24"/>
            </w:rPr>
            <w:t>Table of Contents</w:t>
          </w:r>
        </w:p>
        <w:p w14:paraId="4B958652" w14:textId="3016702D" w:rsidR="00491772" w:rsidRDefault="00A70601" w:rsidP="00491772">
          <w:pPr>
            <w:pStyle w:val="TOC1"/>
            <w:tabs>
              <w:tab w:val="right" w:leader="dot" w:pos="9350"/>
            </w:tabs>
            <w:rPr>
              <w:rFonts w:asciiTheme="minorHAnsi" w:eastAsiaTheme="minorEastAsia" w:hAnsiTheme="minorHAnsi" w:cstheme="minorBidi"/>
              <w:noProof/>
              <w:kern w:val="2"/>
              <w:lang w:val="en-IN"/>
              <w14:ligatures w14:val="standardContextual"/>
            </w:rPr>
          </w:pPr>
          <w:r>
            <w:fldChar w:fldCharType="begin"/>
          </w:r>
          <w:r>
            <w:instrText xml:space="preserve"> TOC \o "1-3" \h \z \u </w:instrText>
          </w:r>
          <w:r>
            <w:fldChar w:fldCharType="separate"/>
          </w:r>
          <w:hyperlink w:anchor="_Toc225710010" w:history="1">
            <w:r w:rsidR="00491772" w:rsidRPr="002D1002">
              <w:rPr>
                <w:rStyle w:val="Hyperlink"/>
                <w:noProof/>
              </w:rPr>
              <w:t>1. Introduction</w:t>
            </w:r>
            <w:r w:rsidR="00491772">
              <w:rPr>
                <w:noProof/>
                <w:webHidden/>
              </w:rPr>
              <w:tab/>
            </w:r>
            <w:r w:rsidR="00491772">
              <w:rPr>
                <w:noProof/>
                <w:webHidden/>
              </w:rPr>
              <w:fldChar w:fldCharType="begin"/>
            </w:r>
            <w:r w:rsidR="00491772">
              <w:rPr>
                <w:noProof/>
                <w:webHidden/>
              </w:rPr>
              <w:instrText xml:space="preserve"> PAGEREF _Toc225710010 \h </w:instrText>
            </w:r>
            <w:r w:rsidR="00491772">
              <w:rPr>
                <w:noProof/>
                <w:webHidden/>
              </w:rPr>
            </w:r>
            <w:r w:rsidR="00491772">
              <w:rPr>
                <w:noProof/>
                <w:webHidden/>
              </w:rPr>
              <w:fldChar w:fldCharType="separate"/>
            </w:r>
            <w:r w:rsidR="00491772">
              <w:rPr>
                <w:noProof/>
                <w:webHidden/>
              </w:rPr>
              <w:t>3</w:t>
            </w:r>
            <w:r w:rsidR="00491772">
              <w:rPr>
                <w:noProof/>
                <w:webHidden/>
              </w:rPr>
              <w:fldChar w:fldCharType="end"/>
            </w:r>
          </w:hyperlink>
        </w:p>
        <w:p w14:paraId="424EE63C" w14:textId="381F3881" w:rsidR="00491772" w:rsidRDefault="00491772" w:rsidP="00491772">
          <w:pPr>
            <w:pStyle w:val="TOC1"/>
            <w:tabs>
              <w:tab w:val="right" w:leader="dot" w:pos="9350"/>
            </w:tabs>
            <w:rPr>
              <w:rFonts w:asciiTheme="minorHAnsi" w:eastAsiaTheme="minorEastAsia" w:hAnsiTheme="minorHAnsi" w:cstheme="minorBidi"/>
              <w:noProof/>
              <w:kern w:val="2"/>
              <w:lang w:val="en-IN"/>
              <w14:ligatures w14:val="standardContextual"/>
            </w:rPr>
          </w:pPr>
          <w:hyperlink w:anchor="_Toc225710011" w:history="1">
            <w:r w:rsidRPr="002D1002">
              <w:rPr>
                <w:rStyle w:val="Hyperlink"/>
                <w:noProof/>
              </w:rPr>
              <w:t>2. Discussion</w:t>
            </w:r>
            <w:r>
              <w:rPr>
                <w:noProof/>
                <w:webHidden/>
              </w:rPr>
              <w:tab/>
            </w:r>
            <w:r>
              <w:rPr>
                <w:noProof/>
                <w:webHidden/>
              </w:rPr>
              <w:fldChar w:fldCharType="begin"/>
            </w:r>
            <w:r>
              <w:rPr>
                <w:noProof/>
                <w:webHidden/>
              </w:rPr>
              <w:instrText xml:space="preserve"> PAGEREF _Toc225710011 \h </w:instrText>
            </w:r>
            <w:r>
              <w:rPr>
                <w:noProof/>
                <w:webHidden/>
              </w:rPr>
            </w:r>
            <w:r>
              <w:rPr>
                <w:noProof/>
                <w:webHidden/>
              </w:rPr>
              <w:fldChar w:fldCharType="separate"/>
            </w:r>
            <w:r>
              <w:rPr>
                <w:noProof/>
                <w:webHidden/>
              </w:rPr>
              <w:t>3</w:t>
            </w:r>
            <w:r>
              <w:rPr>
                <w:noProof/>
                <w:webHidden/>
              </w:rPr>
              <w:fldChar w:fldCharType="end"/>
            </w:r>
          </w:hyperlink>
        </w:p>
        <w:p w14:paraId="67E35B98" w14:textId="1FC42D5E" w:rsidR="00491772" w:rsidRDefault="00491772" w:rsidP="00491772">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25710012" w:history="1">
            <w:r w:rsidRPr="002D1002">
              <w:rPr>
                <w:rStyle w:val="Hyperlink"/>
                <w:noProof/>
              </w:rPr>
              <w:t>2.1 Risk planning</w:t>
            </w:r>
            <w:r>
              <w:rPr>
                <w:noProof/>
                <w:webHidden/>
              </w:rPr>
              <w:tab/>
            </w:r>
            <w:r>
              <w:rPr>
                <w:noProof/>
                <w:webHidden/>
              </w:rPr>
              <w:fldChar w:fldCharType="begin"/>
            </w:r>
            <w:r>
              <w:rPr>
                <w:noProof/>
                <w:webHidden/>
              </w:rPr>
              <w:instrText xml:space="preserve"> PAGEREF _Toc225710012 \h </w:instrText>
            </w:r>
            <w:r>
              <w:rPr>
                <w:noProof/>
                <w:webHidden/>
              </w:rPr>
            </w:r>
            <w:r>
              <w:rPr>
                <w:noProof/>
                <w:webHidden/>
              </w:rPr>
              <w:fldChar w:fldCharType="separate"/>
            </w:r>
            <w:r>
              <w:rPr>
                <w:noProof/>
                <w:webHidden/>
              </w:rPr>
              <w:t>3</w:t>
            </w:r>
            <w:r>
              <w:rPr>
                <w:noProof/>
                <w:webHidden/>
              </w:rPr>
              <w:fldChar w:fldCharType="end"/>
            </w:r>
          </w:hyperlink>
        </w:p>
        <w:p w14:paraId="183DC138" w14:textId="4BDE4D48" w:rsidR="00491772" w:rsidRDefault="00491772" w:rsidP="00491772">
          <w:pPr>
            <w:pStyle w:val="TOC3"/>
            <w:tabs>
              <w:tab w:val="right" w:leader="dot" w:pos="9350"/>
            </w:tabs>
            <w:rPr>
              <w:rFonts w:asciiTheme="minorHAnsi" w:eastAsiaTheme="minorEastAsia" w:hAnsiTheme="minorHAnsi" w:cstheme="minorBidi"/>
              <w:noProof/>
              <w:kern w:val="2"/>
              <w:lang w:val="en-IN"/>
              <w14:ligatures w14:val="standardContextual"/>
            </w:rPr>
          </w:pPr>
          <w:hyperlink w:anchor="_Toc225710013" w:history="1">
            <w:r w:rsidRPr="002D1002">
              <w:rPr>
                <w:rStyle w:val="Hyperlink"/>
                <w:noProof/>
              </w:rPr>
              <w:t>2.1.1 Definition and characteristics of risks</w:t>
            </w:r>
            <w:r>
              <w:rPr>
                <w:noProof/>
                <w:webHidden/>
              </w:rPr>
              <w:tab/>
            </w:r>
            <w:r>
              <w:rPr>
                <w:noProof/>
                <w:webHidden/>
              </w:rPr>
              <w:fldChar w:fldCharType="begin"/>
            </w:r>
            <w:r>
              <w:rPr>
                <w:noProof/>
                <w:webHidden/>
              </w:rPr>
              <w:instrText xml:space="preserve"> PAGEREF _Toc225710013 \h </w:instrText>
            </w:r>
            <w:r>
              <w:rPr>
                <w:noProof/>
                <w:webHidden/>
              </w:rPr>
            </w:r>
            <w:r>
              <w:rPr>
                <w:noProof/>
                <w:webHidden/>
              </w:rPr>
              <w:fldChar w:fldCharType="separate"/>
            </w:r>
            <w:r>
              <w:rPr>
                <w:noProof/>
                <w:webHidden/>
              </w:rPr>
              <w:t>3</w:t>
            </w:r>
            <w:r>
              <w:rPr>
                <w:noProof/>
                <w:webHidden/>
              </w:rPr>
              <w:fldChar w:fldCharType="end"/>
            </w:r>
          </w:hyperlink>
        </w:p>
        <w:p w14:paraId="142A4382" w14:textId="18A0D156" w:rsidR="00491772" w:rsidRDefault="00491772" w:rsidP="00491772">
          <w:pPr>
            <w:pStyle w:val="TOC3"/>
            <w:tabs>
              <w:tab w:val="right" w:leader="dot" w:pos="9350"/>
            </w:tabs>
            <w:rPr>
              <w:rFonts w:asciiTheme="minorHAnsi" w:eastAsiaTheme="minorEastAsia" w:hAnsiTheme="minorHAnsi" w:cstheme="minorBidi"/>
              <w:noProof/>
              <w:kern w:val="2"/>
              <w:lang w:val="en-IN"/>
              <w14:ligatures w14:val="standardContextual"/>
            </w:rPr>
          </w:pPr>
          <w:hyperlink w:anchor="_Toc225710014" w:history="1">
            <w:r w:rsidRPr="002D1002">
              <w:rPr>
                <w:rStyle w:val="Hyperlink"/>
                <w:noProof/>
              </w:rPr>
              <w:t>2.1.2 Key steps for risk management</w:t>
            </w:r>
            <w:r>
              <w:rPr>
                <w:noProof/>
                <w:webHidden/>
              </w:rPr>
              <w:tab/>
            </w:r>
            <w:r>
              <w:rPr>
                <w:noProof/>
                <w:webHidden/>
              </w:rPr>
              <w:fldChar w:fldCharType="begin"/>
            </w:r>
            <w:r>
              <w:rPr>
                <w:noProof/>
                <w:webHidden/>
              </w:rPr>
              <w:instrText xml:space="preserve"> PAGEREF _Toc225710014 \h </w:instrText>
            </w:r>
            <w:r>
              <w:rPr>
                <w:noProof/>
                <w:webHidden/>
              </w:rPr>
            </w:r>
            <w:r>
              <w:rPr>
                <w:noProof/>
                <w:webHidden/>
              </w:rPr>
              <w:fldChar w:fldCharType="separate"/>
            </w:r>
            <w:r>
              <w:rPr>
                <w:noProof/>
                <w:webHidden/>
              </w:rPr>
              <w:t>5</w:t>
            </w:r>
            <w:r>
              <w:rPr>
                <w:noProof/>
                <w:webHidden/>
              </w:rPr>
              <w:fldChar w:fldCharType="end"/>
            </w:r>
          </w:hyperlink>
        </w:p>
        <w:p w14:paraId="346C949D" w14:textId="4242B93F" w:rsidR="00491772" w:rsidRDefault="00491772" w:rsidP="00491772">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25710015" w:history="1">
            <w:r w:rsidRPr="002D1002">
              <w:rPr>
                <w:rStyle w:val="Hyperlink"/>
                <w:noProof/>
              </w:rPr>
              <w:t>2.2 Contracting</w:t>
            </w:r>
            <w:r>
              <w:rPr>
                <w:noProof/>
                <w:webHidden/>
              </w:rPr>
              <w:tab/>
            </w:r>
            <w:r>
              <w:rPr>
                <w:noProof/>
                <w:webHidden/>
              </w:rPr>
              <w:fldChar w:fldCharType="begin"/>
            </w:r>
            <w:r>
              <w:rPr>
                <w:noProof/>
                <w:webHidden/>
              </w:rPr>
              <w:instrText xml:space="preserve"> PAGEREF _Toc225710015 \h </w:instrText>
            </w:r>
            <w:r>
              <w:rPr>
                <w:noProof/>
                <w:webHidden/>
              </w:rPr>
            </w:r>
            <w:r>
              <w:rPr>
                <w:noProof/>
                <w:webHidden/>
              </w:rPr>
              <w:fldChar w:fldCharType="separate"/>
            </w:r>
            <w:r>
              <w:rPr>
                <w:noProof/>
                <w:webHidden/>
              </w:rPr>
              <w:t>7</w:t>
            </w:r>
            <w:r>
              <w:rPr>
                <w:noProof/>
                <w:webHidden/>
              </w:rPr>
              <w:fldChar w:fldCharType="end"/>
            </w:r>
          </w:hyperlink>
        </w:p>
        <w:p w14:paraId="448E2254" w14:textId="0E7873CD" w:rsidR="00491772" w:rsidRDefault="00491772" w:rsidP="00491772">
          <w:pPr>
            <w:pStyle w:val="TOC3"/>
            <w:tabs>
              <w:tab w:val="right" w:leader="dot" w:pos="9350"/>
            </w:tabs>
            <w:rPr>
              <w:rFonts w:asciiTheme="minorHAnsi" w:eastAsiaTheme="minorEastAsia" w:hAnsiTheme="minorHAnsi" w:cstheme="minorBidi"/>
              <w:noProof/>
              <w:kern w:val="2"/>
              <w:lang w:val="en-IN"/>
              <w14:ligatures w14:val="standardContextual"/>
            </w:rPr>
          </w:pPr>
          <w:hyperlink w:anchor="_Toc225710016" w:history="1">
            <w:r w:rsidRPr="002D1002">
              <w:rPr>
                <w:rStyle w:val="Hyperlink"/>
                <w:noProof/>
              </w:rPr>
              <w:t>2.2.1 Turnkey</w:t>
            </w:r>
            <w:r>
              <w:rPr>
                <w:noProof/>
                <w:webHidden/>
              </w:rPr>
              <w:tab/>
            </w:r>
            <w:r>
              <w:rPr>
                <w:noProof/>
                <w:webHidden/>
              </w:rPr>
              <w:fldChar w:fldCharType="begin"/>
            </w:r>
            <w:r>
              <w:rPr>
                <w:noProof/>
                <w:webHidden/>
              </w:rPr>
              <w:instrText xml:space="preserve"> PAGEREF _Toc225710016 \h </w:instrText>
            </w:r>
            <w:r>
              <w:rPr>
                <w:noProof/>
                <w:webHidden/>
              </w:rPr>
            </w:r>
            <w:r>
              <w:rPr>
                <w:noProof/>
                <w:webHidden/>
              </w:rPr>
              <w:fldChar w:fldCharType="separate"/>
            </w:r>
            <w:r>
              <w:rPr>
                <w:noProof/>
                <w:webHidden/>
              </w:rPr>
              <w:t>7</w:t>
            </w:r>
            <w:r>
              <w:rPr>
                <w:noProof/>
                <w:webHidden/>
              </w:rPr>
              <w:fldChar w:fldCharType="end"/>
            </w:r>
          </w:hyperlink>
        </w:p>
        <w:p w14:paraId="1BC7BB72" w14:textId="037798C3" w:rsidR="00491772" w:rsidRDefault="00491772" w:rsidP="00491772">
          <w:pPr>
            <w:pStyle w:val="TOC3"/>
            <w:tabs>
              <w:tab w:val="right" w:leader="dot" w:pos="9350"/>
            </w:tabs>
            <w:rPr>
              <w:rFonts w:asciiTheme="minorHAnsi" w:eastAsiaTheme="minorEastAsia" w:hAnsiTheme="minorHAnsi" w:cstheme="minorBidi"/>
              <w:noProof/>
              <w:kern w:val="2"/>
              <w:lang w:val="en-IN"/>
              <w14:ligatures w14:val="standardContextual"/>
            </w:rPr>
          </w:pPr>
          <w:hyperlink w:anchor="_Toc225710017" w:history="1">
            <w:r w:rsidRPr="002D1002">
              <w:rPr>
                <w:rStyle w:val="Hyperlink"/>
                <w:noProof/>
              </w:rPr>
              <w:t>2.2.2 Multicontracting</w:t>
            </w:r>
            <w:r>
              <w:rPr>
                <w:noProof/>
                <w:webHidden/>
              </w:rPr>
              <w:tab/>
            </w:r>
            <w:r>
              <w:rPr>
                <w:noProof/>
                <w:webHidden/>
              </w:rPr>
              <w:fldChar w:fldCharType="begin"/>
            </w:r>
            <w:r>
              <w:rPr>
                <w:noProof/>
                <w:webHidden/>
              </w:rPr>
              <w:instrText xml:space="preserve"> PAGEREF _Toc225710017 \h </w:instrText>
            </w:r>
            <w:r>
              <w:rPr>
                <w:noProof/>
                <w:webHidden/>
              </w:rPr>
            </w:r>
            <w:r>
              <w:rPr>
                <w:noProof/>
                <w:webHidden/>
              </w:rPr>
              <w:fldChar w:fldCharType="separate"/>
            </w:r>
            <w:r>
              <w:rPr>
                <w:noProof/>
                <w:webHidden/>
              </w:rPr>
              <w:t>7</w:t>
            </w:r>
            <w:r>
              <w:rPr>
                <w:noProof/>
                <w:webHidden/>
              </w:rPr>
              <w:fldChar w:fldCharType="end"/>
            </w:r>
          </w:hyperlink>
        </w:p>
        <w:p w14:paraId="586ED077" w14:textId="1EA80708" w:rsidR="00491772" w:rsidRDefault="00491772" w:rsidP="00491772">
          <w:pPr>
            <w:pStyle w:val="TOC3"/>
            <w:tabs>
              <w:tab w:val="right" w:leader="dot" w:pos="9350"/>
            </w:tabs>
            <w:rPr>
              <w:rFonts w:asciiTheme="minorHAnsi" w:eastAsiaTheme="minorEastAsia" w:hAnsiTheme="minorHAnsi" w:cstheme="minorBidi"/>
              <w:noProof/>
              <w:kern w:val="2"/>
              <w:lang w:val="en-IN"/>
              <w14:ligatures w14:val="standardContextual"/>
            </w:rPr>
          </w:pPr>
          <w:hyperlink w:anchor="_Toc225710018" w:history="1">
            <w:r w:rsidRPr="002D1002">
              <w:rPr>
                <w:rStyle w:val="Hyperlink"/>
                <w:noProof/>
              </w:rPr>
              <w:t>2.2.3 Do-It-Yourself (DIY)</w:t>
            </w:r>
            <w:r>
              <w:rPr>
                <w:noProof/>
                <w:webHidden/>
              </w:rPr>
              <w:tab/>
            </w:r>
            <w:r>
              <w:rPr>
                <w:noProof/>
                <w:webHidden/>
              </w:rPr>
              <w:fldChar w:fldCharType="begin"/>
            </w:r>
            <w:r>
              <w:rPr>
                <w:noProof/>
                <w:webHidden/>
              </w:rPr>
              <w:instrText xml:space="preserve"> PAGEREF _Toc225710018 \h </w:instrText>
            </w:r>
            <w:r>
              <w:rPr>
                <w:noProof/>
                <w:webHidden/>
              </w:rPr>
            </w:r>
            <w:r>
              <w:rPr>
                <w:noProof/>
                <w:webHidden/>
              </w:rPr>
              <w:fldChar w:fldCharType="separate"/>
            </w:r>
            <w:r>
              <w:rPr>
                <w:noProof/>
                <w:webHidden/>
              </w:rPr>
              <w:t>8</w:t>
            </w:r>
            <w:r>
              <w:rPr>
                <w:noProof/>
                <w:webHidden/>
              </w:rPr>
              <w:fldChar w:fldCharType="end"/>
            </w:r>
          </w:hyperlink>
        </w:p>
        <w:p w14:paraId="2E404D15" w14:textId="58F13C6D" w:rsidR="00491772" w:rsidRDefault="00491772" w:rsidP="00491772">
          <w:pPr>
            <w:pStyle w:val="TOC3"/>
            <w:tabs>
              <w:tab w:val="right" w:leader="dot" w:pos="9350"/>
            </w:tabs>
            <w:rPr>
              <w:rFonts w:asciiTheme="minorHAnsi" w:eastAsiaTheme="minorEastAsia" w:hAnsiTheme="minorHAnsi" w:cstheme="minorBidi"/>
              <w:noProof/>
              <w:kern w:val="2"/>
              <w:lang w:val="en-IN"/>
              <w14:ligatures w14:val="standardContextual"/>
            </w:rPr>
          </w:pPr>
          <w:hyperlink w:anchor="_Toc225710019" w:history="1">
            <w:r w:rsidRPr="002D1002">
              <w:rPr>
                <w:rStyle w:val="Hyperlink"/>
                <w:noProof/>
              </w:rPr>
              <w:t>2.2.4 Hybrid approach</w:t>
            </w:r>
            <w:r>
              <w:rPr>
                <w:noProof/>
                <w:webHidden/>
              </w:rPr>
              <w:tab/>
            </w:r>
            <w:r>
              <w:rPr>
                <w:noProof/>
                <w:webHidden/>
              </w:rPr>
              <w:fldChar w:fldCharType="begin"/>
            </w:r>
            <w:r>
              <w:rPr>
                <w:noProof/>
                <w:webHidden/>
              </w:rPr>
              <w:instrText xml:space="preserve"> PAGEREF _Toc225710019 \h </w:instrText>
            </w:r>
            <w:r>
              <w:rPr>
                <w:noProof/>
                <w:webHidden/>
              </w:rPr>
            </w:r>
            <w:r>
              <w:rPr>
                <w:noProof/>
                <w:webHidden/>
              </w:rPr>
              <w:fldChar w:fldCharType="separate"/>
            </w:r>
            <w:r>
              <w:rPr>
                <w:noProof/>
                <w:webHidden/>
              </w:rPr>
              <w:t>8</w:t>
            </w:r>
            <w:r>
              <w:rPr>
                <w:noProof/>
                <w:webHidden/>
              </w:rPr>
              <w:fldChar w:fldCharType="end"/>
            </w:r>
          </w:hyperlink>
        </w:p>
        <w:p w14:paraId="73D9EF06" w14:textId="7D573E7E" w:rsidR="00491772" w:rsidRDefault="00491772" w:rsidP="00491772">
          <w:pPr>
            <w:pStyle w:val="TOC1"/>
            <w:tabs>
              <w:tab w:val="right" w:leader="dot" w:pos="9350"/>
            </w:tabs>
            <w:rPr>
              <w:rFonts w:asciiTheme="minorHAnsi" w:eastAsiaTheme="minorEastAsia" w:hAnsiTheme="minorHAnsi" w:cstheme="minorBidi"/>
              <w:noProof/>
              <w:kern w:val="2"/>
              <w:lang w:val="en-IN"/>
              <w14:ligatures w14:val="standardContextual"/>
            </w:rPr>
          </w:pPr>
          <w:hyperlink w:anchor="_Toc225710020" w:history="1">
            <w:r w:rsidRPr="002D1002">
              <w:rPr>
                <w:rStyle w:val="Hyperlink"/>
                <w:noProof/>
              </w:rPr>
              <w:t>3. Conclusion</w:t>
            </w:r>
            <w:r>
              <w:rPr>
                <w:noProof/>
                <w:webHidden/>
              </w:rPr>
              <w:tab/>
            </w:r>
            <w:r>
              <w:rPr>
                <w:noProof/>
                <w:webHidden/>
              </w:rPr>
              <w:fldChar w:fldCharType="begin"/>
            </w:r>
            <w:r>
              <w:rPr>
                <w:noProof/>
                <w:webHidden/>
              </w:rPr>
              <w:instrText xml:space="preserve"> PAGEREF _Toc225710020 \h </w:instrText>
            </w:r>
            <w:r>
              <w:rPr>
                <w:noProof/>
                <w:webHidden/>
              </w:rPr>
            </w:r>
            <w:r>
              <w:rPr>
                <w:noProof/>
                <w:webHidden/>
              </w:rPr>
              <w:fldChar w:fldCharType="separate"/>
            </w:r>
            <w:r>
              <w:rPr>
                <w:noProof/>
                <w:webHidden/>
              </w:rPr>
              <w:t>9</w:t>
            </w:r>
            <w:r>
              <w:rPr>
                <w:noProof/>
                <w:webHidden/>
              </w:rPr>
              <w:fldChar w:fldCharType="end"/>
            </w:r>
          </w:hyperlink>
        </w:p>
        <w:p w14:paraId="0AB3B590" w14:textId="453EF5E5" w:rsidR="00491772" w:rsidRDefault="00491772" w:rsidP="00491772">
          <w:pPr>
            <w:pStyle w:val="TOC1"/>
            <w:tabs>
              <w:tab w:val="right" w:leader="dot" w:pos="9350"/>
            </w:tabs>
            <w:rPr>
              <w:rFonts w:asciiTheme="minorHAnsi" w:eastAsiaTheme="minorEastAsia" w:hAnsiTheme="minorHAnsi" w:cstheme="minorBidi"/>
              <w:noProof/>
              <w:kern w:val="2"/>
              <w:lang w:val="en-IN"/>
              <w14:ligatures w14:val="standardContextual"/>
            </w:rPr>
          </w:pPr>
          <w:hyperlink w:anchor="_Toc225710021" w:history="1">
            <w:r w:rsidRPr="002D1002">
              <w:rPr>
                <w:rStyle w:val="Hyperlink"/>
                <w:noProof/>
              </w:rPr>
              <w:t>References</w:t>
            </w:r>
            <w:r>
              <w:rPr>
                <w:noProof/>
                <w:webHidden/>
              </w:rPr>
              <w:tab/>
            </w:r>
            <w:r>
              <w:rPr>
                <w:noProof/>
                <w:webHidden/>
              </w:rPr>
              <w:fldChar w:fldCharType="begin"/>
            </w:r>
            <w:r>
              <w:rPr>
                <w:noProof/>
                <w:webHidden/>
              </w:rPr>
              <w:instrText xml:space="preserve"> PAGEREF _Toc225710021 \h </w:instrText>
            </w:r>
            <w:r>
              <w:rPr>
                <w:noProof/>
                <w:webHidden/>
              </w:rPr>
            </w:r>
            <w:r>
              <w:rPr>
                <w:noProof/>
                <w:webHidden/>
              </w:rPr>
              <w:fldChar w:fldCharType="separate"/>
            </w:r>
            <w:r>
              <w:rPr>
                <w:noProof/>
                <w:webHidden/>
              </w:rPr>
              <w:t>10</w:t>
            </w:r>
            <w:r>
              <w:rPr>
                <w:noProof/>
                <w:webHidden/>
              </w:rPr>
              <w:fldChar w:fldCharType="end"/>
            </w:r>
          </w:hyperlink>
        </w:p>
        <w:p w14:paraId="6EC269A7" w14:textId="2B491CDF" w:rsidR="00A70601" w:rsidRDefault="00A70601" w:rsidP="00491772">
          <w:r>
            <w:rPr>
              <w:b/>
              <w:bCs/>
              <w:noProof/>
            </w:rPr>
            <w:fldChar w:fldCharType="end"/>
          </w:r>
        </w:p>
      </w:sdtContent>
    </w:sdt>
    <w:p w14:paraId="341A7B78" w14:textId="77777777" w:rsidR="00A70601" w:rsidRDefault="00A70601" w:rsidP="00491772">
      <w:pPr>
        <w:rPr>
          <w:b/>
          <w:bCs/>
        </w:rPr>
      </w:pPr>
      <w:r>
        <w:br w:type="page"/>
      </w:r>
    </w:p>
    <w:p w14:paraId="0000000D" w14:textId="5042F76A" w:rsidR="00AE22E7" w:rsidRPr="001270CD" w:rsidRDefault="00486FAC" w:rsidP="00491772">
      <w:pPr>
        <w:pStyle w:val="Heading1"/>
      </w:pPr>
      <w:bookmarkStart w:id="2" w:name="_Toc225710010"/>
      <w:r w:rsidRPr="001270CD">
        <w:lastRenderedPageBreak/>
        <w:t>1. Introduction</w:t>
      </w:r>
      <w:bookmarkEnd w:id="2"/>
    </w:p>
    <w:p w14:paraId="0000000E" w14:textId="77777777" w:rsidR="00AE22E7" w:rsidRPr="001270CD" w:rsidRDefault="00486FAC" w:rsidP="00491772">
      <w:r w:rsidRPr="001270CD">
        <w:t xml:space="preserve">Project management (PM) plays a vital role in ensuring that the objectives of an organisation are achieved within the defined cost and time efficiently while maintaining a standard quality. Contracting strategies and risk management are the two most important components of a project's success. Contracting in PM refers to how resources, risks, and responsibilities are allocated among stakeholders. Various kinds of contracting methods tend to offer different levels of flexibility and control, along with risk </w:t>
      </w:r>
      <w:r w:rsidRPr="001270CD">
        <w:t>distribution. Further, effective risk planning is critical in the unpredictable and dynamic nature of modern projects for minimising any kind of disruption and improving decision-making concerning the project life cycle. Therefore, the essay aims to examine the importance of risk planning, followed by four contracting methods, emphasising their disadvantages and advantages and other related factors. risk planning, followed by four different kinds of contracting methods with an emphasis on their disadvantage</w:t>
      </w:r>
      <w:r w:rsidRPr="001270CD">
        <w:t xml:space="preserve">s and advantages. </w:t>
      </w:r>
    </w:p>
    <w:p w14:paraId="0000000F" w14:textId="77777777" w:rsidR="00AE22E7" w:rsidRPr="001270CD" w:rsidRDefault="00486FAC" w:rsidP="00491772">
      <w:pPr>
        <w:pStyle w:val="Heading1"/>
      </w:pPr>
      <w:bookmarkStart w:id="3" w:name="_jqi84r8yys9n" w:colFirst="0" w:colLast="0"/>
      <w:bookmarkStart w:id="4" w:name="_Toc225710011"/>
      <w:bookmarkEnd w:id="3"/>
      <w:r w:rsidRPr="001270CD">
        <w:t>2. Discussion</w:t>
      </w:r>
      <w:bookmarkEnd w:id="4"/>
      <w:r w:rsidRPr="001270CD">
        <w:t xml:space="preserve"> </w:t>
      </w:r>
    </w:p>
    <w:p w14:paraId="00000010" w14:textId="77777777" w:rsidR="00AE22E7" w:rsidRPr="001270CD" w:rsidRDefault="00486FAC" w:rsidP="00491772">
      <w:pPr>
        <w:pStyle w:val="Heading2"/>
      </w:pPr>
      <w:bookmarkStart w:id="5" w:name="_j60lffxk6es9" w:colFirst="0" w:colLast="0"/>
      <w:bookmarkStart w:id="6" w:name="_Toc225710012"/>
      <w:bookmarkEnd w:id="5"/>
      <w:r w:rsidRPr="001270CD">
        <w:t>2.1 Risk planning</w:t>
      </w:r>
      <w:bookmarkEnd w:id="6"/>
    </w:p>
    <w:p w14:paraId="00000011" w14:textId="77777777" w:rsidR="00AE22E7" w:rsidRPr="001270CD" w:rsidRDefault="00486FAC" w:rsidP="00491772">
      <w:pPr>
        <w:pStyle w:val="Heading3"/>
      </w:pPr>
      <w:bookmarkStart w:id="7" w:name="_mhxxtiklslos" w:colFirst="0" w:colLast="0"/>
      <w:bookmarkStart w:id="8" w:name="_Toc225710013"/>
      <w:bookmarkEnd w:id="7"/>
      <w:r w:rsidRPr="001270CD">
        <w:t>2.1.1 Definition and characteristics of risks</w:t>
      </w:r>
      <w:bookmarkEnd w:id="8"/>
      <w:r w:rsidRPr="001270CD">
        <w:t xml:space="preserve"> </w:t>
      </w:r>
    </w:p>
    <w:p w14:paraId="00000012" w14:textId="77777777" w:rsidR="00AE22E7" w:rsidRDefault="00486FAC" w:rsidP="00491772">
      <w:r w:rsidRPr="001270CD">
        <w:t xml:space="preserve">Risk management is a systematic procedure of identifying, analysing, interpreting and responding to potential risks that can negatively impact the outcome of the project. It has been further supported by the definition of ISO 31000 that risk management follows six steps encompassing consulting, establishing the context, evaluating, monitoring, and treating risks, along with reporting and responding (Björnsdóttir </w:t>
      </w:r>
      <w:r w:rsidRPr="001270CD">
        <w:rPr>
          <w:i/>
          <w:iCs/>
        </w:rPr>
        <w:t>et al.,</w:t>
      </w:r>
      <w:r w:rsidRPr="001270CD">
        <w:t xml:space="preserve"> 2022). </w:t>
      </w:r>
    </w:p>
    <w:p w14:paraId="00000013" w14:textId="20FA1031" w:rsidR="00AE22E7" w:rsidRPr="001270CD" w:rsidRDefault="001270CD" w:rsidP="00491772">
      <w:r>
        <w:rPr>
          <w:noProof/>
        </w:rPr>
        <w:lastRenderedPageBreak/>
        <w:drawing>
          <wp:inline distT="0" distB="0" distL="0" distR="0" wp14:anchorId="4FF5FA2B" wp14:editId="35C6A6CE">
            <wp:extent cx="6134100" cy="3162300"/>
            <wp:effectExtent l="0" t="0" r="19050" b="0"/>
            <wp:docPr id="257207026"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7" r:lo="rId8" r:qs="rId9" r:cs="rId10"/>
              </a:graphicData>
            </a:graphic>
          </wp:inline>
        </w:drawing>
      </w:r>
    </w:p>
    <w:p w14:paraId="00000014" w14:textId="77777777" w:rsidR="00AE22E7" w:rsidRPr="001270CD" w:rsidRDefault="00486FAC" w:rsidP="00491772">
      <w:pPr>
        <w:jc w:val="center"/>
        <w:rPr>
          <w:b/>
          <w:bCs/>
        </w:rPr>
      </w:pPr>
      <w:r w:rsidRPr="001270CD">
        <w:rPr>
          <w:b/>
          <w:bCs/>
        </w:rPr>
        <w:t xml:space="preserve">Figure 1: Characteristics of risks </w:t>
      </w:r>
    </w:p>
    <w:p w14:paraId="00000015" w14:textId="77777777" w:rsidR="00AE22E7" w:rsidRPr="001270CD" w:rsidRDefault="00486FAC" w:rsidP="00491772">
      <w:pPr>
        <w:jc w:val="center"/>
      </w:pPr>
      <w:r w:rsidRPr="001270CD">
        <w:t>(Source: Self-Created)</w:t>
      </w:r>
    </w:p>
    <w:p w14:paraId="00000016" w14:textId="77777777" w:rsidR="00AE22E7" w:rsidRPr="001270CD" w:rsidRDefault="00486FAC" w:rsidP="00491772">
      <w:r w:rsidRPr="001270CD">
        <w:t xml:space="preserve">Figure 1 demonstrates the key characteristics of the risks, such as probability, uncertainty, source, impact, measurability, severity, and manageability, which are going to be discussed in the following. </w:t>
      </w:r>
    </w:p>
    <w:p w14:paraId="00000017" w14:textId="77777777" w:rsidR="00AE22E7" w:rsidRPr="001270CD" w:rsidRDefault="00486FAC" w:rsidP="00491772">
      <w:pPr>
        <w:rPr>
          <w:b/>
          <w:bCs/>
          <w:i/>
          <w:iCs/>
        </w:rPr>
      </w:pPr>
      <w:r w:rsidRPr="001270CD">
        <w:rPr>
          <w:b/>
          <w:bCs/>
          <w:i/>
          <w:iCs/>
        </w:rPr>
        <w:t>Probability and uncertainty</w:t>
      </w:r>
    </w:p>
    <w:p w14:paraId="00000018" w14:textId="77777777" w:rsidR="00AE22E7" w:rsidRPr="001270CD" w:rsidRDefault="00486FAC" w:rsidP="00491772">
      <w:r w:rsidRPr="001270CD">
        <w:t xml:space="preserve">One of the most prominent characteristics of risk is probability and uncertainty. As per the opinion of Develaki (2024), risk is associated with uncertainty, which might or might not take place in future. It is evidence that risk cannot be anticipated, unlike other events that make it challenging to manage. Probability, on the other hand, suggests the likelihood of the risk (Pererva </w:t>
      </w:r>
      <w:r w:rsidRPr="001270CD">
        <w:rPr>
          <w:i/>
          <w:iCs/>
        </w:rPr>
        <w:t>et al.,</w:t>
      </w:r>
      <w:r w:rsidRPr="001270CD">
        <w:t xml:space="preserve"> 2023). A project manager often evaluates probabilities that can impact the project. For instance, in a construction project, a project manager can examine the probability of delays due to extreme weather conditions and the impact of this risk on the project to define the prioritisation and strategy accordingly. </w:t>
      </w:r>
    </w:p>
    <w:p w14:paraId="00000019" w14:textId="77777777" w:rsidR="00AE22E7" w:rsidRPr="001270CD" w:rsidRDefault="00486FAC" w:rsidP="00491772">
      <w:pPr>
        <w:rPr>
          <w:b/>
          <w:bCs/>
          <w:i/>
          <w:iCs/>
        </w:rPr>
      </w:pPr>
      <w:r w:rsidRPr="001270CD">
        <w:rPr>
          <w:b/>
          <w:bCs/>
          <w:i/>
          <w:iCs/>
        </w:rPr>
        <w:t>Measurability and severity</w:t>
      </w:r>
    </w:p>
    <w:p w14:paraId="0000001A" w14:textId="77777777" w:rsidR="00AE22E7" w:rsidRPr="001270CD" w:rsidRDefault="00486FAC" w:rsidP="00491772">
      <w:r w:rsidRPr="001270CD">
        <w:t xml:space="preserve">These are other important characteristics of the risk that can often be quantified. Measurability enables the project managers to analyse both the impact and the probability of the risks and decide the overall severity (Acebes </w:t>
      </w:r>
      <w:r w:rsidRPr="001270CD">
        <w:rPr>
          <w:i/>
          <w:iCs/>
        </w:rPr>
        <w:t>et al.,</w:t>
      </w:r>
      <w:r w:rsidRPr="001270CD">
        <w:t xml:space="preserve"> 2024). Further, severity refers to whether the risk is critical or </w:t>
      </w:r>
      <w:r w:rsidRPr="001270CD">
        <w:lastRenderedPageBreak/>
        <w:t xml:space="preserve">not and based on this, the project manager decides if the risk requires immediate prioritisation or not. </w:t>
      </w:r>
    </w:p>
    <w:p w14:paraId="0000001B" w14:textId="77777777" w:rsidR="00AE22E7" w:rsidRPr="001270CD" w:rsidRDefault="00486FAC" w:rsidP="00491772">
      <w:pPr>
        <w:rPr>
          <w:b/>
          <w:bCs/>
          <w:i/>
          <w:iCs/>
        </w:rPr>
      </w:pPr>
      <w:r w:rsidRPr="001270CD">
        <w:rPr>
          <w:b/>
          <w:bCs/>
          <w:i/>
          <w:iCs/>
        </w:rPr>
        <w:t>Source and impact</w:t>
      </w:r>
    </w:p>
    <w:p w14:paraId="0000001C" w14:textId="77777777" w:rsidR="00AE22E7" w:rsidRPr="001270CD" w:rsidRDefault="00486FAC" w:rsidP="00491772">
      <w:r w:rsidRPr="001270CD">
        <w:t>The origin of the risk is called the source, while impact suggests the effect of the risk on a particular project. The source of the risks can be both external and internal. For instance, poor communication, lack of skill, and individuals are the internal risks that arise within the organisation or project. The external risks of the contrary evolve from the outside of the organisations that involve market fluctuation, economic downturn, and several others. Impact is also characterised as positive and negati</w:t>
      </w:r>
      <w:r w:rsidRPr="001270CD">
        <w:t xml:space="preserve">ve. For example, implementing new technologies may increase risk but improve efficiency, and a negative impact can cause delays and other consequences. </w:t>
      </w:r>
    </w:p>
    <w:p w14:paraId="0000001D" w14:textId="0FB94EBC" w:rsidR="00AE22E7" w:rsidRPr="001270CD" w:rsidRDefault="001270CD" w:rsidP="00491772">
      <w:pPr>
        <w:rPr>
          <w:b/>
          <w:bCs/>
          <w:i/>
          <w:iCs/>
        </w:rPr>
      </w:pPr>
      <w:r w:rsidRPr="001270CD">
        <w:rPr>
          <w:b/>
          <w:bCs/>
          <w:i/>
          <w:iCs/>
        </w:rPr>
        <w:t>Manageability</w:t>
      </w:r>
    </w:p>
    <w:p w14:paraId="0000001E" w14:textId="77777777" w:rsidR="00AE22E7" w:rsidRPr="001270CD" w:rsidRDefault="00486FAC" w:rsidP="00491772">
      <w:r w:rsidRPr="001270CD">
        <w:t xml:space="preserve">It is one of the most important characteristics that relies on the degree of control and nature of the risk. Mendes </w:t>
      </w:r>
      <w:r w:rsidRPr="001270CD">
        <w:rPr>
          <w:i/>
          <w:iCs/>
        </w:rPr>
        <w:t>et al.</w:t>
      </w:r>
      <w:r w:rsidRPr="001270CD">
        <w:t xml:space="preserve"> (2024) discuss common risk management strategies such as transfer, avoidance, mitigation, and acceptance. Understanding the extent of manageability of the risks helps the project manager to respond to the risk with an appropriate strategy and resources. </w:t>
      </w:r>
    </w:p>
    <w:p w14:paraId="0000001F" w14:textId="77777777" w:rsidR="00AE22E7" w:rsidRPr="001270CD" w:rsidRDefault="00486FAC" w:rsidP="00491772">
      <w:pPr>
        <w:pStyle w:val="Heading3"/>
      </w:pPr>
      <w:bookmarkStart w:id="9" w:name="_yfqjr8lq48rn" w:colFirst="0" w:colLast="0"/>
      <w:bookmarkStart w:id="10" w:name="_Toc225710014"/>
      <w:bookmarkEnd w:id="9"/>
      <w:r w:rsidRPr="001270CD">
        <w:t>2.1.2 Key steps for risk management</w:t>
      </w:r>
      <w:bookmarkEnd w:id="10"/>
      <w:r w:rsidRPr="001270CD">
        <w:t xml:space="preserve"> </w:t>
      </w:r>
    </w:p>
    <w:p w14:paraId="00000020" w14:textId="77777777" w:rsidR="00AE22E7" w:rsidRPr="001270CD" w:rsidRDefault="00486FAC" w:rsidP="00491772">
      <w:r w:rsidRPr="001270CD">
        <w:t xml:space="preserve">In order to complete a project successfully, effective risk management is essential by anticipating and responding to the risks. </w:t>
      </w:r>
    </w:p>
    <w:p w14:paraId="00000021" w14:textId="77777777" w:rsidR="00AE22E7" w:rsidRPr="001270CD" w:rsidRDefault="00486FAC" w:rsidP="00491772">
      <w:pPr>
        <w:jc w:val="center"/>
        <w:rPr>
          <w:b/>
          <w:bCs/>
        </w:rPr>
      </w:pPr>
      <w:r w:rsidRPr="001270CD">
        <w:rPr>
          <w:b/>
          <w:bCs/>
        </w:rPr>
        <w:t>Figure 2: Steps for risk management</w:t>
      </w:r>
    </w:p>
    <w:p w14:paraId="00000022" w14:textId="77777777" w:rsidR="00AE22E7" w:rsidRPr="001270CD" w:rsidRDefault="00486FAC" w:rsidP="00491772">
      <w:pPr>
        <w:jc w:val="center"/>
      </w:pPr>
      <w:r w:rsidRPr="001270CD">
        <w:t>(Source: Self-Created)</w:t>
      </w:r>
    </w:p>
    <w:p w14:paraId="00000023" w14:textId="77777777" w:rsidR="00AE22E7" w:rsidRPr="001270CD" w:rsidRDefault="00486FAC" w:rsidP="00491772">
      <w:r w:rsidRPr="001270CD">
        <w:t xml:space="preserve">Figure 2 shows the steps required for effective risk management, which involve identification, analysis, response, monitoring, and control. </w:t>
      </w:r>
    </w:p>
    <w:p w14:paraId="00000024" w14:textId="77777777" w:rsidR="00AE22E7" w:rsidRPr="001270CD" w:rsidRDefault="00486FAC" w:rsidP="00491772">
      <w:pPr>
        <w:rPr>
          <w:b/>
          <w:bCs/>
          <w:i/>
          <w:iCs/>
        </w:rPr>
      </w:pPr>
      <w:r w:rsidRPr="001270CD">
        <w:rPr>
          <w:b/>
          <w:bCs/>
          <w:i/>
          <w:iCs/>
        </w:rPr>
        <w:t xml:space="preserve">Risk identification </w:t>
      </w:r>
    </w:p>
    <w:p w14:paraId="00000025" w14:textId="77777777" w:rsidR="00AE22E7" w:rsidRPr="001270CD" w:rsidRDefault="00486FAC" w:rsidP="00491772">
      <w:r w:rsidRPr="001270CD">
        <w:t>It is the first and most important step of risk management. As discussed by Kiral (2025), risk identification refers to the process of recognising and documenting all the potential risks associated with a project. The authors also suggest that it is a fundamental step as failure to identify risk appropriately not only hinders the quality of a project but also tends to foster a false sense of control. It has been further stated that different techniques, such as checklists, judgment of the experts, brainstor</w:t>
      </w:r>
      <w:r w:rsidRPr="001270CD">
        <w:t xml:space="preserve">ming, and other techniques, are often used to identify the risks of a project. The outcome of this particular step is usually documented in the risk register for the next step, which is risk analysis. </w:t>
      </w:r>
    </w:p>
    <w:p w14:paraId="00000026" w14:textId="77777777" w:rsidR="00AE22E7" w:rsidRPr="001270CD" w:rsidRDefault="00486FAC" w:rsidP="00491772">
      <w:pPr>
        <w:rPr>
          <w:b/>
          <w:bCs/>
          <w:i/>
          <w:iCs/>
        </w:rPr>
      </w:pPr>
      <w:r w:rsidRPr="001270CD">
        <w:rPr>
          <w:b/>
          <w:bCs/>
          <w:i/>
          <w:iCs/>
        </w:rPr>
        <w:lastRenderedPageBreak/>
        <w:t>Risk analysis</w:t>
      </w:r>
    </w:p>
    <w:p w14:paraId="00000027" w14:textId="6BF25435" w:rsidR="00AE22E7" w:rsidRPr="001270CD" w:rsidRDefault="00486FAC" w:rsidP="00491772">
      <w:r w:rsidRPr="001270CD">
        <w:t xml:space="preserve">The next step is risk analysis, which emphasises examining the risks that have been identified. This stage is mainly conducted for using the qualitative and quantitative methods. The position of qualitative analysis directly involved in categorising the risks based on their severity. This is often used by tools such as the probability impact matrices, which directly prioritise them. On the other </w:t>
      </w:r>
      <w:r w:rsidR="00491772" w:rsidRPr="001270CD">
        <w:t>hand,</w:t>
      </w:r>
      <w:r w:rsidRPr="001270CD">
        <w:t xml:space="preserve"> using numerical techniques such as the simulation or in the statistical models also assess the potential financial position or in the time related of risks. Risk analysis determines the risks which are most critical and also require immediate attention (Shaikh and Siponen, 2023). For prioritising, the project managers also allocate the resources in an effective way and focus on various areas which pose the greatest threat to project success.</w:t>
      </w:r>
    </w:p>
    <w:p w14:paraId="00000028" w14:textId="77777777" w:rsidR="00AE22E7" w:rsidRPr="001270CD" w:rsidRDefault="00486FAC" w:rsidP="00491772">
      <w:pPr>
        <w:rPr>
          <w:b/>
          <w:bCs/>
          <w:i/>
          <w:iCs/>
        </w:rPr>
      </w:pPr>
      <w:r w:rsidRPr="001270CD">
        <w:rPr>
          <w:b/>
          <w:bCs/>
          <w:i/>
          <w:iCs/>
        </w:rPr>
        <w:t xml:space="preserve">Risk response </w:t>
      </w:r>
    </w:p>
    <w:p w14:paraId="00000029" w14:textId="77777777" w:rsidR="00AE22E7" w:rsidRPr="001270CD" w:rsidRDefault="00486FAC" w:rsidP="00491772">
      <w:r w:rsidRPr="001270CD">
        <w:t>Risk response planning directly involves developing appropriate strategies for addressing the identified risks (Mızrak, 2023). Several types of common response strategies for negative risk threats. That includes the avoidance, mitigation, transfer and overall acceptance. Risk avoidance involves eliminating the overall risk, often by changing the entire project plan. Mitigation takes an objective to reduce the overall profitability. Risk transfers directly shifted from the responsibility to a third party for</w:t>
      </w:r>
      <w:r w:rsidRPr="001270CD">
        <w:t xml:space="preserve"> following through with the insurance or outsourcing. Acceptance also involves acknowledging the risk opportunities, strategies which may include the exploitation, enhancement or sharing phase. That step is critical for ensuring the project team prepares itself and handles the risk in an effective way. This also reduces the uncertainty and improves the overall project outcomes.</w:t>
      </w:r>
    </w:p>
    <w:p w14:paraId="0000002A" w14:textId="77777777" w:rsidR="00AE22E7" w:rsidRPr="001270CD" w:rsidRDefault="00486FAC" w:rsidP="00491772">
      <w:r w:rsidRPr="001270CD">
        <w:rPr>
          <w:b/>
          <w:bCs/>
          <w:i/>
          <w:iCs/>
        </w:rPr>
        <w:t>Risk monitoring</w:t>
      </w:r>
    </w:p>
    <w:p w14:paraId="0000002B" w14:textId="77777777" w:rsidR="00AE22E7" w:rsidRPr="001270CD" w:rsidRDefault="00486FAC" w:rsidP="00491772">
      <w:r w:rsidRPr="001270CD">
        <w:t>The fourth step is considered risk monitoring, which implies the ongoing process throughout the project lifecycle. Risk also positions a dynamic situation, and it may change the project progress, and also requires a continuous level of monitoring, which is essential. That stage directly involves tracking the identified risks and reviewing the effectiveness of strategies. Moreover, regularly reviewing the position, status of the meeting and taking updates for the risk register are most efficient and common p</w:t>
      </w:r>
      <w:r w:rsidRPr="001270CD">
        <w:t>ractices for this stage. To monitor the risk management also remains an active process rather than a one-time activity. This directly allows the project manager to stay informed and make timely adjustments to the strategies which are needed.</w:t>
      </w:r>
    </w:p>
    <w:p w14:paraId="0000002C" w14:textId="77777777" w:rsidR="00AE22E7" w:rsidRPr="001270CD" w:rsidRDefault="00486FAC" w:rsidP="00491772">
      <w:r w:rsidRPr="001270CD">
        <w:rPr>
          <w:b/>
          <w:bCs/>
          <w:i/>
          <w:iCs/>
        </w:rPr>
        <w:t xml:space="preserve">Risk control </w:t>
      </w:r>
    </w:p>
    <w:p w14:paraId="0000002D" w14:textId="77777777" w:rsidR="00AE22E7" w:rsidRPr="001270CD" w:rsidRDefault="00486FAC" w:rsidP="00491772">
      <w:r w:rsidRPr="001270CD">
        <w:lastRenderedPageBreak/>
        <w:t xml:space="preserve">The final position is risk control, which directly focuses on the implementation of planning the risk response and ensuring the level of effectiveness. That stage also involves taking corrective action for identifying the risks occurring or the existing level of strategies that do not directly produce the desired level of outcomes. Risk control includes the level of risk management plans and reallocating the resources. Risk control updating the risk management plans and reallocating the resources to ensure </w:t>
      </w:r>
      <w:r w:rsidRPr="001270CD">
        <w:t>the stakeholders are informed about the risk-related development. In consideration, an effective level of control mechanisms helps to maintain the project on track and prevent the risks from escalating into a major issue. That also reinforces the accountability within the project team, and it ensures the risk management responsibilities are clearly defined and executed in an efficient way.</w:t>
      </w:r>
    </w:p>
    <w:p w14:paraId="0000002E" w14:textId="77777777" w:rsidR="00AE22E7" w:rsidRPr="001270CD" w:rsidRDefault="00486FAC" w:rsidP="00491772">
      <w:pPr>
        <w:pStyle w:val="Heading2"/>
      </w:pPr>
      <w:bookmarkStart w:id="11" w:name="_bz63kubwkr9d" w:colFirst="0" w:colLast="0"/>
      <w:bookmarkStart w:id="12" w:name="_Toc225710015"/>
      <w:bookmarkEnd w:id="11"/>
      <w:r w:rsidRPr="001270CD">
        <w:t>2.2 Contracting</w:t>
      </w:r>
      <w:bookmarkEnd w:id="12"/>
    </w:p>
    <w:p w14:paraId="0000002F" w14:textId="77777777" w:rsidR="00AE22E7" w:rsidRPr="001270CD" w:rsidRDefault="00486FAC" w:rsidP="00491772">
      <w:r w:rsidRPr="001270CD">
        <w:t xml:space="preserve">The contracting involves four methods, such as multi-contract, turnkey, hybrid and do-it-yourself (DIY), that are discussed below. </w:t>
      </w:r>
    </w:p>
    <w:p w14:paraId="00000030" w14:textId="2213486F" w:rsidR="00AE22E7" w:rsidRPr="001270CD" w:rsidRDefault="00A70601" w:rsidP="00491772">
      <w:pPr>
        <w:pStyle w:val="Heading3"/>
      </w:pPr>
      <w:bookmarkStart w:id="13" w:name="_Toc225710016"/>
      <w:r>
        <w:t xml:space="preserve">2.2.1 </w:t>
      </w:r>
      <w:r w:rsidRPr="001270CD">
        <w:t>Turnkey</w:t>
      </w:r>
      <w:bookmarkEnd w:id="13"/>
      <w:r w:rsidRPr="001270CD">
        <w:t xml:space="preserve"> </w:t>
      </w:r>
    </w:p>
    <w:p w14:paraId="00000031" w14:textId="5F5E0290" w:rsidR="00AE22E7" w:rsidRPr="001270CD" w:rsidRDefault="00486FAC" w:rsidP="00491772">
      <w:r w:rsidRPr="001270CD">
        <w:t xml:space="preserve">According to Bartholomew (2022), in the </w:t>
      </w:r>
      <w:r w:rsidR="00491772" w:rsidRPr="001270CD">
        <w:t>Trunkey</w:t>
      </w:r>
      <w:r w:rsidRPr="001270CD">
        <w:t xml:space="preserve"> method, the project manager usually performs all the tasks virtually that are required to complete the project. In this aspect, the client usually turns the key to start using the completed facility with minimal involvement in the execution process. This method is suitable for complex and large projects where the clients avoid direct involvement or lack technical expertise regarding project management. </w:t>
      </w:r>
    </w:p>
    <w:p w14:paraId="00000032" w14:textId="77777777" w:rsidR="00AE22E7" w:rsidRPr="001270CD" w:rsidRDefault="00486FAC" w:rsidP="00491772">
      <w:pPr>
        <w:rPr>
          <w:b/>
          <w:bCs/>
        </w:rPr>
      </w:pPr>
      <w:r w:rsidRPr="001270CD">
        <w:rPr>
          <w:b/>
          <w:bCs/>
        </w:rPr>
        <w:t xml:space="preserve">Advantage and disadvantage </w:t>
      </w:r>
    </w:p>
    <w:p w14:paraId="00000033" w14:textId="77777777" w:rsidR="00AE22E7" w:rsidRPr="001270CD" w:rsidRDefault="00486FAC" w:rsidP="00491772">
      <w:r w:rsidRPr="001270CD">
        <w:t>A major advantage of the Turkey contracting is its convenience. The coordination becomes easier in this method as the responsibility is managed single-handedly, and the client does not need to manage the various contractors. However, it also contains some advantages, which include limited control over the project. The decisions regarding execution and design are managed single-handedly with minimal scope of introduction, which may not fully align with the expectations of the client. Apart from that, the met</w:t>
      </w:r>
      <w:r w:rsidRPr="001270CD">
        <w:t>hod can be expensive as the contractor prefers premium pricing to cover all the uncertainties.</w:t>
      </w:r>
    </w:p>
    <w:p w14:paraId="00000034" w14:textId="775636B3" w:rsidR="00AE22E7" w:rsidRPr="001270CD" w:rsidRDefault="00AA2F7D" w:rsidP="00491772">
      <w:pPr>
        <w:pStyle w:val="Heading3"/>
      </w:pPr>
      <w:bookmarkStart w:id="14" w:name="_Toc225710017"/>
      <w:r>
        <w:t xml:space="preserve">2.2.2 </w:t>
      </w:r>
      <w:r w:rsidRPr="001270CD">
        <w:t>Multicontracting</w:t>
      </w:r>
      <w:bookmarkEnd w:id="14"/>
    </w:p>
    <w:p w14:paraId="00000035" w14:textId="43B30222" w:rsidR="00AE22E7" w:rsidRPr="001270CD" w:rsidRDefault="00486FAC" w:rsidP="00491772">
      <w:r w:rsidRPr="001270CD">
        <w:t xml:space="preserve">As stated by Brnabić (20222), the client, in the </w:t>
      </w:r>
      <w:r w:rsidR="00491772">
        <w:t>m</w:t>
      </w:r>
      <w:r w:rsidR="00491772" w:rsidRPr="001270CD">
        <w:t>ulticontracting</w:t>
      </w:r>
      <w:r w:rsidRPr="001270CD">
        <w:t xml:space="preserve"> method, engages with multiple contractors separately for various parts of the project, such as construction, design, plumbing, electrical work and others. The project manager or the client in this particular method is responsible </w:t>
      </w:r>
      <w:r w:rsidRPr="001270CD">
        <w:lastRenderedPageBreak/>
        <w:t xml:space="preserve">for communicating and coordinating with all the contractors. The method is appropriate for the project in which the client or project manager has the flexibility and greater control that allows them to choose a specialised contractor for each task. </w:t>
      </w:r>
    </w:p>
    <w:p w14:paraId="00000036" w14:textId="77777777" w:rsidR="00AE22E7" w:rsidRPr="001270CD" w:rsidRDefault="00486FAC" w:rsidP="00491772">
      <w:pPr>
        <w:rPr>
          <w:b/>
          <w:bCs/>
        </w:rPr>
      </w:pPr>
      <w:r w:rsidRPr="001270CD">
        <w:rPr>
          <w:b/>
          <w:bCs/>
        </w:rPr>
        <w:t xml:space="preserve">Advantage and disadvantage </w:t>
      </w:r>
    </w:p>
    <w:p w14:paraId="00000037" w14:textId="77777777" w:rsidR="00AE22E7" w:rsidRPr="001270CD" w:rsidRDefault="00486FAC" w:rsidP="00491772">
      <w:r w:rsidRPr="001270CD">
        <w:t>As the client has a specialised contractor for different tasks, the project becomes higher quality with a great scope of innovation. Flexibility and greater control are also advantages of this method, along with cost optimisation. One of the most prominent advantages of this method is complexity, as it often becomes difficult for the client to communicate with multiple contractors, which can cause delays, communication breakdown and conflicts.</w:t>
      </w:r>
    </w:p>
    <w:p w14:paraId="00000038" w14:textId="34991D0A" w:rsidR="00AE22E7" w:rsidRPr="001270CD" w:rsidRDefault="00AA2F7D" w:rsidP="00491772">
      <w:pPr>
        <w:pStyle w:val="Heading3"/>
      </w:pPr>
      <w:bookmarkStart w:id="15" w:name="_Toc225710018"/>
      <w:r>
        <w:t xml:space="preserve">2.2.3 </w:t>
      </w:r>
      <w:r w:rsidRPr="001270CD">
        <w:t>Do-It-Yourself (DIY)</w:t>
      </w:r>
      <w:bookmarkEnd w:id="15"/>
    </w:p>
    <w:p w14:paraId="00000039" w14:textId="0AF73C15" w:rsidR="00AE22E7" w:rsidRPr="001270CD" w:rsidRDefault="00486FAC" w:rsidP="00491772">
      <w:pPr>
        <w:rPr>
          <w:b/>
          <w:bCs/>
          <w:i/>
          <w:iCs/>
        </w:rPr>
      </w:pPr>
      <w:r w:rsidRPr="001270CD">
        <w:t xml:space="preserve">The DIY approach directly involves the client taking on full responsibilities for managing and executing the project, often using household resources (Hoftijzer and Keyson, 2023). The external position of the contractor might be hired for specific tasks, hence the overall control also remains with the client. This method is suitable for smaller projects and organisations with a strong level of internal expertise. In the context </w:t>
      </w:r>
      <w:r w:rsidR="00491772">
        <w:t>in</w:t>
      </w:r>
      <w:r w:rsidRPr="001270CD">
        <w:t xml:space="preserve"> the commercial complex, DIY is appropriate for the client who maintains a large construction firm with a sufficient level of technical and managerial capabilities. </w:t>
      </w:r>
    </w:p>
    <w:p w14:paraId="0000003A" w14:textId="77777777" w:rsidR="00AE22E7" w:rsidRPr="001270CD" w:rsidRDefault="00486FAC" w:rsidP="00491772">
      <w:pPr>
        <w:rPr>
          <w:b/>
          <w:bCs/>
        </w:rPr>
      </w:pPr>
      <w:r w:rsidRPr="001270CD">
        <w:rPr>
          <w:b/>
          <w:bCs/>
        </w:rPr>
        <w:t xml:space="preserve">Advantage and disadvantage </w:t>
      </w:r>
    </w:p>
    <w:p w14:paraId="0000003B" w14:textId="77777777" w:rsidR="00AE22E7" w:rsidRPr="001270CD" w:rsidRDefault="00486FAC" w:rsidP="00491772">
      <w:r w:rsidRPr="001270CD">
        <w:t>The most prominent advantages of DIY are mainly contracting in maximum control. The client can overlook every aspect of the project, which ensures alignment closely with their vision and requirements. This can also lead to cost savings, and there is also no need to pay the contractors for profit margin. The disadvantages are also significantly identified on DIY. This method requires expertise, time and various resources. The client assumes that all of the risks include delayed cost, which overruns the quali</w:t>
      </w:r>
      <w:r w:rsidRPr="001270CD">
        <w:t xml:space="preserve">ty issues. </w:t>
      </w:r>
    </w:p>
    <w:p w14:paraId="0000003C" w14:textId="71F6D5E8" w:rsidR="00AE22E7" w:rsidRPr="001270CD" w:rsidRDefault="00AA2F7D" w:rsidP="00491772">
      <w:pPr>
        <w:pStyle w:val="Heading3"/>
      </w:pPr>
      <w:bookmarkStart w:id="16" w:name="_Toc225710019"/>
      <w:r>
        <w:t xml:space="preserve">2.2.4 </w:t>
      </w:r>
      <w:r w:rsidRPr="001270CD">
        <w:t>Hybrid approach</w:t>
      </w:r>
      <w:bookmarkEnd w:id="16"/>
    </w:p>
    <w:p w14:paraId="0000003D" w14:textId="0BA7BDAA" w:rsidR="00AE22E7" w:rsidRPr="001270CD" w:rsidRDefault="00486FAC" w:rsidP="00491772">
      <w:pPr>
        <w:rPr>
          <w:b/>
          <w:bCs/>
          <w:i/>
          <w:iCs/>
        </w:rPr>
      </w:pPr>
      <w:r w:rsidRPr="001270CD">
        <w:t xml:space="preserve">The </w:t>
      </w:r>
      <w:r w:rsidR="00491772">
        <w:t>m</w:t>
      </w:r>
      <w:r w:rsidR="00491772" w:rsidRPr="001270CD">
        <w:t>ulticontracting</w:t>
      </w:r>
      <w:r w:rsidRPr="001270CD">
        <w:t xml:space="preserve"> and DIY approach together is considered a hybrid method, which combines the elements of multicontracting and DIY (Musfiqoh </w:t>
      </w:r>
      <w:r w:rsidRPr="001270CD">
        <w:rPr>
          <w:i/>
          <w:iCs/>
        </w:rPr>
        <w:t>et al.,</w:t>
      </w:r>
      <w:r w:rsidRPr="001270CD">
        <w:t xml:space="preserve"> 2024) In this model, the client directly manages certain parts of the projects, which internally outsource the components to specialised contractors. This method is special for projects where the clients are partially experienced and have control over the critical aspects. It leverages the external skills for the specialised tasks. As per the </w:t>
      </w:r>
      <w:r w:rsidRPr="001270CD">
        <w:lastRenderedPageBreak/>
        <w:t>example, the constr</w:t>
      </w:r>
      <w:r w:rsidRPr="001270CD">
        <w:t>uction of the client might be managed through project planning and procurement internally at the time of outsourcing construction and technical work to contractors.</w:t>
      </w:r>
    </w:p>
    <w:p w14:paraId="0000003E" w14:textId="77777777" w:rsidR="00AE22E7" w:rsidRPr="001270CD" w:rsidRDefault="00486FAC" w:rsidP="00491772">
      <w:pPr>
        <w:rPr>
          <w:b/>
          <w:bCs/>
        </w:rPr>
      </w:pPr>
      <w:r w:rsidRPr="001270CD">
        <w:rPr>
          <w:b/>
          <w:bCs/>
        </w:rPr>
        <w:t xml:space="preserve">Advantage and disadvantage </w:t>
      </w:r>
    </w:p>
    <w:p w14:paraId="0000003F" w14:textId="77777777" w:rsidR="00AE22E7" w:rsidRPr="001270CD" w:rsidRDefault="00486FAC" w:rsidP="00491772">
      <w:pPr>
        <w:rPr>
          <w:b/>
          <w:bCs/>
          <w:i/>
          <w:iCs/>
        </w:rPr>
      </w:pPr>
      <w:r w:rsidRPr="001270CD">
        <w:t>The main advantage of the approach is balance, which allows the client to maintain control over key decisions while benefiting from the expertise of external contractors. This also provides the flexibility which enables the client to adapt the project progress. This method is also used in complex situations to manage and involve both internal teams and multiple contractors. The coordination also faces challenges, which may add risk for nuclear responsibilities between different parties. In addition, the cli</w:t>
      </w:r>
      <w:r w:rsidRPr="001270CD">
        <w:t>ent also bears the portions of the risk and particularly the components that are also managed internally.</w:t>
      </w:r>
    </w:p>
    <w:p w14:paraId="00000040" w14:textId="77777777" w:rsidR="00AE22E7" w:rsidRPr="001270CD" w:rsidRDefault="00486FAC" w:rsidP="00491772">
      <w:pPr>
        <w:pStyle w:val="Heading1"/>
      </w:pPr>
      <w:bookmarkStart w:id="17" w:name="_9jl1jwb81r4u" w:colFirst="0" w:colLast="0"/>
      <w:bookmarkStart w:id="18" w:name="_Toc225710020"/>
      <w:bookmarkEnd w:id="17"/>
      <w:r w:rsidRPr="001270CD">
        <w:t>3. Conclusion</w:t>
      </w:r>
      <w:bookmarkEnd w:id="18"/>
      <w:r w:rsidRPr="001270CD">
        <w:t xml:space="preserve"> </w:t>
      </w:r>
    </w:p>
    <w:p w14:paraId="00000041" w14:textId="77777777" w:rsidR="00AE22E7" w:rsidRPr="001270CD" w:rsidRDefault="00486FAC" w:rsidP="00491772">
      <w:r w:rsidRPr="001270CD">
        <w:t>It can be concluded from the above discussion that an effective PM depends on the appropriate contracting strategies and risk planning. Risk is an avoidable part of the project which is characterised by probability, uncertainty, impact and several others. It is crucial to understand all the characteristics and steps of risk management that involve identification, analysis or evaluation, response, control and monitoring. These are essential to improve the decision-making process, reduce the number of disrupt</w:t>
      </w:r>
      <w:r w:rsidRPr="001270CD">
        <w:t>ions, and improve the quality of the project within the constrained cost and time. Further, the four types of methodologies have also been discussed in detail along with their suitability, advantages, and disadvantages. It can be seen that while turnkey is best suited for large projects, DIY enables maximum control. Can we say that no particular method is best suited for all projects, which always depends on scale, complexity and capabilities of the project manager.</w:t>
      </w:r>
    </w:p>
    <w:p w14:paraId="00000042" w14:textId="77777777" w:rsidR="00AE22E7" w:rsidRPr="001270CD" w:rsidRDefault="00486FAC" w:rsidP="00491772">
      <w:r w:rsidRPr="001270CD">
        <w:br w:type="page"/>
      </w:r>
    </w:p>
    <w:p w14:paraId="00000043" w14:textId="77777777" w:rsidR="00AE22E7" w:rsidRPr="001270CD" w:rsidRDefault="00486FAC" w:rsidP="00491772">
      <w:pPr>
        <w:pStyle w:val="Heading1"/>
      </w:pPr>
      <w:bookmarkStart w:id="19" w:name="_3kfvsphbgxzg" w:colFirst="0" w:colLast="0"/>
      <w:bookmarkStart w:id="20" w:name="_Toc225710021"/>
      <w:bookmarkEnd w:id="19"/>
      <w:r w:rsidRPr="001270CD">
        <w:lastRenderedPageBreak/>
        <w:t>References</w:t>
      </w:r>
      <w:bookmarkEnd w:id="20"/>
      <w:r w:rsidRPr="001270CD">
        <w:t xml:space="preserve"> </w:t>
      </w:r>
    </w:p>
    <w:p w14:paraId="3E36C485" w14:textId="77777777" w:rsidR="0053748D" w:rsidRPr="0053748D" w:rsidRDefault="0053748D" w:rsidP="00491772">
      <w:pPr>
        <w:rPr>
          <w:color w:val="000000" w:themeColor="text1"/>
          <w:highlight w:val="white"/>
        </w:rPr>
      </w:pPr>
      <w:r w:rsidRPr="0053748D">
        <w:rPr>
          <w:color w:val="000000" w:themeColor="text1"/>
          <w:highlight w:val="white"/>
        </w:rPr>
        <w:t xml:space="preserve">Acebes, F., González-Varona, J.M., López-Paredes, A. and Pajares, J., 2024. Beyond probability-impact matrices in project risk management: A quantitative methodology for risk prioritisation. </w:t>
      </w:r>
      <w:r w:rsidRPr="0053748D">
        <w:rPr>
          <w:i/>
          <w:iCs/>
          <w:color w:val="000000" w:themeColor="text1"/>
          <w:highlight w:val="white"/>
        </w:rPr>
        <w:t>Humanities and Social Sciences Communications</w:t>
      </w:r>
      <w:r w:rsidRPr="0053748D">
        <w:rPr>
          <w:color w:val="000000" w:themeColor="text1"/>
          <w:highlight w:val="white"/>
        </w:rPr>
        <w:t xml:space="preserve">, </w:t>
      </w:r>
      <w:r w:rsidRPr="0053748D">
        <w:rPr>
          <w:i/>
          <w:iCs/>
          <w:color w:val="000000" w:themeColor="text1"/>
          <w:highlight w:val="white"/>
        </w:rPr>
        <w:t>11</w:t>
      </w:r>
      <w:r w:rsidRPr="0053748D">
        <w:rPr>
          <w:color w:val="000000" w:themeColor="text1"/>
          <w:highlight w:val="white"/>
        </w:rPr>
        <w:t>(1), pp.1-13.</w:t>
      </w:r>
    </w:p>
    <w:p w14:paraId="561E07B2" w14:textId="77777777" w:rsidR="0053748D" w:rsidRPr="0053748D" w:rsidRDefault="0053748D" w:rsidP="00491772">
      <w:pPr>
        <w:rPr>
          <w:color w:val="000000" w:themeColor="text1"/>
          <w:highlight w:val="white"/>
        </w:rPr>
      </w:pPr>
      <w:r w:rsidRPr="0053748D">
        <w:rPr>
          <w:color w:val="000000" w:themeColor="text1"/>
          <w:highlight w:val="white"/>
        </w:rPr>
        <w:t xml:space="preserve">Bartholomew, S.H., 2022. 3. The Prime Contract—An Overview. </w:t>
      </w:r>
      <w:r w:rsidRPr="0053748D">
        <w:rPr>
          <w:i/>
          <w:iCs/>
          <w:color w:val="000000" w:themeColor="text1"/>
          <w:highlight w:val="white"/>
        </w:rPr>
        <w:t>Construction Contracting</w:t>
      </w:r>
      <w:r w:rsidRPr="0053748D">
        <w:rPr>
          <w:color w:val="000000" w:themeColor="text1"/>
          <w:highlight w:val="white"/>
        </w:rPr>
        <w:t>.</w:t>
      </w:r>
    </w:p>
    <w:p w14:paraId="591A0849" w14:textId="77777777" w:rsidR="0053748D" w:rsidRPr="0053748D" w:rsidRDefault="0053748D" w:rsidP="00491772">
      <w:pPr>
        <w:rPr>
          <w:color w:val="000000" w:themeColor="text1"/>
          <w:highlight w:val="white"/>
        </w:rPr>
      </w:pPr>
      <w:r w:rsidRPr="0053748D">
        <w:rPr>
          <w:color w:val="000000" w:themeColor="text1"/>
          <w:highlight w:val="white"/>
        </w:rPr>
        <w:t xml:space="preserve">Björnsdóttir, S.H., Jensson, P., de Boer, R.J. and Thorsteinsson, S.E., 2022. The importance of risk management: What is missing in ISO standards?. </w:t>
      </w:r>
      <w:r w:rsidRPr="0053748D">
        <w:rPr>
          <w:i/>
          <w:iCs/>
          <w:color w:val="000000" w:themeColor="text1"/>
          <w:highlight w:val="white"/>
        </w:rPr>
        <w:t>Risk Analysis</w:t>
      </w:r>
      <w:r w:rsidRPr="0053748D">
        <w:rPr>
          <w:color w:val="000000" w:themeColor="text1"/>
          <w:highlight w:val="white"/>
        </w:rPr>
        <w:t xml:space="preserve">, </w:t>
      </w:r>
      <w:r w:rsidRPr="0053748D">
        <w:rPr>
          <w:i/>
          <w:iCs/>
          <w:color w:val="000000" w:themeColor="text1"/>
          <w:highlight w:val="white"/>
        </w:rPr>
        <w:t>42</w:t>
      </w:r>
      <w:r w:rsidRPr="0053748D">
        <w:rPr>
          <w:color w:val="000000" w:themeColor="text1"/>
          <w:highlight w:val="white"/>
        </w:rPr>
        <w:t>(4), pp.659-691.</w:t>
      </w:r>
    </w:p>
    <w:p w14:paraId="56BCC371" w14:textId="77777777" w:rsidR="0053748D" w:rsidRPr="0053748D" w:rsidRDefault="0053748D" w:rsidP="00491772">
      <w:pPr>
        <w:rPr>
          <w:color w:val="000000" w:themeColor="text1"/>
          <w:highlight w:val="white"/>
        </w:rPr>
      </w:pPr>
      <w:r w:rsidRPr="0053748D">
        <w:rPr>
          <w:color w:val="000000" w:themeColor="text1"/>
          <w:highlight w:val="white"/>
        </w:rPr>
        <w:t xml:space="preserve">Brnabić, R., 2026. Offshore Wind Farm Development: Contractual Structures, Risk Allocation and Regulatory Challenges with a Focus on Croatia. </w:t>
      </w:r>
      <w:r w:rsidRPr="0053748D">
        <w:rPr>
          <w:i/>
          <w:iCs/>
          <w:color w:val="000000" w:themeColor="text1"/>
          <w:highlight w:val="white"/>
        </w:rPr>
        <w:t>Transactions on Maritime Science</w:t>
      </w:r>
      <w:r w:rsidRPr="0053748D">
        <w:rPr>
          <w:color w:val="000000" w:themeColor="text1"/>
          <w:highlight w:val="white"/>
        </w:rPr>
        <w:t xml:space="preserve">, </w:t>
      </w:r>
      <w:r w:rsidRPr="0053748D">
        <w:rPr>
          <w:i/>
          <w:iCs/>
          <w:color w:val="000000" w:themeColor="text1"/>
          <w:highlight w:val="white"/>
        </w:rPr>
        <w:t>15</w:t>
      </w:r>
      <w:r w:rsidRPr="0053748D">
        <w:rPr>
          <w:color w:val="000000" w:themeColor="text1"/>
          <w:highlight w:val="white"/>
        </w:rPr>
        <w:t>(1).</w:t>
      </w:r>
    </w:p>
    <w:p w14:paraId="22A2A79C" w14:textId="77777777" w:rsidR="0053748D" w:rsidRPr="0053748D" w:rsidRDefault="0053748D" w:rsidP="00491772">
      <w:pPr>
        <w:rPr>
          <w:color w:val="000000" w:themeColor="text1"/>
          <w:highlight w:val="white"/>
        </w:rPr>
      </w:pPr>
      <w:r w:rsidRPr="0053748D">
        <w:rPr>
          <w:color w:val="000000" w:themeColor="text1"/>
          <w:highlight w:val="white"/>
        </w:rPr>
        <w:t xml:space="preserve">Develaki, M., 2024. Uncertainty, risk, and decision-making: Concepts, guidelines, and educational implications. </w:t>
      </w:r>
      <w:r w:rsidRPr="0053748D">
        <w:rPr>
          <w:i/>
          <w:iCs/>
          <w:color w:val="000000" w:themeColor="text1"/>
          <w:highlight w:val="white"/>
        </w:rPr>
        <w:t>Science &amp; education</w:t>
      </w:r>
      <w:r w:rsidRPr="0053748D">
        <w:rPr>
          <w:color w:val="000000" w:themeColor="text1"/>
          <w:highlight w:val="white"/>
        </w:rPr>
        <w:t>, pp.1-32.</w:t>
      </w:r>
    </w:p>
    <w:p w14:paraId="5504D22E" w14:textId="77777777" w:rsidR="0053748D" w:rsidRPr="0053748D" w:rsidRDefault="0053748D" w:rsidP="00491772">
      <w:pPr>
        <w:rPr>
          <w:color w:val="000000" w:themeColor="text1"/>
          <w:highlight w:val="white"/>
        </w:rPr>
      </w:pPr>
      <w:r w:rsidRPr="0053748D">
        <w:rPr>
          <w:color w:val="000000" w:themeColor="text1"/>
          <w:highlight w:val="white"/>
        </w:rPr>
        <w:t xml:space="preserve">Hoftijzer, J. and Keyson, D., 2023. A framework model for facilitating do-it-yourself design. </w:t>
      </w:r>
      <w:r w:rsidRPr="0053748D">
        <w:rPr>
          <w:i/>
          <w:iCs/>
          <w:color w:val="000000" w:themeColor="text1"/>
          <w:highlight w:val="white"/>
        </w:rPr>
        <w:t>Proceedings of the Design Society</w:t>
      </w:r>
      <w:r w:rsidRPr="0053748D">
        <w:rPr>
          <w:color w:val="000000" w:themeColor="text1"/>
          <w:highlight w:val="white"/>
        </w:rPr>
        <w:t xml:space="preserve">, </w:t>
      </w:r>
      <w:r w:rsidRPr="0053748D">
        <w:rPr>
          <w:i/>
          <w:iCs/>
          <w:color w:val="000000" w:themeColor="text1"/>
          <w:highlight w:val="white"/>
        </w:rPr>
        <w:t>3</w:t>
      </w:r>
      <w:r w:rsidRPr="0053748D">
        <w:rPr>
          <w:color w:val="000000" w:themeColor="text1"/>
          <w:highlight w:val="white"/>
        </w:rPr>
        <w:t>, pp.181-190.</w:t>
      </w:r>
    </w:p>
    <w:p w14:paraId="350005A1" w14:textId="77777777" w:rsidR="0053748D" w:rsidRPr="0053748D" w:rsidRDefault="0053748D" w:rsidP="00491772">
      <w:pPr>
        <w:rPr>
          <w:color w:val="000000" w:themeColor="text1"/>
          <w:highlight w:val="white"/>
        </w:rPr>
      </w:pPr>
      <w:r w:rsidRPr="0053748D">
        <w:rPr>
          <w:color w:val="000000" w:themeColor="text1"/>
          <w:highlight w:val="white"/>
        </w:rPr>
        <w:t xml:space="preserve">Kiral, I.A., 2025. Contextual evaluation of risk identification techniques for construction projects: comparative insights and a decision-support model. </w:t>
      </w:r>
      <w:r w:rsidRPr="0053748D">
        <w:rPr>
          <w:i/>
          <w:iCs/>
          <w:color w:val="000000" w:themeColor="text1"/>
          <w:highlight w:val="white"/>
        </w:rPr>
        <w:t>Buildings</w:t>
      </w:r>
      <w:r w:rsidRPr="0053748D">
        <w:rPr>
          <w:color w:val="000000" w:themeColor="text1"/>
          <w:highlight w:val="white"/>
        </w:rPr>
        <w:t xml:space="preserve">, </w:t>
      </w:r>
      <w:r w:rsidRPr="0053748D">
        <w:rPr>
          <w:i/>
          <w:iCs/>
          <w:color w:val="000000" w:themeColor="text1"/>
          <w:highlight w:val="white"/>
        </w:rPr>
        <w:t>15</w:t>
      </w:r>
      <w:r w:rsidRPr="0053748D">
        <w:rPr>
          <w:color w:val="000000" w:themeColor="text1"/>
          <w:highlight w:val="white"/>
        </w:rPr>
        <w:t>(20), p.3806.</w:t>
      </w:r>
    </w:p>
    <w:p w14:paraId="5CE4BFF0" w14:textId="77777777" w:rsidR="0053748D" w:rsidRPr="0053748D" w:rsidRDefault="0053748D" w:rsidP="00491772">
      <w:pPr>
        <w:rPr>
          <w:color w:val="000000" w:themeColor="text1"/>
          <w:highlight w:val="white"/>
        </w:rPr>
      </w:pPr>
      <w:r w:rsidRPr="0053748D">
        <w:rPr>
          <w:color w:val="000000" w:themeColor="text1"/>
          <w:highlight w:val="white"/>
        </w:rPr>
        <w:t xml:space="preserve">Mendes, J.P., Marques, M. and Guedes Soares, C., 2024. Risk avoidance in strategic technology adoption. </w:t>
      </w:r>
      <w:r w:rsidRPr="0053748D">
        <w:rPr>
          <w:i/>
          <w:iCs/>
          <w:color w:val="000000" w:themeColor="text1"/>
          <w:highlight w:val="white"/>
        </w:rPr>
        <w:t>Journal of Modelling in Management</w:t>
      </w:r>
      <w:r w:rsidRPr="0053748D">
        <w:rPr>
          <w:color w:val="000000" w:themeColor="text1"/>
          <w:highlight w:val="white"/>
        </w:rPr>
        <w:t xml:space="preserve">, </w:t>
      </w:r>
      <w:r w:rsidRPr="0053748D">
        <w:rPr>
          <w:i/>
          <w:iCs/>
          <w:color w:val="000000" w:themeColor="text1"/>
          <w:highlight w:val="white"/>
        </w:rPr>
        <w:t>19</w:t>
      </w:r>
      <w:r w:rsidRPr="0053748D">
        <w:rPr>
          <w:color w:val="000000" w:themeColor="text1"/>
          <w:highlight w:val="white"/>
        </w:rPr>
        <w:t>(5), pp.1485-1509.</w:t>
      </w:r>
    </w:p>
    <w:p w14:paraId="4EA43AD8" w14:textId="77777777" w:rsidR="0053748D" w:rsidRPr="0053748D" w:rsidRDefault="0053748D" w:rsidP="00491772">
      <w:pPr>
        <w:rPr>
          <w:color w:val="000000" w:themeColor="text1"/>
          <w:highlight w:val="white"/>
        </w:rPr>
      </w:pPr>
      <w:r w:rsidRPr="0053748D">
        <w:rPr>
          <w:color w:val="000000" w:themeColor="text1"/>
          <w:highlight w:val="white"/>
        </w:rPr>
        <w:t xml:space="preserve">Mızrak, F., 2023. Integrating cybersecurity risk management into strategic management: a comprehensive literature review. </w:t>
      </w:r>
      <w:r w:rsidRPr="0053748D">
        <w:rPr>
          <w:i/>
          <w:iCs/>
          <w:color w:val="000000" w:themeColor="text1"/>
          <w:highlight w:val="white"/>
        </w:rPr>
        <w:t>Research Journal of Business and Management</w:t>
      </w:r>
      <w:r w:rsidRPr="0053748D">
        <w:rPr>
          <w:color w:val="000000" w:themeColor="text1"/>
          <w:highlight w:val="white"/>
        </w:rPr>
        <w:t xml:space="preserve">, </w:t>
      </w:r>
      <w:r w:rsidRPr="0053748D">
        <w:rPr>
          <w:i/>
          <w:iCs/>
          <w:color w:val="000000" w:themeColor="text1"/>
          <w:highlight w:val="white"/>
        </w:rPr>
        <w:t>10</w:t>
      </w:r>
      <w:r w:rsidRPr="0053748D">
        <w:rPr>
          <w:color w:val="000000" w:themeColor="text1"/>
          <w:highlight w:val="white"/>
        </w:rPr>
        <w:t>(3), pp.98-108.</w:t>
      </w:r>
    </w:p>
    <w:p w14:paraId="0D725673" w14:textId="77777777" w:rsidR="0053748D" w:rsidRPr="0053748D" w:rsidRDefault="0053748D" w:rsidP="00491772">
      <w:pPr>
        <w:rPr>
          <w:color w:val="000000" w:themeColor="text1"/>
        </w:rPr>
      </w:pPr>
      <w:r w:rsidRPr="0053748D">
        <w:rPr>
          <w:color w:val="000000" w:themeColor="text1"/>
          <w:highlight w:val="white"/>
        </w:rPr>
        <w:t xml:space="preserve">Musfiqoh, S., Sukamto, S. and Wati, Y.C., 2024. Hybrid Contracts in Islamic Financial Institutions: An Analysis of Multi-contract Models. </w:t>
      </w:r>
      <w:r w:rsidRPr="0053748D">
        <w:rPr>
          <w:i/>
          <w:iCs/>
          <w:color w:val="000000" w:themeColor="text1"/>
          <w:highlight w:val="white"/>
        </w:rPr>
        <w:t>Li Falah: Journal of Islamic Economics and Business</w:t>
      </w:r>
      <w:r w:rsidRPr="0053748D">
        <w:rPr>
          <w:color w:val="000000" w:themeColor="text1"/>
          <w:highlight w:val="white"/>
        </w:rPr>
        <w:t xml:space="preserve">, </w:t>
      </w:r>
      <w:r w:rsidRPr="0053748D">
        <w:rPr>
          <w:i/>
          <w:iCs/>
          <w:color w:val="000000" w:themeColor="text1"/>
          <w:highlight w:val="white"/>
        </w:rPr>
        <w:t>1</w:t>
      </w:r>
      <w:r w:rsidRPr="0053748D">
        <w:rPr>
          <w:color w:val="000000" w:themeColor="text1"/>
          <w:highlight w:val="white"/>
        </w:rPr>
        <w:t>(1), pp.122-133.</w:t>
      </w:r>
    </w:p>
    <w:p w14:paraId="766B356B" w14:textId="77777777" w:rsidR="0053748D" w:rsidRPr="0053748D" w:rsidRDefault="0053748D" w:rsidP="00491772">
      <w:pPr>
        <w:rPr>
          <w:color w:val="000000" w:themeColor="text1"/>
          <w:highlight w:val="white"/>
        </w:rPr>
      </w:pPr>
      <w:r w:rsidRPr="0053748D">
        <w:rPr>
          <w:color w:val="000000" w:themeColor="text1"/>
          <w:highlight w:val="white"/>
        </w:rPr>
        <w:t>Pererva, G., Kobielieva, T. and Shaulska, L., 2023. Entrepreneurial Risks: Essence, Classification and Management Opportunities.</w:t>
      </w:r>
    </w:p>
    <w:p w14:paraId="09ED3A31" w14:textId="77777777" w:rsidR="0053748D" w:rsidRPr="0053748D" w:rsidRDefault="0053748D" w:rsidP="00491772">
      <w:pPr>
        <w:rPr>
          <w:color w:val="000000" w:themeColor="text1"/>
          <w:highlight w:val="white"/>
        </w:rPr>
      </w:pPr>
      <w:r w:rsidRPr="0053748D">
        <w:rPr>
          <w:color w:val="000000" w:themeColor="text1"/>
          <w:highlight w:val="white"/>
        </w:rPr>
        <w:t xml:space="preserve">Shaikh, F.A. and Siponen, M., 2023. Information security risk assessments following cybersecurity breaches: The mediating role of top management attention to cybersecurity. </w:t>
      </w:r>
      <w:r w:rsidRPr="0053748D">
        <w:rPr>
          <w:i/>
          <w:iCs/>
          <w:color w:val="000000" w:themeColor="text1"/>
          <w:highlight w:val="white"/>
        </w:rPr>
        <w:t>Computers &amp; Security</w:t>
      </w:r>
      <w:r w:rsidRPr="0053748D">
        <w:rPr>
          <w:color w:val="000000" w:themeColor="text1"/>
          <w:highlight w:val="white"/>
        </w:rPr>
        <w:t xml:space="preserve">, </w:t>
      </w:r>
      <w:r w:rsidRPr="0053748D">
        <w:rPr>
          <w:i/>
          <w:iCs/>
          <w:color w:val="000000" w:themeColor="text1"/>
          <w:highlight w:val="white"/>
        </w:rPr>
        <w:t>124</w:t>
      </w:r>
      <w:r w:rsidRPr="0053748D">
        <w:rPr>
          <w:color w:val="000000" w:themeColor="text1"/>
          <w:highlight w:val="white"/>
        </w:rPr>
        <w:t>, p.102974.</w:t>
      </w:r>
    </w:p>
    <w:sectPr w:rsidR="0053748D" w:rsidRPr="0053748D" w:rsidSect="0053748D">
      <w:footerReference w:type="default" r:id="rId12"/>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C4CF9AC" w14:textId="77777777" w:rsidR="00343169" w:rsidRDefault="00343169" w:rsidP="001270CD">
      <w:pPr>
        <w:spacing w:line="240" w:lineRule="auto"/>
      </w:pPr>
      <w:r>
        <w:separator/>
      </w:r>
    </w:p>
  </w:endnote>
  <w:endnote w:type="continuationSeparator" w:id="0">
    <w:p w14:paraId="351AC800" w14:textId="77777777" w:rsidR="00343169" w:rsidRDefault="00343169" w:rsidP="001270C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ACFF" w:usb2="00000009" w:usb3="00000000" w:csb0="000001FF" w:csb1="00000000"/>
    <w:embedRegular r:id="rId1" w:fontKey="{E9AB1A80-9812-49FB-825B-B4CAA0FD82A3}"/>
  </w:font>
  <w:font w:name="Cambria">
    <w:panose1 w:val="02040503050406030204"/>
    <w:charset w:val="00"/>
    <w:family w:val="roman"/>
    <w:pitch w:val="variable"/>
    <w:sig w:usb0="E00006FF" w:usb1="420024FF" w:usb2="02000000" w:usb3="00000000" w:csb0="0000019F" w:csb1="00000000"/>
    <w:embedRegular r:id="rId2" w:fontKey="{F72A6CDB-4512-43F5-A783-9E7657A23087}"/>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89013964"/>
      <w:docPartObj>
        <w:docPartGallery w:val="Page Numbers (Bottom of Page)"/>
        <w:docPartUnique/>
      </w:docPartObj>
    </w:sdtPr>
    <w:sdtEndPr>
      <w:rPr>
        <w:noProof/>
        <w:sz w:val="20"/>
        <w:szCs w:val="20"/>
      </w:rPr>
    </w:sdtEndPr>
    <w:sdtContent>
      <w:p w14:paraId="3CE66ECC" w14:textId="6F03ED0C" w:rsidR="0053748D" w:rsidRPr="0053748D" w:rsidRDefault="0053748D">
        <w:pPr>
          <w:pStyle w:val="Footer"/>
          <w:jc w:val="right"/>
          <w:rPr>
            <w:sz w:val="20"/>
            <w:szCs w:val="20"/>
          </w:rPr>
        </w:pPr>
        <w:r w:rsidRPr="0053748D">
          <w:rPr>
            <w:sz w:val="20"/>
            <w:szCs w:val="20"/>
          </w:rPr>
          <w:fldChar w:fldCharType="begin"/>
        </w:r>
        <w:r w:rsidRPr="0053748D">
          <w:rPr>
            <w:sz w:val="20"/>
            <w:szCs w:val="20"/>
          </w:rPr>
          <w:instrText xml:space="preserve"> PAGE   \* MERGEFORMAT </w:instrText>
        </w:r>
        <w:r w:rsidRPr="0053748D">
          <w:rPr>
            <w:sz w:val="20"/>
            <w:szCs w:val="20"/>
          </w:rPr>
          <w:fldChar w:fldCharType="separate"/>
        </w:r>
        <w:r w:rsidRPr="0053748D">
          <w:rPr>
            <w:noProof/>
            <w:sz w:val="20"/>
            <w:szCs w:val="20"/>
          </w:rPr>
          <w:t>2</w:t>
        </w:r>
        <w:r w:rsidRPr="0053748D">
          <w:rPr>
            <w:noProof/>
            <w:sz w:val="20"/>
            <w:szCs w:val="20"/>
          </w:rPr>
          <w:fldChar w:fldCharType="end"/>
        </w:r>
      </w:p>
    </w:sdtContent>
  </w:sdt>
  <w:p w14:paraId="6F07ACA6" w14:textId="77777777" w:rsidR="0053748D" w:rsidRDefault="0053748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81E07A2" w14:textId="77777777" w:rsidR="00343169" w:rsidRDefault="00343169" w:rsidP="001270CD">
      <w:pPr>
        <w:spacing w:line="240" w:lineRule="auto"/>
      </w:pPr>
      <w:r>
        <w:separator/>
      </w:r>
    </w:p>
  </w:footnote>
  <w:footnote w:type="continuationSeparator" w:id="0">
    <w:p w14:paraId="116F90F4" w14:textId="77777777" w:rsidR="00343169" w:rsidRDefault="00343169" w:rsidP="001270CD">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8"/>
  <w:embedTrueTypeFont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E22E7"/>
    <w:rsid w:val="000B613C"/>
    <w:rsid w:val="001270CD"/>
    <w:rsid w:val="003303A6"/>
    <w:rsid w:val="00343169"/>
    <w:rsid w:val="00486FAC"/>
    <w:rsid w:val="00491772"/>
    <w:rsid w:val="0053748D"/>
    <w:rsid w:val="008A32D5"/>
    <w:rsid w:val="009555EB"/>
    <w:rsid w:val="00A70601"/>
    <w:rsid w:val="00AA2F7D"/>
    <w:rsid w:val="00AE22E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BCA2AA"/>
  <w15:docId w15:val="{B6C0A267-5304-4084-B088-ED1F834EFC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uiPriority w:val="9"/>
    <w:qFormat/>
    <w:pPr>
      <w:keepNext/>
      <w:keepLines/>
      <w:outlineLvl w:val="0"/>
    </w:pPr>
    <w:rPr>
      <w:b/>
      <w:bCs/>
    </w:rPr>
  </w:style>
  <w:style w:type="paragraph" w:styleId="Heading2">
    <w:name w:val="heading 2"/>
    <w:basedOn w:val="Normal"/>
    <w:next w:val="Normal"/>
    <w:uiPriority w:val="9"/>
    <w:unhideWhenUsed/>
    <w:qFormat/>
    <w:pPr>
      <w:keepNext/>
      <w:keepLines/>
      <w:outlineLvl w:val="1"/>
    </w:pPr>
    <w:rPr>
      <w:b/>
      <w:bCs/>
    </w:rPr>
  </w:style>
  <w:style w:type="paragraph" w:styleId="Heading3">
    <w:name w:val="heading 3"/>
    <w:basedOn w:val="Normal"/>
    <w:next w:val="Normal"/>
    <w:uiPriority w:val="9"/>
    <w:unhideWhenUsed/>
    <w:qFormat/>
    <w:pPr>
      <w:keepNext/>
      <w:keepLines/>
      <w:outlineLvl w:val="2"/>
    </w:pPr>
    <w:rPr>
      <w:b/>
      <w:bCs/>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Header">
    <w:name w:val="header"/>
    <w:basedOn w:val="Normal"/>
    <w:link w:val="HeaderChar"/>
    <w:uiPriority w:val="99"/>
    <w:unhideWhenUsed/>
    <w:rsid w:val="001270CD"/>
    <w:pPr>
      <w:tabs>
        <w:tab w:val="center" w:pos="4513"/>
        <w:tab w:val="right" w:pos="9026"/>
      </w:tabs>
      <w:spacing w:line="240" w:lineRule="auto"/>
    </w:pPr>
  </w:style>
  <w:style w:type="character" w:customStyle="1" w:styleId="HeaderChar">
    <w:name w:val="Header Char"/>
    <w:basedOn w:val="DefaultParagraphFont"/>
    <w:link w:val="Header"/>
    <w:uiPriority w:val="99"/>
    <w:rsid w:val="001270CD"/>
    <w:rPr>
      <w:lang w:val="en-GB"/>
    </w:rPr>
  </w:style>
  <w:style w:type="paragraph" w:styleId="Footer">
    <w:name w:val="footer"/>
    <w:basedOn w:val="Normal"/>
    <w:link w:val="FooterChar"/>
    <w:uiPriority w:val="99"/>
    <w:unhideWhenUsed/>
    <w:rsid w:val="001270CD"/>
    <w:pPr>
      <w:tabs>
        <w:tab w:val="center" w:pos="4513"/>
        <w:tab w:val="right" w:pos="9026"/>
      </w:tabs>
      <w:spacing w:line="240" w:lineRule="auto"/>
    </w:pPr>
  </w:style>
  <w:style w:type="character" w:customStyle="1" w:styleId="FooterChar">
    <w:name w:val="Footer Char"/>
    <w:basedOn w:val="DefaultParagraphFont"/>
    <w:link w:val="Footer"/>
    <w:uiPriority w:val="99"/>
    <w:rsid w:val="001270CD"/>
    <w:rPr>
      <w:lang w:val="en-GB"/>
    </w:rPr>
  </w:style>
  <w:style w:type="paragraph" w:styleId="TOCHeading">
    <w:name w:val="TOC Heading"/>
    <w:basedOn w:val="Heading1"/>
    <w:next w:val="Normal"/>
    <w:uiPriority w:val="39"/>
    <w:unhideWhenUsed/>
    <w:qFormat/>
    <w:rsid w:val="00A70601"/>
    <w:pPr>
      <w:spacing w:before="24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A70601"/>
    <w:pPr>
      <w:spacing w:after="100"/>
    </w:pPr>
  </w:style>
  <w:style w:type="paragraph" w:styleId="TOC2">
    <w:name w:val="toc 2"/>
    <w:basedOn w:val="Normal"/>
    <w:next w:val="Normal"/>
    <w:autoRedefine/>
    <w:uiPriority w:val="39"/>
    <w:unhideWhenUsed/>
    <w:rsid w:val="00A70601"/>
    <w:pPr>
      <w:spacing w:after="100"/>
      <w:ind w:left="240"/>
    </w:pPr>
  </w:style>
  <w:style w:type="paragraph" w:styleId="TOC3">
    <w:name w:val="toc 3"/>
    <w:basedOn w:val="Normal"/>
    <w:next w:val="Normal"/>
    <w:autoRedefine/>
    <w:uiPriority w:val="39"/>
    <w:unhideWhenUsed/>
    <w:rsid w:val="00A70601"/>
    <w:pPr>
      <w:spacing w:after="100"/>
      <w:ind w:left="480"/>
    </w:pPr>
  </w:style>
  <w:style w:type="character" w:styleId="Hyperlink">
    <w:name w:val="Hyperlink"/>
    <w:basedOn w:val="DefaultParagraphFont"/>
    <w:uiPriority w:val="99"/>
    <w:unhideWhenUsed/>
    <w:rsid w:val="00A70601"/>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diagramLayout" Target="diagrams/layout1.xml" /><Relationship Id="rId13" Type="http://schemas.openxmlformats.org/officeDocument/2006/relationships/fontTable" Target="fontTable.xml" /><Relationship Id="rId3" Type="http://schemas.openxmlformats.org/officeDocument/2006/relationships/settings" Target="settings.xml" /><Relationship Id="rId7" Type="http://schemas.openxmlformats.org/officeDocument/2006/relationships/diagramData" Target="diagrams/data1.xml" /><Relationship Id="rId12" Type="http://schemas.openxmlformats.org/officeDocument/2006/relationships/footer" Target="footer1.xml"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11" Type="http://schemas.microsoft.com/office/2007/relationships/diagramDrawing" Target="diagrams/drawing1.xml" /><Relationship Id="rId5" Type="http://schemas.openxmlformats.org/officeDocument/2006/relationships/footnotes" Target="footnotes.xml" /><Relationship Id="rId10" Type="http://schemas.openxmlformats.org/officeDocument/2006/relationships/diagramColors" Target="diagrams/colors1.xml" /><Relationship Id="rId4" Type="http://schemas.openxmlformats.org/officeDocument/2006/relationships/webSettings" Target="webSettings.xml" /><Relationship Id="rId9" Type="http://schemas.openxmlformats.org/officeDocument/2006/relationships/diagramQuickStyle" Target="diagrams/quickStyle1.xml" /><Relationship Id="rId14" Type="http://schemas.openxmlformats.org/officeDocument/2006/relationships/theme" Target="theme/theme1.xml" /></Relationships>
</file>

<file path=word/_rels/fontTable.xml.rels><?xml version="1.0" encoding="UTF-8" standalone="yes"?>
<Relationships xmlns="http://schemas.openxmlformats.org/package/2006/relationships"><Relationship Id="rId2" Type="http://schemas.openxmlformats.org/officeDocument/2006/relationships/font" Target="fonts/font2.odttf" /><Relationship Id="rId1" Type="http://schemas.openxmlformats.org/officeDocument/2006/relationships/font" Target="fonts/font1.odttf" /></Relationships>
</file>

<file path=word/diagrams/colors1.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D3D69D4C-48B8-4D24-8173-F5B4C85AA233}" type="doc">
      <dgm:prSet loTypeId="urn:microsoft.com/office/officeart/2005/8/layout/list1" loCatId="list" qsTypeId="urn:microsoft.com/office/officeart/2005/8/quickstyle/simple1" qsCatId="simple" csTypeId="urn:microsoft.com/office/officeart/2005/8/colors/colorful2" csCatId="colorful" phldr="1"/>
      <dgm:spPr/>
      <dgm:t>
        <a:bodyPr/>
        <a:lstStyle/>
        <a:p>
          <a:endParaRPr lang="en-IN"/>
        </a:p>
      </dgm:t>
    </dgm:pt>
    <dgm:pt modelId="{7A8F1663-644E-428F-A45C-DA4DDFEC55C8}">
      <dgm:prSet phldrT="[Text]" custT="1"/>
      <dgm:spPr/>
      <dgm:t>
        <a:bodyPr/>
        <a:lstStyle/>
        <a:p>
          <a:pPr algn="ctr"/>
          <a:r>
            <a:rPr lang="en-IN" sz="1400" b="1">
              <a:solidFill>
                <a:schemeClr val="tx1"/>
              </a:solidFill>
              <a:latin typeface="Times New Roman" panose="02020603050405020304" pitchFamily="18" charset="0"/>
              <a:cs typeface="Times New Roman" panose="02020603050405020304" pitchFamily="18" charset="0"/>
            </a:rPr>
            <a:t>Probability and uncertainty</a:t>
          </a:r>
        </a:p>
      </dgm:t>
    </dgm:pt>
    <dgm:pt modelId="{D8446B3F-04F7-426A-8B84-D305F295371B}" type="parTrans" cxnId="{F997C2EC-A7DC-4C1D-BF95-745AC82F2E41}">
      <dgm:prSet/>
      <dgm:spPr/>
      <dgm:t>
        <a:bodyPr/>
        <a:lstStyle/>
        <a:p>
          <a:endParaRPr lang="en-IN"/>
        </a:p>
      </dgm:t>
    </dgm:pt>
    <dgm:pt modelId="{36364F15-A4F2-4C89-AEA3-54654C42C52F}" type="sibTrans" cxnId="{F997C2EC-A7DC-4C1D-BF95-745AC82F2E41}">
      <dgm:prSet/>
      <dgm:spPr/>
      <dgm:t>
        <a:bodyPr/>
        <a:lstStyle/>
        <a:p>
          <a:endParaRPr lang="en-IN"/>
        </a:p>
      </dgm:t>
    </dgm:pt>
    <dgm:pt modelId="{FE1CB6FA-6A71-4D12-9A1C-51420E36CFB6}">
      <dgm:prSet custT="1"/>
      <dgm:spPr/>
      <dgm:t>
        <a:bodyPr/>
        <a:lstStyle/>
        <a:p>
          <a:pPr algn="ctr"/>
          <a:r>
            <a:rPr lang="en-IN" sz="1400" b="1">
              <a:solidFill>
                <a:schemeClr val="tx1"/>
              </a:solidFill>
              <a:latin typeface="Times New Roman" panose="02020603050405020304" pitchFamily="18" charset="0"/>
              <a:cs typeface="Times New Roman" panose="02020603050405020304" pitchFamily="18" charset="0"/>
            </a:rPr>
            <a:t>Measurability and severity</a:t>
          </a:r>
        </a:p>
      </dgm:t>
    </dgm:pt>
    <dgm:pt modelId="{3FAF4CF6-C0E9-4B83-BBC8-10D499D1D222}" type="parTrans" cxnId="{B6476571-F076-4D1C-AC3D-8B61674220CE}">
      <dgm:prSet/>
      <dgm:spPr/>
      <dgm:t>
        <a:bodyPr/>
        <a:lstStyle/>
        <a:p>
          <a:endParaRPr lang="en-IN"/>
        </a:p>
      </dgm:t>
    </dgm:pt>
    <dgm:pt modelId="{C4C90229-23C4-4D98-9FE6-1FEB8A8C0268}" type="sibTrans" cxnId="{B6476571-F076-4D1C-AC3D-8B61674220CE}">
      <dgm:prSet/>
      <dgm:spPr/>
      <dgm:t>
        <a:bodyPr/>
        <a:lstStyle/>
        <a:p>
          <a:endParaRPr lang="en-IN"/>
        </a:p>
      </dgm:t>
    </dgm:pt>
    <dgm:pt modelId="{3F6ACFEE-1181-430E-B6EA-D10050CAD167}">
      <dgm:prSet custT="1"/>
      <dgm:spPr/>
      <dgm:t>
        <a:bodyPr/>
        <a:lstStyle/>
        <a:p>
          <a:pPr algn="ctr"/>
          <a:r>
            <a:rPr lang="en-IN" sz="1400" b="1">
              <a:solidFill>
                <a:schemeClr val="tx1"/>
              </a:solidFill>
              <a:latin typeface="Times New Roman" panose="02020603050405020304" pitchFamily="18" charset="0"/>
              <a:cs typeface="Times New Roman" panose="02020603050405020304" pitchFamily="18" charset="0"/>
            </a:rPr>
            <a:t>Source and impact</a:t>
          </a:r>
        </a:p>
      </dgm:t>
    </dgm:pt>
    <dgm:pt modelId="{9DAF3D22-7D46-49BE-980A-CA865B2FFB61}" type="parTrans" cxnId="{64049051-D5B6-48E8-986A-9B23F49A733E}">
      <dgm:prSet/>
      <dgm:spPr/>
      <dgm:t>
        <a:bodyPr/>
        <a:lstStyle/>
        <a:p>
          <a:endParaRPr lang="en-IN"/>
        </a:p>
      </dgm:t>
    </dgm:pt>
    <dgm:pt modelId="{1FE61292-2A69-4976-8BC3-904641E65023}" type="sibTrans" cxnId="{64049051-D5B6-48E8-986A-9B23F49A733E}">
      <dgm:prSet/>
      <dgm:spPr/>
      <dgm:t>
        <a:bodyPr/>
        <a:lstStyle/>
        <a:p>
          <a:endParaRPr lang="en-IN"/>
        </a:p>
      </dgm:t>
    </dgm:pt>
    <dgm:pt modelId="{72225E69-3BEB-4F2B-AA82-B98650E9ABD7}">
      <dgm:prSet custT="1"/>
      <dgm:spPr/>
      <dgm:t>
        <a:bodyPr/>
        <a:lstStyle/>
        <a:p>
          <a:pPr algn="ctr"/>
          <a:r>
            <a:rPr lang="en-IN" sz="1400" b="1">
              <a:solidFill>
                <a:schemeClr val="tx1"/>
              </a:solidFill>
              <a:latin typeface="Times New Roman" panose="02020603050405020304" pitchFamily="18" charset="0"/>
              <a:cs typeface="Times New Roman" panose="02020603050405020304" pitchFamily="18" charset="0"/>
            </a:rPr>
            <a:t>Managibility</a:t>
          </a:r>
        </a:p>
      </dgm:t>
    </dgm:pt>
    <dgm:pt modelId="{2FAC297D-4027-4AE9-9D61-0F3D775FC26F}" type="parTrans" cxnId="{F0E7AFE8-7598-4CF3-A426-2DC7DD19249F}">
      <dgm:prSet/>
      <dgm:spPr/>
      <dgm:t>
        <a:bodyPr/>
        <a:lstStyle/>
        <a:p>
          <a:endParaRPr lang="en-IN"/>
        </a:p>
      </dgm:t>
    </dgm:pt>
    <dgm:pt modelId="{1B74FE27-ACE9-4A64-A623-A42AC0856E5E}" type="sibTrans" cxnId="{F0E7AFE8-7598-4CF3-A426-2DC7DD19249F}">
      <dgm:prSet/>
      <dgm:spPr/>
      <dgm:t>
        <a:bodyPr/>
        <a:lstStyle/>
        <a:p>
          <a:endParaRPr lang="en-IN"/>
        </a:p>
      </dgm:t>
    </dgm:pt>
    <dgm:pt modelId="{915C16B8-EFB9-4AED-80A8-69AF7127B50C}" type="pres">
      <dgm:prSet presAssocID="{D3D69D4C-48B8-4D24-8173-F5B4C85AA233}" presName="linear" presStyleCnt="0">
        <dgm:presLayoutVars>
          <dgm:dir/>
          <dgm:animLvl val="lvl"/>
          <dgm:resizeHandles val="exact"/>
        </dgm:presLayoutVars>
      </dgm:prSet>
      <dgm:spPr/>
    </dgm:pt>
    <dgm:pt modelId="{EEF08481-9867-4172-B2A8-ECAD225EAEB5}" type="pres">
      <dgm:prSet presAssocID="{7A8F1663-644E-428F-A45C-DA4DDFEC55C8}" presName="parentLin" presStyleCnt="0"/>
      <dgm:spPr/>
    </dgm:pt>
    <dgm:pt modelId="{7D46703D-E23B-4EE3-A822-1D25CB01C5EF}" type="pres">
      <dgm:prSet presAssocID="{7A8F1663-644E-428F-A45C-DA4DDFEC55C8}" presName="parentLeftMargin" presStyleLbl="node1" presStyleIdx="0" presStyleCnt="4"/>
      <dgm:spPr/>
    </dgm:pt>
    <dgm:pt modelId="{AE003A1E-9474-4A03-868F-71B87D0A86F4}" type="pres">
      <dgm:prSet presAssocID="{7A8F1663-644E-428F-A45C-DA4DDFEC55C8}" presName="parentText" presStyleLbl="node1" presStyleIdx="0" presStyleCnt="4">
        <dgm:presLayoutVars>
          <dgm:chMax val="0"/>
          <dgm:bulletEnabled val="1"/>
        </dgm:presLayoutVars>
      </dgm:prSet>
      <dgm:spPr/>
    </dgm:pt>
    <dgm:pt modelId="{57079644-5A80-4892-99DA-E87BF71B8968}" type="pres">
      <dgm:prSet presAssocID="{7A8F1663-644E-428F-A45C-DA4DDFEC55C8}" presName="negativeSpace" presStyleCnt="0"/>
      <dgm:spPr/>
    </dgm:pt>
    <dgm:pt modelId="{D6AE394A-5E63-4F0A-A707-BDFB815790C4}" type="pres">
      <dgm:prSet presAssocID="{7A8F1663-644E-428F-A45C-DA4DDFEC55C8}" presName="childText" presStyleLbl="conFgAcc1" presStyleIdx="0" presStyleCnt="4">
        <dgm:presLayoutVars>
          <dgm:bulletEnabled val="1"/>
        </dgm:presLayoutVars>
      </dgm:prSet>
      <dgm:spPr/>
    </dgm:pt>
    <dgm:pt modelId="{7E1E439D-6CE2-4A15-B26E-2DDA674D46C1}" type="pres">
      <dgm:prSet presAssocID="{36364F15-A4F2-4C89-AEA3-54654C42C52F}" presName="spaceBetweenRectangles" presStyleCnt="0"/>
      <dgm:spPr/>
    </dgm:pt>
    <dgm:pt modelId="{4BA485B6-8B12-4860-B885-0461076FC184}" type="pres">
      <dgm:prSet presAssocID="{FE1CB6FA-6A71-4D12-9A1C-51420E36CFB6}" presName="parentLin" presStyleCnt="0"/>
      <dgm:spPr/>
    </dgm:pt>
    <dgm:pt modelId="{4FDC3F22-37D1-476F-9DE5-82A0528E4993}" type="pres">
      <dgm:prSet presAssocID="{FE1CB6FA-6A71-4D12-9A1C-51420E36CFB6}" presName="parentLeftMargin" presStyleLbl="node1" presStyleIdx="0" presStyleCnt="4"/>
      <dgm:spPr/>
    </dgm:pt>
    <dgm:pt modelId="{D57C33FF-AAB2-4BB3-BD38-8BA4A6442106}" type="pres">
      <dgm:prSet presAssocID="{FE1CB6FA-6A71-4D12-9A1C-51420E36CFB6}" presName="parentText" presStyleLbl="node1" presStyleIdx="1" presStyleCnt="4">
        <dgm:presLayoutVars>
          <dgm:chMax val="0"/>
          <dgm:bulletEnabled val="1"/>
        </dgm:presLayoutVars>
      </dgm:prSet>
      <dgm:spPr/>
    </dgm:pt>
    <dgm:pt modelId="{CF390776-530F-4026-AAD4-0927A9627399}" type="pres">
      <dgm:prSet presAssocID="{FE1CB6FA-6A71-4D12-9A1C-51420E36CFB6}" presName="negativeSpace" presStyleCnt="0"/>
      <dgm:spPr/>
    </dgm:pt>
    <dgm:pt modelId="{47E6DA05-77A0-4900-A63D-7BEAEADD8420}" type="pres">
      <dgm:prSet presAssocID="{FE1CB6FA-6A71-4D12-9A1C-51420E36CFB6}" presName="childText" presStyleLbl="conFgAcc1" presStyleIdx="1" presStyleCnt="4">
        <dgm:presLayoutVars>
          <dgm:bulletEnabled val="1"/>
        </dgm:presLayoutVars>
      </dgm:prSet>
      <dgm:spPr/>
    </dgm:pt>
    <dgm:pt modelId="{00FCBC64-8819-4DF0-BA14-76AD0897FB81}" type="pres">
      <dgm:prSet presAssocID="{C4C90229-23C4-4D98-9FE6-1FEB8A8C0268}" presName="spaceBetweenRectangles" presStyleCnt="0"/>
      <dgm:spPr/>
    </dgm:pt>
    <dgm:pt modelId="{B34D663A-A979-4FE8-A707-CEC160F2429F}" type="pres">
      <dgm:prSet presAssocID="{3F6ACFEE-1181-430E-B6EA-D10050CAD167}" presName="parentLin" presStyleCnt="0"/>
      <dgm:spPr/>
    </dgm:pt>
    <dgm:pt modelId="{BB04DE13-7C93-4819-AC20-E8C702CC0D96}" type="pres">
      <dgm:prSet presAssocID="{3F6ACFEE-1181-430E-B6EA-D10050CAD167}" presName="parentLeftMargin" presStyleLbl="node1" presStyleIdx="1" presStyleCnt="4"/>
      <dgm:spPr/>
    </dgm:pt>
    <dgm:pt modelId="{0AEB17E3-929B-4456-83B4-E128BE5E7685}" type="pres">
      <dgm:prSet presAssocID="{3F6ACFEE-1181-430E-B6EA-D10050CAD167}" presName="parentText" presStyleLbl="node1" presStyleIdx="2" presStyleCnt="4">
        <dgm:presLayoutVars>
          <dgm:chMax val="0"/>
          <dgm:bulletEnabled val="1"/>
        </dgm:presLayoutVars>
      </dgm:prSet>
      <dgm:spPr/>
    </dgm:pt>
    <dgm:pt modelId="{AD936B93-922C-4ECC-B8B0-8ABECB0E5AB5}" type="pres">
      <dgm:prSet presAssocID="{3F6ACFEE-1181-430E-B6EA-D10050CAD167}" presName="negativeSpace" presStyleCnt="0"/>
      <dgm:spPr/>
    </dgm:pt>
    <dgm:pt modelId="{14FF7D54-3F0D-4C04-8D18-5484D32BEE71}" type="pres">
      <dgm:prSet presAssocID="{3F6ACFEE-1181-430E-B6EA-D10050CAD167}" presName="childText" presStyleLbl="conFgAcc1" presStyleIdx="2" presStyleCnt="4">
        <dgm:presLayoutVars>
          <dgm:bulletEnabled val="1"/>
        </dgm:presLayoutVars>
      </dgm:prSet>
      <dgm:spPr/>
    </dgm:pt>
    <dgm:pt modelId="{5139753F-70A1-41E7-B599-EBBC9745A4AC}" type="pres">
      <dgm:prSet presAssocID="{1FE61292-2A69-4976-8BC3-904641E65023}" presName="spaceBetweenRectangles" presStyleCnt="0"/>
      <dgm:spPr/>
    </dgm:pt>
    <dgm:pt modelId="{C31E16AF-F549-4461-A4E7-F2CC364FB785}" type="pres">
      <dgm:prSet presAssocID="{72225E69-3BEB-4F2B-AA82-B98650E9ABD7}" presName="parentLin" presStyleCnt="0"/>
      <dgm:spPr/>
    </dgm:pt>
    <dgm:pt modelId="{6B801F3E-298C-462A-9B6C-B481E78437C9}" type="pres">
      <dgm:prSet presAssocID="{72225E69-3BEB-4F2B-AA82-B98650E9ABD7}" presName="parentLeftMargin" presStyleLbl="node1" presStyleIdx="2" presStyleCnt="4"/>
      <dgm:spPr/>
    </dgm:pt>
    <dgm:pt modelId="{E2117E5F-1107-4AD3-B632-79DDA5685E4D}" type="pres">
      <dgm:prSet presAssocID="{72225E69-3BEB-4F2B-AA82-B98650E9ABD7}" presName="parentText" presStyleLbl="node1" presStyleIdx="3" presStyleCnt="4">
        <dgm:presLayoutVars>
          <dgm:chMax val="0"/>
          <dgm:bulletEnabled val="1"/>
        </dgm:presLayoutVars>
      </dgm:prSet>
      <dgm:spPr/>
    </dgm:pt>
    <dgm:pt modelId="{C27A0BF8-A49C-4D09-8D41-7DCB1A4F0735}" type="pres">
      <dgm:prSet presAssocID="{72225E69-3BEB-4F2B-AA82-B98650E9ABD7}" presName="negativeSpace" presStyleCnt="0"/>
      <dgm:spPr/>
    </dgm:pt>
    <dgm:pt modelId="{DA59D66F-B294-4FD0-A7EF-A0E4262F1303}" type="pres">
      <dgm:prSet presAssocID="{72225E69-3BEB-4F2B-AA82-B98650E9ABD7}" presName="childText" presStyleLbl="conFgAcc1" presStyleIdx="3" presStyleCnt="4">
        <dgm:presLayoutVars>
          <dgm:bulletEnabled val="1"/>
        </dgm:presLayoutVars>
      </dgm:prSet>
      <dgm:spPr/>
    </dgm:pt>
  </dgm:ptLst>
  <dgm:cxnLst>
    <dgm:cxn modelId="{A3B3DA40-8635-463C-AE5F-2859F4CF739D}" type="presOf" srcId="{FE1CB6FA-6A71-4D12-9A1C-51420E36CFB6}" destId="{D57C33FF-AAB2-4BB3-BD38-8BA4A6442106}" srcOrd="1" destOrd="0" presId="urn:microsoft.com/office/officeart/2005/8/layout/list1"/>
    <dgm:cxn modelId="{D2BA1060-1481-47B1-A0A7-A824736EF91E}" type="presOf" srcId="{72225E69-3BEB-4F2B-AA82-B98650E9ABD7}" destId="{E2117E5F-1107-4AD3-B632-79DDA5685E4D}" srcOrd="1" destOrd="0" presId="urn:microsoft.com/office/officeart/2005/8/layout/list1"/>
    <dgm:cxn modelId="{A2AEB368-12EF-4ABE-BA9C-9B9D790DAC3B}" type="presOf" srcId="{3F6ACFEE-1181-430E-B6EA-D10050CAD167}" destId="{BB04DE13-7C93-4819-AC20-E8C702CC0D96}" srcOrd="0" destOrd="0" presId="urn:microsoft.com/office/officeart/2005/8/layout/list1"/>
    <dgm:cxn modelId="{B6476571-F076-4D1C-AC3D-8B61674220CE}" srcId="{D3D69D4C-48B8-4D24-8173-F5B4C85AA233}" destId="{FE1CB6FA-6A71-4D12-9A1C-51420E36CFB6}" srcOrd="1" destOrd="0" parTransId="{3FAF4CF6-C0E9-4B83-BBC8-10D499D1D222}" sibTransId="{C4C90229-23C4-4D98-9FE6-1FEB8A8C0268}"/>
    <dgm:cxn modelId="{64049051-D5B6-48E8-986A-9B23F49A733E}" srcId="{D3D69D4C-48B8-4D24-8173-F5B4C85AA233}" destId="{3F6ACFEE-1181-430E-B6EA-D10050CAD167}" srcOrd="2" destOrd="0" parTransId="{9DAF3D22-7D46-49BE-980A-CA865B2FFB61}" sibTransId="{1FE61292-2A69-4976-8BC3-904641E65023}"/>
    <dgm:cxn modelId="{C76E7D57-AD93-4882-97DF-DF9D7B08F135}" type="presOf" srcId="{D3D69D4C-48B8-4D24-8173-F5B4C85AA233}" destId="{915C16B8-EFB9-4AED-80A8-69AF7127B50C}" srcOrd="0" destOrd="0" presId="urn:microsoft.com/office/officeart/2005/8/layout/list1"/>
    <dgm:cxn modelId="{94844B82-F60B-458C-9C16-824F60401EE2}" type="presOf" srcId="{FE1CB6FA-6A71-4D12-9A1C-51420E36CFB6}" destId="{4FDC3F22-37D1-476F-9DE5-82A0528E4993}" srcOrd="0" destOrd="0" presId="urn:microsoft.com/office/officeart/2005/8/layout/list1"/>
    <dgm:cxn modelId="{47237593-E928-4725-ADB8-D3BB3CE33098}" type="presOf" srcId="{3F6ACFEE-1181-430E-B6EA-D10050CAD167}" destId="{0AEB17E3-929B-4456-83B4-E128BE5E7685}" srcOrd="1" destOrd="0" presId="urn:microsoft.com/office/officeart/2005/8/layout/list1"/>
    <dgm:cxn modelId="{438A24D0-E622-4A7E-BA31-A561891A497C}" type="presOf" srcId="{72225E69-3BEB-4F2B-AA82-B98650E9ABD7}" destId="{6B801F3E-298C-462A-9B6C-B481E78437C9}" srcOrd="0" destOrd="0" presId="urn:microsoft.com/office/officeart/2005/8/layout/list1"/>
    <dgm:cxn modelId="{F0E7AFE8-7598-4CF3-A426-2DC7DD19249F}" srcId="{D3D69D4C-48B8-4D24-8173-F5B4C85AA233}" destId="{72225E69-3BEB-4F2B-AA82-B98650E9ABD7}" srcOrd="3" destOrd="0" parTransId="{2FAC297D-4027-4AE9-9D61-0F3D775FC26F}" sibTransId="{1B74FE27-ACE9-4A64-A623-A42AC0856E5E}"/>
    <dgm:cxn modelId="{113192E9-4436-4AA6-9664-DF46B8DBA182}" type="presOf" srcId="{7A8F1663-644E-428F-A45C-DA4DDFEC55C8}" destId="{AE003A1E-9474-4A03-868F-71B87D0A86F4}" srcOrd="1" destOrd="0" presId="urn:microsoft.com/office/officeart/2005/8/layout/list1"/>
    <dgm:cxn modelId="{C3426AEB-26EA-4DF7-B8E3-0B0F63A8E15C}" type="presOf" srcId="{7A8F1663-644E-428F-A45C-DA4DDFEC55C8}" destId="{7D46703D-E23B-4EE3-A822-1D25CB01C5EF}" srcOrd="0" destOrd="0" presId="urn:microsoft.com/office/officeart/2005/8/layout/list1"/>
    <dgm:cxn modelId="{F997C2EC-A7DC-4C1D-BF95-745AC82F2E41}" srcId="{D3D69D4C-48B8-4D24-8173-F5B4C85AA233}" destId="{7A8F1663-644E-428F-A45C-DA4DDFEC55C8}" srcOrd="0" destOrd="0" parTransId="{D8446B3F-04F7-426A-8B84-D305F295371B}" sibTransId="{36364F15-A4F2-4C89-AEA3-54654C42C52F}"/>
    <dgm:cxn modelId="{8C8B87F7-49CE-43B0-AC6D-F0EC377E8831}" type="presParOf" srcId="{915C16B8-EFB9-4AED-80A8-69AF7127B50C}" destId="{EEF08481-9867-4172-B2A8-ECAD225EAEB5}" srcOrd="0" destOrd="0" presId="urn:microsoft.com/office/officeart/2005/8/layout/list1"/>
    <dgm:cxn modelId="{E7D93A14-8452-48B5-9127-68A120D9A1B6}" type="presParOf" srcId="{EEF08481-9867-4172-B2A8-ECAD225EAEB5}" destId="{7D46703D-E23B-4EE3-A822-1D25CB01C5EF}" srcOrd="0" destOrd="0" presId="urn:microsoft.com/office/officeart/2005/8/layout/list1"/>
    <dgm:cxn modelId="{841BCCC7-06C1-41E3-924C-48F5C80526C0}" type="presParOf" srcId="{EEF08481-9867-4172-B2A8-ECAD225EAEB5}" destId="{AE003A1E-9474-4A03-868F-71B87D0A86F4}" srcOrd="1" destOrd="0" presId="urn:microsoft.com/office/officeart/2005/8/layout/list1"/>
    <dgm:cxn modelId="{0D2DB8F7-CA0F-4917-BC9C-2CCEF82BB87C}" type="presParOf" srcId="{915C16B8-EFB9-4AED-80A8-69AF7127B50C}" destId="{57079644-5A80-4892-99DA-E87BF71B8968}" srcOrd="1" destOrd="0" presId="urn:microsoft.com/office/officeart/2005/8/layout/list1"/>
    <dgm:cxn modelId="{3C90BEE3-07F7-446C-884B-0C9EB4C668C8}" type="presParOf" srcId="{915C16B8-EFB9-4AED-80A8-69AF7127B50C}" destId="{D6AE394A-5E63-4F0A-A707-BDFB815790C4}" srcOrd="2" destOrd="0" presId="urn:microsoft.com/office/officeart/2005/8/layout/list1"/>
    <dgm:cxn modelId="{E30FC5F2-977C-47D6-B91E-8652FCEDAAAB}" type="presParOf" srcId="{915C16B8-EFB9-4AED-80A8-69AF7127B50C}" destId="{7E1E439D-6CE2-4A15-B26E-2DDA674D46C1}" srcOrd="3" destOrd="0" presId="urn:microsoft.com/office/officeart/2005/8/layout/list1"/>
    <dgm:cxn modelId="{4DB9FFF6-D02B-4673-96F0-FA6E1CF81109}" type="presParOf" srcId="{915C16B8-EFB9-4AED-80A8-69AF7127B50C}" destId="{4BA485B6-8B12-4860-B885-0461076FC184}" srcOrd="4" destOrd="0" presId="urn:microsoft.com/office/officeart/2005/8/layout/list1"/>
    <dgm:cxn modelId="{23FF5D9B-2094-44C0-8C22-524FD8D342D2}" type="presParOf" srcId="{4BA485B6-8B12-4860-B885-0461076FC184}" destId="{4FDC3F22-37D1-476F-9DE5-82A0528E4993}" srcOrd="0" destOrd="0" presId="urn:microsoft.com/office/officeart/2005/8/layout/list1"/>
    <dgm:cxn modelId="{CD6AC76C-F36D-40AF-B724-36E73F76CFBB}" type="presParOf" srcId="{4BA485B6-8B12-4860-B885-0461076FC184}" destId="{D57C33FF-AAB2-4BB3-BD38-8BA4A6442106}" srcOrd="1" destOrd="0" presId="urn:microsoft.com/office/officeart/2005/8/layout/list1"/>
    <dgm:cxn modelId="{52A99991-314D-4B29-A69F-F6DC29282DCC}" type="presParOf" srcId="{915C16B8-EFB9-4AED-80A8-69AF7127B50C}" destId="{CF390776-530F-4026-AAD4-0927A9627399}" srcOrd="5" destOrd="0" presId="urn:microsoft.com/office/officeart/2005/8/layout/list1"/>
    <dgm:cxn modelId="{DDB865DC-CD99-4A1F-848D-7C4B68057185}" type="presParOf" srcId="{915C16B8-EFB9-4AED-80A8-69AF7127B50C}" destId="{47E6DA05-77A0-4900-A63D-7BEAEADD8420}" srcOrd="6" destOrd="0" presId="urn:microsoft.com/office/officeart/2005/8/layout/list1"/>
    <dgm:cxn modelId="{06A2E8D4-47F0-4769-8F7A-CF35FE55B612}" type="presParOf" srcId="{915C16B8-EFB9-4AED-80A8-69AF7127B50C}" destId="{00FCBC64-8819-4DF0-BA14-76AD0897FB81}" srcOrd="7" destOrd="0" presId="urn:microsoft.com/office/officeart/2005/8/layout/list1"/>
    <dgm:cxn modelId="{01AF3A40-7F36-48EF-B06B-E68DD123CBDD}" type="presParOf" srcId="{915C16B8-EFB9-4AED-80A8-69AF7127B50C}" destId="{B34D663A-A979-4FE8-A707-CEC160F2429F}" srcOrd="8" destOrd="0" presId="urn:microsoft.com/office/officeart/2005/8/layout/list1"/>
    <dgm:cxn modelId="{52AEB3D3-9268-45D3-8A18-0A3D4A5B456F}" type="presParOf" srcId="{B34D663A-A979-4FE8-A707-CEC160F2429F}" destId="{BB04DE13-7C93-4819-AC20-E8C702CC0D96}" srcOrd="0" destOrd="0" presId="urn:microsoft.com/office/officeart/2005/8/layout/list1"/>
    <dgm:cxn modelId="{D0149418-C499-4E6B-9367-D128F246857E}" type="presParOf" srcId="{B34D663A-A979-4FE8-A707-CEC160F2429F}" destId="{0AEB17E3-929B-4456-83B4-E128BE5E7685}" srcOrd="1" destOrd="0" presId="urn:microsoft.com/office/officeart/2005/8/layout/list1"/>
    <dgm:cxn modelId="{FA556872-E25A-4B23-B3A3-DAB0D4B211EE}" type="presParOf" srcId="{915C16B8-EFB9-4AED-80A8-69AF7127B50C}" destId="{AD936B93-922C-4ECC-B8B0-8ABECB0E5AB5}" srcOrd="9" destOrd="0" presId="urn:microsoft.com/office/officeart/2005/8/layout/list1"/>
    <dgm:cxn modelId="{B7FF7F8F-F6F1-4BB5-9BA9-2684C6A7DF5D}" type="presParOf" srcId="{915C16B8-EFB9-4AED-80A8-69AF7127B50C}" destId="{14FF7D54-3F0D-4C04-8D18-5484D32BEE71}" srcOrd="10" destOrd="0" presId="urn:microsoft.com/office/officeart/2005/8/layout/list1"/>
    <dgm:cxn modelId="{100A63E2-574F-4869-B5A4-F1A99B02F74A}" type="presParOf" srcId="{915C16B8-EFB9-4AED-80A8-69AF7127B50C}" destId="{5139753F-70A1-41E7-B599-EBBC9745A4AC}" srcOrd="11" destOrd="0" presId="urn:microsoft.com/office/officeart/2005/8/layout/list1"/>
    <dgm:cxn modelId="{A6D8E0E3-4581-427C-BE7D-E78D323BA8B1}" type="presParOf" srcId="{915C16B8-EFB9-4AED-80A8-69AF7127B50C}" destId="{C31E16AF-F549-4461-A4E7-F2CC364FB785}" srcOrd="12" destOrd="0" presId="urn:microsoft.com/office/officeart/2005/8/layout/list1"/>
    <dgm:cxn modelId="{760FEAAF-3DF7-4026-ABB1-9481EF6362E7}" type="presParOf" srcId="{C31E16AF-F549-4461-A4E7-F2CC364FB785}" destId="{6B801F3E-298C-462A-9B6C-B481E78437C9}" srcOrd="0" destOrd="0" presId="urn:microsoft.com/office/officeart/2005/8/layout/list1"/>
    <dgm:cxn modelId="{53AC1208-2AC7-4A54-999A-33B053FD0B52}" type="presParOf" srcId="{C31E16AF-F549-4461-A4E7-F2CC364FB785}" destId="{E2117E5F-1107-4AD3-B632-79DDA5685E4D}" srcOrd="1" destOrd="0" presId="urn:microsoft.com/office/officeart/2005/8/layout/list1"/>
    <dgm:cxn modelId="{65D9B185-7256-46AB-A84D-2000386694E1}" type="presParOf" srcId="{915C16B8-EFB9-4AED-80A8-69AF7127B50C}" destId="{C27A0BF8-A49C-4D09-8D41-7DCB1A4F0735}" srcOrd="13" destOrd="0" presId="urn:microsoft.com/office/officeart/2005/8/layout/list1"/>
    <dgm:cxn modelId="{D2D8AF6A-151C-4E37-A7C2-7A933D3EC4B8}" type="presParOf" srcId="{915C16B8-EFB9-4AED-80A8-69AF7127B50C}" destId="{DA59D66F-B294-4FD0-A7EF-A0E4262F1303}" srcOrd="14" destOrd="0" presId="urn:microsoft.com/office/officeart/2005/8/layout/list1"/>
  </dgm:cxnLst>
  <dgm:bg/>
  <dgm:whole/>
  <dgm:extLst>
    <a:ext uri="http://schemas.microsoft.com/office/drawing/2008/diagram">
      <dsp:dataModelExt xmlns:dsp="http://schemas.microsoft.com/office/drawing/2008/diagram" relId="rId1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6AE394A-5E63-4F0A-A707-BDFB815790C4}">
      <dsp:nvSpPr>
        <dsp:cNvPr id="0" name=""/>
        <dsp:cNvSpPr/>
      </dsp:nvSpPr>
      <dsp:spPr>
        <a:xfrm>
          <a:off x="0" y="335729"/>
          <a:ext cx="6134100" cy="428400"/>
        </a:xfrm>
        <a:prstGeom prst="rect">
          <a:avLst/>
        </a:prstGeom>
        <a:solidFill>
          <a:schemeClr val="lt1">
            <a:alpha val="90000"/>
            <a:hueOff val="0"/>
            <a:satOff val="0"/>
            <a:lumOff val="0"/>
            <a:alphaOff val="0"/>
          </a:schemeClr>
        </a:solidFill>
        <a:ln w="25400" cap="flat" cmpd="sng" algn="ctr">
          <a:solidFill>
            <a:schemeClr val="accent2">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AE003A1E-9474-4A03-868F-71B87D0A86F4}">
      <dsp:nvSpPr>
        <dsp:cNvPr id="0" name=""/>
        <dsp:cNvSpPr/>
      </dsp:nvSpPr>
      <dsp:spPr>
        <a:xfrm>
          <a:off x="306705" y="84809"/>
          <a:ext cx="4293870" cy="501840"/>
        </a:xfrm>
        <a:prstGeom prst="roundRect">
          <a:avLst/>
        </a:prstGeom>
        <a:solidFill>
          <a:schemeClr val="accent2">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62298" tIns="0" rIns="162298" bIns="0" numCol="1" spcCol="1270" anchor="ctr" anchorCtr="0">
          <a:noAutofit/>
        </a:bodyPr>
        <a:lstStyle/>
        <a:p>
          <a:pPr marL="0" lvl="0" indent="0" algn="ctr" defTabSz="622300">
            <a:lnSpc>
              <a:spcPct val="90000"/>
            </a:lnSpc>
            <a:spcBef>
              <a:spcPct val="0"/>
            </a:spcBef>
            <a:spcAft>
              <a:spcPct val="35000"/>
            </a:spcAft>
            <a:buNone/>
          </a:pPr>
          <a:r>
            <a:rPr lang="en-IN" sz="1400" b="1" kern="1200">
              <a:solidFill>
                <a:schemeClr val="tx1"/>
              </a:solidFill>
              <a:latin typeface="Times New Roman" panose="02020603050405020304" pitchFamily="18" charset="0"/>
              <a:cs typeface="Times New Roman" panose="02020603050405020304" pitchFamily="18" charset="0"/>
            </a:rPr>
            <a:t>Probability and uncertainty</a:t>
          </a:r>
        </a:p>
      </dsp:txBody>
      <dsp:txXfrm>
        <a:off x="331203" y="109307"/>
        <a:ext cx="4244874" cy="452844"/>
      </dsp:txXfrm>
    </dsp:sp>
    <dsp:sp modelId="{47E6DA05-77A0-4900-A63D-7BEAEADD8420}">
      <dsp:nvSpPr>
        <dsp:cNvPr id="0" name=""/>
        <dsp:cNvSpPr/>
      </dsp:nvSpPr>
      <dsp:spPr>
        <a:xfrm>
          <a:off x="0" y="1106849"/>
          <a:ext cx="6134100" cy="428400"/>
        </a:xfrm>
        <a:prstGeom prst="rect">
          <a:avLst/>
        </a:prstGeom>
        <a:solidFill>
          <a:schemeClr val="lt1">
            <a:alpha val="90000"/>
            <a:hueOff val="0"/>
            <a:satOff val="0"/>
            <a:lumOff val="0"/>
            <a:alphaOff val="0"/>
          </a:schemeClr>
        </a:solidFill>
        <a:ln w="25400" cap="flat" cmpd="sng" algn="ctr">
          <a:solidFill>
            <a:schemeClr val="accent2">
              <a:hueOff val="1560507"/>
              <a:satOff val="-1946"/>
              <a:lumOff val="458"/>
              <a:alphaOff val="0"/>
            </a:schemeClr>
          </a:solidFill>
          <a:prstDash val="solid"/>
        </a:ln>
        <a:effectLst/>
      </dsp:spPr>
      <dsp:style>
        <a:lnRef idx="2">
          <a:scrgbClr r="0" g="0" b="0"/>
        </a:lnRef>
        <a:fillRef idx="1">
          <a:scrgbClr r="0" g="0" b="0"/>
        </a:fillRef>
        <a:effectRef idx="0">
          <a:scrgbClr r="0" g="0" b="0"/>
        </a:effectRef>
        <a:fontRef idx="minor"/>
      </dsp:style>
    </dsp:sp>
    <dsp:sp modelId="{D57C33FF-AAB2-4BB3-BD38-8BA4A6442106}">
      <dsp:nvSpPr>
        <dsp:cNvPr id="0" name=""/>
        <dsp:cNvSpPr/>
      </dsp:nvSpPr>
      <dsp:spPr>
        <a:xfrm>
          <a:off x="306705" y="855930"/>
          <a:ext cx="4293870" cy="501840"/>
        </a:xfrm>
        <a:prstGeom prst="roundRect">
          <a:avLst/>
        </a:prstGeom>
        <a:solidFill>
          <a:schemeClr val="accent2">
            <a:hueOff val="1560507"/>
            <a:satOff val="-1946"/>
            <a:lumOff val="458"/>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62298" tIns="0" rIns="162298" bIns="0" numCol="1" spcCol="1270" anchor="ctr" anchorCtr="0">
          <a:noAutofit/>
        </a:bodyPr>
        <a:lstStyle/>
        <a:p>
          <a:pPr marL="0" lvl="0" indent="0" algn="ctr" defTabSz="622300">
            <a:lnSpc>
              <a:spcPct val="90000"/>
            </a:lnSpc>
            <a:spcBef>
              <a:spcPct val="0"/>
            </a:spcBef>
            <a:spcAft>
              <a:spcPct val="35000"/>
            </a:spcAft>
            <a:buNone/>
          </a:pPr>
          <a:r>
            <a:rPr lang="en-IN" sz="1400" b="1" kern="1200">
              <a:solidFill>
                <a:schemeClr val="tx1"/>
              </a:solidFill>
              <a:latin typeface="Times New Roman" panose="02020603050405020304" pitchFamily="18" charset="0"/>
              <a:cs typeface="Times New Roman" panose="02020603050405020304" pitchFamily="18" charset="0"/>
            </a:rPr>
            <a:t>Measurability and severity</a:t>
          </a:r>
        </a:p>
      </dsp:txBody>
      <dsp:txXfrm>
        <a:off x="331203" y="880428"/>
        <a:ext cx="4244874" cy="452844"/>
      </dsp:txXfrm>
    </dsp:sp>
    <dsp:sp modelId="{14FF7D54-3F0D-4C04-8D18-5484D32BEE71}">
      <dsp:nvSpPr>
        <dsp:cNvPr id="0" name=""/>
        <dsp:cNvSpPr/>
      </dsp:nvSpPr>
      <dsp:spPr>
        <a:xfrm>
          <a:off x="0" y="1877970"/>
          <a:ext cx="6134100" cy="428400"/>
        </a:xfrm>
        <a:prstGeom prst="rect">
          <a:avLst/>
        </a:prstGeom>
        <a:solidFill>
          <a:schemeClr val="lt1">
            <a:alpha val="90000"/>
            <a:hueOff val="0"/>
            <a:satOff val="0"/>
            <a:lumOff val="0"/>
            <a:alphaOff val="0"/>
          </a:schemeClr>
        </a:solidFill>
        <a:ln w="25400" cap="flat" cmpd="sng" algn="ctr">
          <a:solidFill>
            <a:schemeClr val="accent2">
              <a:hueOff val="3121013"/>
              <a:satOff val="-3893"/>
              <a:lumOff val="915"/>
              <a:alphaOff val="0"/>
            </a:schemeClr>
          </a:solidFill>
          <a:prstDash val="solid"/>
        </a:ln>
        <a:effectLst/>
      </dsp:spPr>
      <dsp:style>
        <a:lnRef idx="2">
          <a:scrgbClr r="0" g="0" b="0"/>
        </a:lnRef>
        <a:fillRef idx="1">
          <a:scrgbClr r="0" g="0" b="0"/>
        </a:fillRef>
        <a:effectRef idx="0">
          <a:scrgbClr r="0" g="0" b="0"/>
        </a:effectRef>
        <a:fontRef idx="minor"/>
      </dsp:style>
    </dsp:sp>
    <dsp:sp modelId="{0AEB17E3-929B-4456-83B4-E128BE5E7685}">
      <dsp:nvSpPr>
        <dsp:cNvPr id="0" name=""/>
        <dsp:cNvSpPr/>
      </dsp:nvSpPr>
      <dsp:spPr>
        <a:xfrm>
          <a:off x="306705" y="1627049"/>
          <a:ext cx="4293870" cy="501840"/>
        </a:xfrm>
        <a:prstGeom prst="roundRect">
          <a:avLst/>
        </a:prstGeom>
        <a:solidFill>
          <a:schemeClr val="accent2">
            <a:hueOff val="3121013"/>
            <a:satOff val="-3893"/>
            <a:lumOff val="915"/>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62298" tIns="0" rIns="162298" bIns="0" numCol="1" spcCol="1270" anchor="ctr" anchorCtr="0">
          <a:noAutofit/>
        </a:bodyPr>
        <a:lstStyle/>
        <a:p>
          <a:pPr marL="0" lvl="0" indent="0" algn="ctr" defTabSz="622300">
            <a:lnSpc>
              <a:spcPct val="90000"/>
            </a:lnSpc>
            <a:spcBef>
              <a:spcPct val="0"/>
            </a:spcBef>
            <a:spcAft>
              <a:spcPct val="35000"/>
            </a:spcAft>
            <a:buNone/>
          </a:pPr>
          <a:r>
            <a:rPr lang="en-IN" sz="1400" b="1" kern="1200">
              <a:solidFill>
                <a:schemeClr val="tx1"/>
              </a:solidFill>
              <a:latin typeface="Times New Roman" panose="02020603050405020304" pitchFamily="18" charset="0"/>
              <a:cs typeface="Times New Roman" panose="02020603050405020304" pitchFamily="18" charset="0"/>
            </a:rPr>
            <a:t>Source and impact</a:t>
          </a:r>
        </a:p>
      </dsp:txBody>
      <dsp:txXfrm>
        <a:off x="331203" y="1651547"/>
        <a:ext cx="4244874" cy="452844"/>
      </dsp:txXfrm>
    </dsp:sp>
    <dsp:sp modelId="{DA59D66F-B294-4FD0-A7EF-A0E4262F1303}">
      <dsp:nvSpPr>
        <dsp:cNvPr id="0" name=""/>
        <dsp:cNvSpPr/>
      </dsp:nvSpPr>
      <dsp:spPr>
        <a:xfrm>
          <a:off x="0" y="2649090"/>
          <a:ext cx="6134100" cy="428400"/>
        </a:xfrm>
        <a:prstGeom prst="rect">
          <a:avLst/>
        </a:prstGeom>
        <a:solidFill>
          <a:schemeClr val="lt1">
            <a:alpha val="90000"/>
            <a:hueOff val="0"/>
            <a:satOff val="0"/>
            <a:lumOff val="0"/>
            <a:alphaOff val="0"/>
          </a:schemeClr>
        </a:solidFill>
        <a:ln w="25400" cap="flat" cmpd="sng" algn="ctr">
          <a:solidFill>
            <a:schemeClr val="accent2">
              <a:hueOff val="4681520"/>
              <a:satOff val="-5839"/>
              <a:lumOff val="1373"/>
              <a:alphaOff val="0"/>
            </a:schemeClr>
          </a:solidFill>
          <a:prstDash val="solid"/>
        </a:ln>
        <a:effectLst/>
      </dsp:spPr>
      <dsp:style>
        <a:lnRef idx="2">
          <a:scrgbClr r="0" g="0" b="0"/>
        </a:lnRef>
        <a:fillRef idx="1">
          <a:scrgbClr r="0" g="0" b="0"/>
        </a:fillRef>
        <a:effectRef idx="0">
          <a:scrgbClr r="0" g="0" b="0"/>
        </a:effectRef>
        <a:fontRef idx="minor"/>
      </dsp:style>
    </dsp:sp>
    <dsp:sp modelId="{E2117E5F-1107-4AD3-B632-79DDA5685E4D}">
      <dsp:nvSpPr>
        <dsp:cNvPr id="0" name=""/>
        <dsp:cNvSpPr/>
      </dsp:nvSpPr>
      <dsp:spPr>
        <a:xfrm>
          <a:off x="306705" y="2398170"/>
          <a:ext cx="4293870" cy="501840"/>
        </a:xfrm>
        <a:prstGeom prst="roundRect">
          <a:avLst/>
        </a:prstGeom>
        <a:solidFill>
          <a:schemeClr val="accent2">
            <a:hueOff val="4681520"/>
            <a:satOff val="-5839"/>
            <a:lumOff val="1373"/>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62298" tIns="0" rIns="162298" bIns="0" numCol="1" spcCol="1270" anchor="ctr" anchorCtr="0">
          <a:noAutofit/>
        </a:bodyPr>
        <a:lstStyle/>
        <a:p>
          <a:pPr marL="0" lvl="0" indent="0" algn="ctr" defTabSz="622300">
            <a:lnSpc>
              <a:spcPct val="90000"/>
            </a:lnSpc>
            <a:spcBef>
              <a:spcPct val="0"/>
            </a:spcBef>
            <a:spcAft>
              <a:spcPct val="35000"/>
            </a:spcAft>
            <a:buNone/>
          </a:pPr>
          <a:r>
            <a:rPr lang="en-IN" sz="1400" b="1" kern="1200">
              <a:solidFill>
                <a:schemeClr val="tx1"/>
              </a:solidFill>
              <a:latin typeface="Times New Roman" panose="02020603050405020304" pitchFamily="18" charset="0"/>
              <a:cs typeface="Times New Roman" panose="02020603050405020304" pitchFamily="18" charset="0"/>
            </a:rPr>
            <a:t>Managibility</a:t>
          </a:r>
        </a:p>
      </dsp:txBody>
      <dsp:txXfrm>
        <a:off x="331203" y="2422668"/>
        <a:ext cx="4244874" cy="452844"/>
      </dsp:txXfrm>
    </dsp:sp>
  </dsp:spTree>
</dsp:drawing>
</file>

<file path=word/diagrams/layout1.xml><?xml version="1.0" encoding="utf-8"?>
<dgm:layoutDef xmlns:dgm="http://schemas.openxmlformats.org/drawingml/2006/diagram" xmlns:a="http://schemas.openxmlformats.org/drawingml/2006/main" uniqueId="urn:microsoft.com/office/officeart/2005/8/layout/list1">
  <dgm:title val=""/>
  <dgm:desc val=""/>
  <dgm:catLst>
    <dgm:cat type="list" pri="4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animLvl val="lvl"/>
      <dgm:resizeHandles val="exact"/>
    </dgm:varLst>
    <dgm:choose name="Name0">
      <dgm:if name="Name1" func="var" arg="dir" op="equ" val="norm">
        <dgm:alg type="lin">
          <dgm:param type="linDir" val="fromT"/>
          <dgm:param type="vertAlign" val="mid"/>
          <dgm:param type="horzAlign" val="l"/>
          <dgm:param type="nodeHorzAlign" val="l"/>
        </dgm:alg>
      </dgm:if>
      <dgm:else name="Name2">
        <dgm:alg type="lin">
          <dgm:param type="linDir" val="fromT"/>
          <dgm:param type="vertAlign" val="mid"/>
          <dgm:param type="horzAlign" val="r"/>
          <dgm:param type="nodeHorzAlign" val="r"/>
        </dgm:alg>
      </dgm:else>
    </dgm:choose>
    <dgm:shape xmlns:r="http://schemas.openxmlformats.org/officeDocument/2006/relationships" r:blip="">
      <dgm:adjLst/>
    </dgm:shape>
    <dgm:presOf/>
    <dgm:constrLst>
      <dgm:constr type="w" for="ch" forName="parentLin" refType="w"/>
      <dgm:constr type="h" for="ch" forName="parentLin" val="INF"/>
      <dgm:constr type="w" for="des" forName="parentLeftMargin" refType="w" fact="0.05"/>
      <dgm:constr type="w" for="des" forName="parentText" refType="w" fact="0.7"/>
      <dgm:constr type="h" for="des" forName="parentText" refType="primFontSz" refFor="des" refForName="parentText" fact="0.82"/>
      <dgm:constr type="h" for="ch" forName="negativeSpace" refType="primFontSz" refFor="des" refForName="parentText" fact="-0.41"/>
      <dgm:constr type="h" for="ch" forName="negativeSpace" refType="h" refFor="des" refForName="parentText" op="lte" fact="-0.82"/>
      <dgm:constr type="h" for="ch" forName="negativeSpace" refType="h" refFor="des" refForName="parentText" op="gte" fact="-0.82"/>
      <dgm:constr type="w" for="ch" forName="childText" refType="w"/>
      <dgm:constr type="h" for="ch" forName="childText" refType="primFontSz" refFor="des" refForName="parentText" fact="0.7"/>
      <dgm:constr type="primFontSz" for="des" forName="parentText" val="65"/>
      <dgm:constr type="primFontSz" for="ch" forName="childText" refType="primFontSz" refFor="des" refForName="parentText"/>
      <dgm:constr type="tMarg" for="ch" forName="childText" refType="primFontSz" refFor="des" refForName="parentText" fact="1.64"/>
      <dgm:constr type="tMarg" for="ch" forName="childText" refType="h" refFor="des" refForName="parentText" op="lte" fact="3.28"/>
      <dgm:constr type="tMarg" for="ch" forName="childText" refType="h" refFor="des" refForName="parentText" op="gte" fact="3.28"/>
      <dgm:constr type="lMarg" for="ch" forName="childText" refType="w" fact="0.22"/>
      <dgm:constr type="rMarg" for="ch" forName="childText" refType="lMarg" refFor="ch" refForName="childText"/>
      <dgm:constr type="lMarg" for="des" forName="parentText" refType="w" fact="0.075"/>
      <dgm:constr type="rMarg" for="des" forName="parentText" refType="lMarg" refFor="des" refForName="parentText"/>
      <dgm:constr type="h" for="ch" forName="spaceBetweenRectangles" refType="primFontSz" refFor="des" refForName="parentText" fact="0.15"/>
    </dgm:constrLst>
    <dgm:ruleLst>
      <dgm:rule type="primFontSz" for="des" forName="parentText" val="5" fact="NaN" max="NaN"/>
    </dgm:ruleLst>
    <dgm:forEach name="Name3" axis="ch" ptType="node">
      <dgm:layoutNode name="parentLin">
        <dgm:choose name="Name4">
          <dgm:if name="Name5" func="var" arg="dir" op="equ" val="norm">
            <dgm:alg type="lin">
              <dgm:param type="linDir" val="fromL"/>
              <dgm:param type="horzAlign" val="l"/>
              <dgm:param type="nodeHorzAlign" val="l"/>
            </dgm:alg>
          </dgm:if>
          <dgm:else name="Name6">
            <dgm:alg type="lin">
              <dgm:param type="linDir" val="fromR"/>
              <dgm:param type="horzAlign" val="r"/>
              <dgm:param type="nodeHorzAlign" val="r"/>
            </dgm:alg>
          </dgm:else>
        </dgm:choose>
        <dgm:shape xmlns:r="http://schemas.openxmlformats.org/officeDocument/2006/relationships" r:blip="">
          <dgm:adjLst/>
        </dgm:shape>
        <dgm:presOf/>
        <dgm:constrLst/>
        <dgm:ruleLst/>
        <dgm:layoutNode name="parentLeftMargin">
          <dgm:alg type="sp"/>
          <dgm:shape xmlns:r="http://schemas.openxmlformats.org/officeDocument/2006/relationships" type="rect" r:blip="" hideGeom="1">
            <dgm:adjLst/>
          </dgm:shape>
          <dgm:presOf axis="self"/>
          <dgm:constrLst>
            <dgm:constr type="h"/>
          </dgm:constrLst>
          <dgm:ruleLst/>
        </dgm:layoutNode>
        <dgm:layoutNode name="parentText" styleLbl="node1">
          <dgm:varLst>
            <dgm:chMax val="0"/>
            <dgm:bulletEnabled val="1"/>
          </dgm:varLst>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oundRect" r:blip="">
            <dgm:adjLst/>
          </dgm:shape>
          <dgm:presOf axis="self" ptType="node"/>
          <dgm:constrLst>
            <dgm:constr type="tMarg"/>
            <dgm:constr type="bMarg"/>
          </dgm:constrLst>
          <dgm:ruleLst/>
        </dgm:layoutNode>
      </dgm:layoutNode>
      <dgm:layoutNode name="negativeSpace">
        <dgm:alg type="sp"/>
        <dgm:shape xmlns:r="http://schemas.openxmlformats.org/officeDocument/2006/relationships" r:blip="">
          <dgm:adjLst/>
        </dgm:shape>
        <dgm:presOf/>
        <dgm:constrLst/>
        <dgm:ruleLst/>
      </dgm:layoutNode>
      <dgm:layoutNode name="childText" styleLbl="conFgAcc1">
        <dgm:varLst>
          <dgm:bulletEnabled val="1"/>
        </dgm:varLst>
        <dgm:alg type="tx">
          <dgm:param type="stBulletLvl" val="1"/>
        </dgm:alg>
        <dgm:shape xmlns:r="http://schemas.openxmlformats.org/officeDocument/2006/relationships" type="rect" r:blip="" zOrderOff="-2">
          <dgm:adjLst/>
        </dgm:shape>
        <dgm:presOf axis="des" ptType="node"/>
        <dgm:constrLst>
          <dgm:constr type="secFontSz" refType="primFontSz"/>
        </dgm:constrLst>
        <dgm:ruleLst>
          <dgm:rule type="h" val="INF" fact="NaN" max="NaN"/>
        </dgm:ruleLst>
      </dgm:layoutNode>
      <dgm:forEach name="Name1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A6E83CB-A1F9-418A-A08E-31320244633E}">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2649</Words>
  <Characters>15102</Characters>
  <Application>Microsoft Office Word</Application>
  <DocSecurity>0</DocSecurity>
  <Lines>125</Lines>
  <Paragraphs>35</Paragraphs>
  <ScaleCrop>false</ScaleCrop>
  <Company/>
  <LinksUpToDate>false</LinksUpToDate>
  <CharactersWithSpaces>17716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worldassignmenthelpservices@gmail.com</cp:lastModifiedBy>
  <cp:revision>2</cp:revision>
  <dcterms:created xsi:type="dcterms:W3CDTF">2026-03-29T16:27:00Z</dcterms:created>
  <dcterms:modified xsi:type="dcterms:W3CDTF">2026-03-29T16:27:00Z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d0051be3-8314-4fb6-8f9c-0fe73a7c7ba0</vt:lpwstr>
  </property>
</Properties>
</file>