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65DB" w:rsidRDefault="006765DB" w:rsidP="006765DB">
      <w:pPr>
        <w:jc w:val="center"/>
        <w:rPr>
          <w:rFonts w:ascii="Gautami" w:hAnsi="Gautami" w:cs="Gautami"/>
        </w:rPr>
      </w:pPr>
      <w:r>
        <w:rPr>
          <w:rFonts w:ascii="Georgia" w:hAnsi="Georgia"/>
          <w:noProof/>
          <w:lang w:eastAsia="en-GB"/>
        </w:rPr>
        <w:drawing>
          <wp:inline distT="0" distB="0" distL="0" distR="0" wp14:anchorId="11370959" wp14:editId="076E62E4">
            <wp:extent cx="2921330" cy="43703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8370" cy="4380862"/>
                    </a:xfrm>
                    <a:prstGeom prst="rect">
                      <a:avLst/>
                    </a:prstGeom>
                    <a:noFill/>
                  </pic:spPr>
                </pic:pic>
              </a:graphicData>
            </a:graphic>
          </wp:inline>
        </w:drawing>
      </w:r>
    </w:p>
    <w:p w:rsidR="006765DB" w:rsidRDefault="006765DB" w:rsidP="006765DB">
      <w:pPr>
        <w:jc w:val="center"/>
        <w:rPr>
          <w:rFonts w:ascii="Gautami" w:hAnsi="Gautami" w:cs="Gautami"/>
        </w:rPr>
      </w:pPr>
      <w:r>
        <w:rPr>
          <w:rFonts w:ascii="Gautami" w:hAnsi="Gautami" w:cs="Gautami"/>
        </w:rPr>
        <w:t xml:space="preserve">[Figure 1] </w:t>
      </w:r>
      <w:proofErr w:type="gramStart"/>
      <w:r>
        <w:rPr>
          <w:rFonts w:ascii="Gautami" w:hAnsi="Gautami" w:cs="Gautami"/>
        </w:rPr>
        <w:t xml:space="preserve">A fourteenth century stained glass window at St Michael le </w:t>
      </w:r>
      <w:proofErr w:type="spellStart"/>
      <w:r>
        <w:rPr>
          <w:rFonts w:ascii="Gautami" w:hAnsi="Gautami" w:cs="Gautami"/>
        </w:rPr>
        <w:t>Belfrey</w:t>
      </w:r>
      <w:proofErr w:type="spellEnd"/>
      <w:r>
        <w:rPr>
          <w:rFonts w:ascii="Gautami" w:hAnsi="Gautami" w:cs="Gautami"/>
        </w:rPr>
        <w:t>, York, depicting St Hugh alongside St William, St Peter and another unidentified bishop saint.</w:t>
      </w:r>
      <w:proofErr w:type="gramEnd"/>
    </w:p>
    <w:p w:rsidR="006765DB" w:rsidRPr="00422EC9" w:rsidRDefault="006765DB" w:rsidP="006765DB">
      <w:pPr>
        <w:jc w:val="center"/>
        <w:rPr>
          <w:rFonts w:ascii="Gautami" w:hAnsi="Gautami" w:cs="Gautami"/>
        </w:rPr>
      </w:pPr>
      <w:r>
        <w:rPr>
          <w:rFonts w:ascii="Georgia" w:hAnsi="Georgia"/>
          <w:noProof/>
          <w:lang w:eastAsia="en-GB"/>
        </w:rPr>
        <w:drawing>
          <wp:inline distT="0" distB="0" distL="0" distR="0" wp14:anchorId="0908A698" wp14:editId="2BEBDA28">
            <wp:extent cx="1603169" cy="3214583"/>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06500" cy="3221262"/>
                    </a:xfrm>
                    <a:prstGeom prst="rect">
                      <a:avLst/>
                    </a:prstGeom>
                    <a:noFill/>
                  </pic:spPr>
                </pic:pic>
              </a:graphicData>
            </a:graphic>
          </wp:inline>
        </w:drawing>
      </w:r>
    </w:p>
    <w:p w:rsidR="006765DB" w:rsidRPr="00A46732" w:rsidRDefault="006765DB" w:rsidP="006765DB">
      <w:pPr>
        <w:jc w:val="center"/>
        <w:rPr>
          <w:rFonts w:ascii="Gautami" w:hAnsi="Gautami" w:cs="Gautami"/>
        </w:rPr>
      </w:pPr>
      <w:r w:rsidRPr="00A46732">
        <w:rPr>
          <w:rFonts w:ascii="Gautami" w:hAnsi="Gautami" w:cs="Gautami"/>
        </w:rPr>
        <w:t>[Figure 2</w:t>
      </w:r>
      <w:r>
        <w:rPr>
          <w:rFonts w:ascii="Gautami" w:hAnsi="Gautami" w:cs="Gautami"/>
        </w:rPr>
        <w:t xml:space="preserve">] Detail of St Hugh in the stained glass window at St Michael le </w:t>
      </w:r>
      <w:proofErr w:type="spellStart"/>
      <w:r>
        <w:rPr>
          <w:rFonts w:ascii="Gautami" w:hAnsi="Gautami" w:cs="Gautami"/>
        </w:rPr>
        <w:t>Belfrey</w:t>
      </w:r>
      <w:proofErr w:type="spellEnd"/>
      <w:r>
        <w:rPr>
          <w:rFonts w:ascii="Gautami" w:hAnsi="Gautami" w:cs="Gautami"/>
        </w:rPr>
        <w:t xml:space="preserve">, York. </w:t>
      </w:r>
    </w:p>
    <w:p w:rsidR="006765DB" w:rsidRDefault="006765DB" w:rsidP="006765DB">
      <w:pPr>
        <w:jc w:val="center"/>
        <w:rPr>
          <w:rFonts w:ascii="Georgia" w:hAnsi="Georgia"/>
        </w:rPr>
      </w:pPr>
    </w:p>
    <w:p w:rsidR="006765DB" w:rsidRDefault="006765DB" w:rsidP="006765DB">
      <w:pPr>
        <w:jc w:val="center"/>
        <w:rPr>
          <w:rFonts w:ascii="Georgia" w:hAnsi="Georgia"/>
        </w:rPr>
      </w:pPr>
      <w:r>
        <w:rPr>
          <w:rFonts w:ascii="Georgia" w:hAnsi="Georgia"/>
          <w:noProof/>
          <w:lang w:eastAsia="en-GB"/>
        </w:rPr>
        <w:lastRenderedPageBreak/>
        <w:drawing>
          <wp:inline distT="0" distB="0" distL="0" distR="0" wp14:anchorId="121CE835" wp14:editId="7A04EB27">
            <wp:extent cx="1765237" cy="402609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68143" cy="4032717"/>
                    </a:xfrm>
                    <a:prstGeom prst="rect">
                      <a:avLst/>
                    </a:prstGeom>
                    <a:noFill/>
                  </pic:spPr>
                </pic:pic>
              </a:graphicData>
            </a:graphic>
          </wp:inline>
        </w:drawing>
      </w:r>
    </w:p>
    <w:p w:rsidR="006765DB" w:rsidRPr="00490BCD" w:rsidRDefault="006765DB" w:rsidP="006765DB">
      <w:pPr>
        <w:jc w:val="center"/>
        <w:rPr>
          <w:rFonts w:ascii="Gautami" w:hAnsi="Gautami" w:cs="Gautami"/>
        </w:rPr>
      </w:pPr>
      <w:r>
        <w:rPr>
          <w:rFonts w:ascii="Gautami" w:hAnsi="Gautami" w:cs="Gautami"/>
        </w:rPr>
        <w:t xml:space="preserve">[Figure 3] </w:t>
      </w:r>
      <w:proofErr w:type="gramStart"/>
      <w:r>
        <w:rPr>
          <w:rFonts w:ascii="Gautami" w:hAnsi="Gautami" w:cs="Gautami"/>
        </w:rPr>
        <w:t>A late fifteenth-century altarpiece at the Carthusian Charterhouse of Saint-</w:t>
      </w:r>
      <w:proofErr w:type="spellStart"/>
      <w:r>
        <w:rPr>
          <w:rFonts w:ascii="Gautami" w:hAnsi="Gautami" w:cs="Gautami"/>
        </w:rPr>
        <w:t>Honoré</w:t>
      </w:r>
      <w:proofErr w:type="spellEnd"/>
      <w:r>
        <w:rPr>
          <w:rFonts w:ascii="Gautami" w:hAnsi="Gautami" w:cs="Gautami"/>
        </w:rPr>
        <w:t>, France, depicting St Hugh and the Swan of Stowe.</w:t>
      </w:r>
      <w:proofErr w:type="gramEnd"/>
    </w:p>
    <w:p w:rsidR="006765DB" w:rsidRDefault="006765DB" w:rsidP="006765DB">
      <w:pPr>
        <w:jc w:val="center"/>
        <w:rPr>
          <w:rFonts w:ascii="Georgia" w:hAnsi="Georgia"/>
        </w:rPr>
      </w:pPr>
    </w:p>
    <w:p w:rsidR="006765DB" w:rsidRDefault="006765DB" w:rsidP="006765DB">
      <w:pPr>
        <w:jc w:val="center"/>
        <w:rPr>
          <w:rFonts w:ascii="Georgia" w:hAnsi="Georgia"/>
        </w:rPr>
      </w:pPr>
      <w:r>
        <w:rPr>
          <w:rFonts w:ascii="Georgia" w:hAnsi="Georgia"/>
          <w:noProof/>
          <w:lang w:eastAsia="en-GB"/>
        </w:rPr>
        <w:drawing>
          <wp:inline distT="0" distB="0" distL="0" distR="0" wp14:anchorId="29BE3653" wp14:editId="0136CB13">
            <wp:extent cx="1643211" cy="338115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56532" cy="3408562"/>
                    </a:xfrm>
                    <a:prstGeom prst="rect">
                      <a:avLst/>
                    </a:prstGeom>
                    <a:noFill/>
                  </pic:spPr>
                </pic:pic>
              </a:graphicData>
            </a:graphic>
          </wp:inline>
        </w:drawing>
      </w:r>
    </w:p>
    <w:p w:rsidR="006765DB" w:rsidRPr="00490BCD" w:rsidRDefault="006765DB" w:rsidP="006765DB">
      <w:pPr>
        <w:jc w:val="center"/>
        <w:rPr>
          <w:rFonts w:ascii="Gautami" w:hAnsi="Gautami" w:cs="Gautami"/>
        </w:rPr>
      </w:pPr>
      <w:r w:rsidRPr="00490BCD">
        <w:rPr>
          <w:rFonts w:ascii="Gautami" w:hAnsi="Gautami" w:cs="Gautami"/>
        </w:rPr>
        <w:t>[Figure 4]</w:t>
      </w:r>
      <w:r>
        <w:rPr>
          <w:rFonts w:ascii="Gautami" w:hAnsi="Gautami" w:cs="Gautami"/>
        </w:rPr>
        <w:t xml:space="preserve"> </w:t>
      </w:r>
      <w:proofErr w:type="gramStart"/>
      <w:r>
        <w:rPr>
          <w:rFonts w:ascii="Gautami" w:hAnsi="Gautami" w:cs="Gautami"/>
        </w:rPr>
        <w:t xml:space="preserve">A stained glass depiction of St Hugh from the church of St </w:t>
      </w:r>
      <w:proofErr w:type="spellStart"/>
      <w:r>
        <w:rPr>
          <w:rFonts w:ascii="Gautami" w:hAnsi="Gautami" w:cs="Gautami"/>
        </w:rPr>
        <w:t>Cawrdaf</w:t>
      </w:r>
      <w:proofErr w:type="spellEnd"/>
      <w:r>
        <w:rPr>
          <w:rFonts w:ascii="Gautami" w:hAnsi="Gautami" w:cs="Gautami"/>
        </w:rPr>
        <w:t xml:space="preserve">, </w:t>
      </w:r>
      <w:proofErr w:type="spellStart"/>
      <w:r>
        <w:rPr>
          <w:rFonts w:ascii="Gautami" w:hAnsi="Gautami" w:cs="Gautami"/>
        </w:rPr>
        <w:t>Llangoed</w:t>
      </w:r>
      <w:proofErr w:type="spellEnd"/>
      <w:r>
        <w:rPr>
          <w:rFonts w:ascii="Gautami" w:hAnsi="Gautami" w:cs="Gautami"/>
        </w:rPr>
        <w:t>, dating from 1907.</w:t>
      </w:r>
      <w:proofErr w:type="gramEnd"/>
    </w:p>
    <w:p w:rsidR="00F00F77" w:rsidRDefault="00F00F77" w:rsidP="00F00F77">
      <w:pPr>
        <w:spacing w:line="360" w:lineRule="auto"/>
        <w:rPr>
          <w:rFonts w:ascii="Gautami" w:hAnsi="Gautami" w:cs="Gautami"/>
          <w:b/>
          <w:i/>
          <w:u w:val="single"/>
        </w:rPr>
      </w:pPr>
    </w:p>
    <w:p w:rsidR="006765DB" w:rsidRDefault="00AB0369" w:rsidP="00F00F77">
      <w:pPr>
        <w:spacing w:line="360" w:lineRule="auto"/>
        <w:rPr>
          <w:rFonts w:ascii="Gautami" w:hAnsi="Gautami" w:cs="Gautami"/>
          <w:b/>
          <w:i/>
          <w:u w:val="single"/>
        </w:rPr>
      </w:pPr>
      <w:r>
        <w:rPr>
          <w:rFonts w:ascii="Gautami" w:hAnsi="Gautami" w:cs="Gautami"/>
          <w:b/>
          <w:i/>
          <w:u w:val="single"/>
        </w:rPr>
        <w:t>Section 1: Material Sources</w:t>
      </w:r>
    </w:p>
    <w:p w:rsidR="00AB0369" w:rsidRPr="00AB0369" w:rsidRDefault="00AB0369" w:rsidP="00F00F77">
      <w:pPr>
        <w:spacing w:line="360" w:lineRule="auto"/>
        <w:rPr>
          <w:rFonts w:ascii="Gautami" w:hAnsi="Gautami" w:cs="Gautami"/>
          <w:b/>
          <w:i/>
          <w:u w:val="single"/>
        </w:rPr>
      </w:pPr>
    </w:p>
    <w:p w:rsidR="006765DB" w:rsidRDefault="006765DB" w:rsidP="00F00F77">
      <w:pPr>
        <w:spacing w:line="360" w:lineRule="auto"/>
        <w:rPr>
          <w:rFonts w:ascii="Gautami" w:hAnsi="Gautami" w:cs="Gautami"/>
        </w:rPr>
      </w:pPr>
      <w:r w:rsidRPr="00B63703">
        <w:rPr>
          <w:rFonts w:ascii="Gautami" w:hAnsi="Gautami" w:cs="Gautami"/>
        </w:rPr>
        <w:t>In this section of the p</w:t>
      </w:r>
      <w:r>
        <w:rPr>
          <w:rFonts w:ascii="Gautami" w:hAnsi="Gautami" w:cs="Gautami"/>
        </w:rPr>
        <w:t>ortfolio, I shall comment</w:t>
      </w:r>
      <w:r w:rsidRPr="00B63703">
        <w:rPr>
          <w:rFonts w:ascii="Gautami" w:hAnsi="Gautami" w:cs="Gautami"/>
        </w:rPr>
        <w:t xml:space="preserve"> upon two material sources relating to the cult of St Hugh. The f</w:t>
      </w:r>
      <w:r>
        <w:rPr>
          <w:rFonts w:ascii="Gautami" w:hAnsi="Gautami" w:cs="Gautami"/>
        </w:rPr>
        <w:t>irst visual source that I will examine</w:t>
      </w:r>
      <w:r w:rsidRPr="00B63703">
        <w:rPr>
          <w:rFonts w:ascii="Gautami" w:hAnsi="Gautami" w:cs="Gautami"/>
        </w:rPr>
        <w:t xml:space="preserve"> </w:t>
      </w:r>
      <w:r>
        <w:rPr>
          <w:rFonts w:ascii="Gautami" w:hAnsi="Gautami" w:cs="Gautami"/>
        </w:rPr>
        <w:t>is a fourteenth-</w:t>
      </w:r>
      <w:r w:rsidRPr="00B63703">
        <w:rPr>
          <w:rFonts w:ascii="Gautami" w:hAnsi="Gautami" w:cs="Gautami"/>
        </w:rPr>
        <w:t xml:space="preserve">century panel of stained glass featuring St Hugh from St Michael de </w:t>
      </w:r>
      <w:proofErr w:type="spellStart"/>
      <w:r w:rsidRPr="00B63703">
        <w:rPr>
          <w:rFonts w:ascii="Gautami" w:hAnsi="Gautami" w:cs="Gautami"/>
        </w:rPr>
        <w:t>Belfrey</w:t>
      </w:r>
      <w:proofErr w:type="spellEnd"/>
      <w:r>
        <w:rPr>
          <w:rFonts w:ascii="Gautami" w:hAnsi="Gautami" w:cs="Gautami"/>
        </w:rPr>
        <w:t xml:space="preserve"> in York [Figure 1</w:t>
      </w:r>
      <w:r w:rsidRPr="00B63703">
        <w:rPr>
          <w:rFonts w:ascii="Gautami" w:hAnsi="Gautami" w:cs="Gautami"/>
        </w:rPr>
        <w:t>]. The second visual source that I will examine</w:t>
      </w:r>
      <w:r>
        <w:rPr>
          <w:rFonts w:ascii="Gautami" w:hAnsi="Gautami" w:cs="Gautami"/>
        </w:rPr>
        <w:t xml:space="preserve"> is the fifteenth-century altarpiece depicting</w:t>
      </w:r>
      <w:r w:rsidRPr="00B63703">
        <w:rPr>
          <w:rFonts w:ascii="Gautami" w:hAnsi="Gautami" w:cs="Gautami"/>
        </w:rPr>
        <w:t xml:space="preserve"> St Hugh at the Carthusian Charterhouse of Saint-</w:t>
      </w:r>
      <w:proofErr w:type="spellStart"/>
      <w:r w:rsidRPr="00B63703">
        <w:rPr>
          <w:rFonts w:ascii="Gautami" w:hAnsi="Gautami" w:cs="Gautami"/>
        </w:rPr>
        <w:t>Honoré</w:t>
      </w:r>
      <w:proofErr w:type="spellEnd"/>
      <w:r w:rsidRPr="00B63703">
        <w:rPr>
          <w:rFonts w:ascii="Gautami" w:hAnsi="Gautami" w:cs="Gautami"/>
        </w:rPr>
        <w:t>, France</w:t>
      </w:r>
      <w:r>
        <w:rPr>
          <w:rFonts w:ascii="Gautami" w:hAnsi="Gautami" w:cs="Gautami"/>
        </w:rPr>
        <w:t xml:space="preserve"> [Figure 3</w:t>
      </w:r>
      <w:r w:rsidRPr="00B63703">
        <w:rPr>
          <w:rFonts w:ascii="Gautami" w:hAnsi="Gautami" w:cs="Gautami"/>
        </w:rPr>
        <w:t xml:space="preserve">].  I will draw parallels </w:t>
      </w:r>
      <w:r>
        <w:rPr>
          <w:rFonts w:ascii="Gautami" w:hAnsi="Gautami" w:cs="Gautami"/>
        </w:rPr>
        <w:t xml:space="preserve">between the two </w:t>
      </w:r>
      <w:r w:rsidRPr="00B63703">
        <w:rPr>
          <w:rFonts w:ascii="Gautami" w:hAnsi="Gautami" w:cs="Gautami"/>
        </w:rPr>
        <w:t xml:space="preserve">sources in order to </w:t>
      </w:r>
      <w:r>
        <w:rPr>
          <w:rFonts w:ascii="Gautami" w:hAnsi="Gautami" w:cs="Gautami"/>
        </w:rPr>
        <w:t xml:space="preserve">examine the relationship between materiality and the cult of St Hugh. </w:t>
      </w:r>
    </w:p>
    <w:p w:rsidR="006765DB" w:rsidRDefault="006765DB" w:rsidP="00F00F77">
      <w:pPr>
        <w:spacing w:line="360" w:lineRule="auto"/>
        <w:rPr>
          <w:rFonts w:ascii="Gautami" w:hAnsi="Gautami" w:cs="Gautami"/>
        </w:rPr>
      </w:pPr>
      <w:r>
        <w:rPr>
          <w:rFonts w:ascii="Gautami" w:hAnsi="Gautami" w:cs="Gautami"/>
        </w:rPr>
        <w:tab/>
        <w:t xml:space="preserve">I shall examine the provenance of the stained glass, and discuss its significance to the cult of St Hugh. Immediately we can tell from the image of the stained glass that it is a collective of a number of significant bishop saints. </w:t>
      </w:r>
      <w:r w:rsidRPr="00B63703">
        <w:rPr>
          <w:rFonts w:ascii="Gautami" w:hAnsi="Gautami" w:cs="Gautami"/>
        </w:rPr>
        <w:t>Beside St</w:t>
      </w:r>
      <w:r>
        <w:rPr>
          <w:rFonts w:ascii="Gautami" w:hAnsi="Gautami" w:cs="Gautami"/>
        </w:rPr>
        <w:t xml:space="preserve"> Hugh’s panel is a window depicting St</w:t>
      </w:r>
      <w:r w:rsidRPr="00B63703">
        <w:rPr>
          <w:rFonts w:ascii="Gautami" w:hAnsi="Gautami" w:cs="Gautami"/>
        </w:rPr>
        <w:t xml:space="preserve"> Peter</w:t>
      </w:r>
      <w:r>
        <w:rPr>
          <w:rFonts w:ascii="Gautami" w:hAnsi="Gautami" w:cs="Gautami"/>
        </w:rPr>
        <w:t xml:space="preserve">, and another depicting St William, both of their cults popularised during the </w:t>
      </w:r>
      <w:proofErr w:type="gramStart"/>
      <w:r>
        <w:rPr>
          <w:rFonts w:ascii="Gautami" w:hAnsi="Gautami" w:cs="Gautami"/>
        </w:rPr>
        <w:t>Middle</w:t>
      </w:r>
      <w:proofErr w:type="gramEnd"/>
      <w:r>
        <w:rPr>
          <w:rFonts w:ascii="Gautami" w:hAnsi="Gautami" w:cs="Gautami"/>
        </w:rPr>
        <w:t xml:space="preserve"> Ages.</w:t>
      </w:r>
      <w:r>
        <w:rPr>
          <w:rStyle w:val="FootnoteReference"/>
          <w:rFonts w:ascii="Gautami" w:hAnsi="Gautami" w:cs="Gautami"/>
        </w:rPr>
        <w:footnoteReference w:id="1"/>
      </w:r>
      <w:r>
        <w:rPr>
          <w:rFonts w:ascii="Gautami" w:hAnsi="Gautami" w:cs="Gautami"/>
        </w:rPr>
        <w:t xml:space="preserve"> Another, unidentified bishop saint is also depicted, yet he must have been significant to be depicted alongside such popular medieval saints. Considering that the glass was installed during the fourteenth-century, it could be pertinent to suggest that the glass was installed during the height of the cults of these saints, St Hugh in particular. Indeed, the Golden Legend, written at the same time as the glass would have been installed, refers to St Hugh as being “so well beloved”.</w:t>
      </w:r>
      <w:r>
        <w:rPr>
          <w:rStyle w:val="FootnoteReference"/>
          <w:rFonts w:ascii="Gautami" w:hAnsi="Gautami" w:cs="Gautami"/>
        </w:rPr>
        <w:footnoteReference w:id="2"/>
      </w:r>
      <w:r>
        <w:rPr>
          <w:rFonts w:ascii="Gautami" w:hAnsi="Gautami" w:cs="Gautami"/>
        </w:rPr>
        <w:t xml:space="preserve"> As such, it is clear that the stained glass would have been used during special devotional services to the saints.</w:t>
      </w:r>
    </w:p>
    <w:p w:rsidR="006765DB" w:rsidRPr="00B63703" w:rsidRDefault="006765DB" w:rsidP="00F00F77">
      <w:pPr>
        <w:spacing w:line="360" w:lineRule="auto"/>
        <w:rPr>
          <w:rFonts w:ascii="Gautami" w:hAnsi="Gautami" w:cs="Gautami"/>
        </w:rPr>
      </w:pPr>
      <w:r>
        <w:rPr>
          <w:rFonts w:ascii="Gautami" w:hAnsi="Gautami" w:cs="Gautami"/>
        </w:rPr>
        <w:tab/>
        <w:t>Despite the fragmentation, one</w:t>
      </w:r>
      <w:r w:rsidRPr="00B63703">
        <w:rPr>
          <w:rFonts w:ascii="Gautami" w:hAnsi="Gautami" w:cs="Gautami"/>
        </w:rPr>
        <w:t xml:space="preserve"> can identify </w:t>
      </w:r>
      <w:r>
        <w:rPr>
          <w:rFonts w:ascii="Gautami" w:hAnsi="Gautami" w:cs="Gautami"/>
        </w:rPr>
        <w:t>St Hugh</w:t>
      </w:r>
      <w:r w:rsidRPr="00B63703">
        <w:rPr>
          <w:rFonts w:ascii="Gautami" w:hAnsi="Gautami" w:cs="Gautami"/>
        </w:rPr>
        <w:t xml:space="preserve"> </w:t>
      </w:r>
      <w:r>
        <w:rPr>
          <w:rFonts w:ascii="Gautami" w:hAnsi="Gautami" w:cs="Gautami"/>
        </w:rPr>
        <w:t>by</w:t>
      </w:r>
      <w:r w:rsidRPr="00B63703">
        <w:rPr>
          <w:rFonts w:ascii="Gautami" w:hAnsi="Gautami" w:cs="Gautami"/>
        </w:rPr>
        <w:t xml:space="preserve"> the barely-visible ‘Hugo’ at the</w:t>
      </w:r>
      <w:r>
        <w:rPr>
          <w:rFonts w:ascii="Gautami" w:hAnsi="Gautami" w:cs="Gautami"/>
        </w:rPr>
        <w:t xml:space="preserve"> foot of the panel, as well as </w:t>
      </w:r>
      <w:r w:rsidRPr="00B63703">
        <w:rPr>
          <w:rFonts w:ascii="Gautami" w:hAnsi="Gautami" w:cs="Gautami"/>
        </w:rPr>
        <w:t xml:space="preserve">his attributes of a white swan, </w:t>
      </w:r>
      <w:r>
        <w:rPr>
          <w:rFonts w:ascii="Gautami" w:hAnsi="Gautami" w:cs="Gautami"/>
        </w:rPr>
        <w:t xml:space="preserve">his bishop’s attire </w:t>
      </w:r>
      <w:r w:rsidRPr="00B63703">
        <w:rPr>
          <w:rFonts w:ascii="Gautami" w:hAnsi="Gautami" w:cs="Gautami"/>
        </w:rPr>
        <w:t xml:space="preserve">and </w:t>
      </w:r>
      <w:r>
        <w:rPr>
          <w:rFonts w:ascii="Gautami" w:hAnsi="Gautami" w:cs="Gautami"/>
        </w:rPr>
        <w:t xml:space="preserve">his </w:t>
      </w:r>
      <w:proofErr w:type="spellStart"/>
      <w:r w:rsidRPr="00B63703">
        <w:rPr>
          <w:rFonts w:ascii="Gautami" w:hAnsi="Gautami" w:cs="Gautami"/>
        </w:rPr>
        <w:t>croizer</w:t>
      </w:r>
      <w:proofErr w:type="spellEnd"/>
      <w:r w:rsidRPr="00B63703">
        <w:rPr>
          <w:rFonts w:ascii="Gautami" w:hAnsi="Gautami" w:cs="Gautami"/>
        </w:rPr>
        <w:t>.</w:t>
      </w:r>
      <w:r>
        <w:rPr>
          <w:rFonts w:ascii="Gautami" w:hAnsi="Gautami" w:cs="Gautami"/>
        </w:rPr>
        <w:t xml:space="preserve"> Above the head of St Hugh</w:t>
      </w:r>
      <w:r w:rsidRPr="00B63703">
        <w:rPr>
          <w:rFonts w:ascii="Gautami" w:hAnsi="Gautami" w:cs="Gautami"/>
        </w:rPr>
        <w:t xml:space="preserve"> is also a halo, symbolising his religious significance as a Catholic saint. St Hugh’s swan, his common attri</w:t>
      </w:r>
      <w:r>
        <w:rPr>
          <w:rFonts w:ascii="Gautami" w:hAnsi="Gautami" w:cs="Gautami"/>
        </w:rPr>
        <w:t>bute, is a reference to the legend</w:t>
      </w:r>
      <w:r w:rsidRPr="00B63703">
        <w:rPr>
          <w:rFonts w:ascii="Gautami" w:hAnsi="Gautami" w:cs="Gautami"/>
        </w:rPr>
        <w:t xml:space="preserve"> of The Swan of Stowe</w:t>
      </w:r>
      <w:r>
        <w:rPr>
          <w:rFonts w:ascii="Gautami" w:hAnsi="Gautami" w:cs="Gautami"/>
        </w:rPr>
        <w:t>, popularised</w:t>
      </w:r>
      <w:r w:rsidRPr="00B63703">
        <w:rPr>
          <w:rFonts w:ascii="Gautami" w:hAnsi="Gautami" w:cs="Gautami"/>
        </w:rPr>
        <w:t xml:space="preserve"> in the </w:t>
      </w:r>
      <w:r>
        <w:rPr>
          <w:rFonts w:ascii="Gautami" w:hAnsi="Gautami" w:cs="Gautami"/>
          <w:i/>
        </w:rPr>
        <w:t>Magna vita Sancti</w:t>
      </w:r>
      <w:r w:rsidRPr="00B63703">
        <w:rPr>
          <w:rFonts w:ascii="Gautami" w:hAnsi="Gautami" w:cs="Gautami"/>
          <w:i/>
        </w:rPr>
        <w:t xml:space="preserve"> </w:t>
      </w:r>
      <w:proofErr w:type="spellStart"/>
      <w:r w:rsidRPr="00B63703">
        <w:rPr>
          <w:rFonts w:ascii="Gautami" w:hAnsi="Gautami" w:cs="Gautami"/>
          <w:i/>
        </w:rPr>
        <w:t>Hugonis</w:t>
      </w:r>
      <w:proofErr w:type="spellEnd"/>
      <w:r w:rsidRPr="00B63703">
        <w:rPr>
          <w:rFonts w:ascii="Gautami" w:hAnsi="Gautami" w:cs="Gautami"/>
          <w:i/>
        </w:rPr>
        <w:t xml:space="preserve"> </w:t>
      </w:r>
      <w:r>
        <w:rPr>
          <w:rFonts w:ascii="Gautami" w:hAnsi="Gautami" w:cs="Gautami"/>
        </w:rPr>
        <w:t xml:space="preserve">by Adam of </w:t>
      </w:r>
      <w:proofErr w:type="spellStart"/>
      <w:r>
        <w:rPr>
          <w:rFonts w:ascii="Gautami" w:hAnsi="Gautami" w:cs="Gautami"/>
        </w:rPr>
        <w:t>Eynsham</w:t>
      </w:r>
      <w:proofErr w:type="spellEnd"/>
      <w:r>
        <w:rPr>
          <w:rFonts w:ascii="Gautami" w:hAnsi="Gautami" w:cs="Gautami"/>
        </w:rPr>
        <w:t xml:space="preserve">, </w:t>
      </w:r>
      <w:r w:rsidRPr="00B63703">
        <w:rPr>
          <w:rFonts w:ascii="Gautami" w:hAnsi="Gautami" w:cs="Gautami"/>
        </w:rPr>
        <w:t>Hugh’s official hagiographer. A similar stained-glass depiction of St Hugh exists at the c</w:t>
      </w:r>
      <w:r>
        <w:rPr>
          <w:rFonts w:ascii="Gautami" w:hAnsi="Gautami" w:cs="Gautami"/>
        </w:rPr>
        <w:t xml:space="preserve">hurch of St </w:t>
      </w:r>
      <w:proofErr w:type="spellStart"/>
      <w:r>
        <w:rPr>
          <w:rFonts w:ascii="Gautami" w:hAnsi="Gautami" w:cs="Gautami"/>
        </w:rPr>
        <w:t>Cawrdaf</w:t>
      </w:r>
      <w:proofErr w:type="spellEnd"/>
      <w:r>
        <w:rPr>
          <w:rFonts w:ascii="Gautami" w:hAnsi="Gautami" w:cs="Gautami"/>
        </w:rPr>
        <w:t xml:space="preserve">, </w:t>
      </w:r>
      <w:proofErr w:type="spellStart"/>
      <w:proofErr w:type="gramStart"/>
      <w:r>
        <w:rPr>
          <w:rFonts w:ascii="Gautami" w:hAnsi="Gautami" w:cs="Gautami"/>
        </w:rPr>
        <w:t>Llangoed</w:t>
      </w:r>
      <w:proofErr w:type="spellEnd"/>
      <w:r>
        <w:rPr>
          <w:rFonts w:ascii="Gautami" w:hAnsi="Gautami" w:cs="Gautami"/>
        </w:rPr>
        <w:t>,</w:t>
      </w:r>
      <w:proofErr w:type="gramEnd"/>
      <w:r>
        <w:rPr>
          <w:rFonts w:ascii="Gautami" w:hAnsi="Gautami" w:cs="Gautami"/>
        </w:rPr>
        <w:t xml:space="preserve"> however he</w:t>
      </w:r>
      <w:r w:rsidRPr="00B63703">
        <w:rPr>
          <w:rFonts w:ascii="Gautami" w:hAnsi="Gautami" w:cs="Gautami"/>
        </w:rPr>
        <w:t xml:space="preserve"> is </w:t>
      </w:r>
      <w:r>
        <w:rPr>
          <w:rFonts w:ascii="Gautami" w:hAnsi="Gautami" w:cs="Gautami"/>
        </w:rPr>
        <w:t xml:space="preserve">depicted holding a </w:t>
      </w:r>
      <w:r w:rsidRPr="00B63703">
        <w:rPr>
          <w:rFonts w:ascii="Gautami" w:hAnsi="Gautami" w:cs="Gautami"/>
        </w:rPr>
        <w:t xml:space="preserve">miniature </w:t>
      </w:r>
      <w:r>
        <w:rPr>
          <w:rFonts w:ascii="Gautami" w:hAnsi="Gautami" w:cs="Gautami"/>
        </w:rPr>
        <w:t xml:space="preserve">effigy </w:t>
      </w:r>
      <w:r w:rsidRPr="00B63703">
        <w:rPr>
          <w:rFonts w:ascii="Gautami" w:hAnsi="Gautami" w:cs="Gautami"/>
        </w:rPr>
        <w:t>Lincoln Cathedral in his hand</w:t>
      </w:r>
      <w:r>
        <w:rPr>
          <w:rFonts w:ascii="Gautami" w:hAnsi="Gautami" w:cs="Gautami"/>
        </w:rPr>
        <w:t xml:space="preserve"> [Figure 4]</w:t>
      </w:r>
      <w:r w:rsidRPr="00B63703">
        <w:rPr>
          <w:rFonts w:ascii="Gautami" w:hAnsi="Gautami" w:cs="Gautami"/>
        </w:rPr>
        <w:t>.</w:t>
      </w:r>
      <w:r>
        <w:rPr>
          <w:rFonts w:ascii="Gautami" w:hAnsi="Gautami" w:cs="Gautami"/>
        </w:rPr>
        <w:t xml:space="preserve"> As such, one can see that although St Hugh’s attributes often remained the same in visual representations, occasionally other attributes would be used to make St Hugh identifiable to his cult of worshippers.</w:t>
      </w:r>
      <w:r w:rsidRPr="00B63703">
        <w:rPr>
          <w:rFonts w:ascii="Gautami" w:hAnsi="Gautami" w:cs="Gautami"/>
        </w:rPr>
        <w:t xml:space="preserve"> </w:t>
      </w:r>
    </w:p>
    <w:p w:rsidR="006765DB" w:rsidRDefault="006765DB" w:rsidP="00F00F77">
      <w:pPr>
        <w:spacing w:line="360" w:lineRule="auto"/>
        <w:rPr>
          <w:rFonts w:ascii="Gautami" w:hAnsi="Gautami" w:cs="Gautami"/>
        </w:rPr>
      </w:pPr>
      <w:r>
        <w:rPr>
          <w:rFonts w:ascii="Gautami" w:hAnsi="Gautami" w:cs="Gautami"/>
        </w:rPr>
        <w:lastRenderedPageBreak/>
        <w:tab/>
        <w:t>We</w:t>
      </w:r>
      <w:r w:rsidRPr="00B63703">
        <w:rPr>
          <w:rFonts w:ascii="Gautami" w:hAnsi="Gautami" w:cs="Gautami"/>
        </w:rPr>
        <w:t xml:space="preserve"> must </w:t>
      </w:r>
      <w:r>
        <w:rPr>
          <w:rFonts w:ascii="Gautami" w:hAnsi="Gautami" w:cs="Gautami"/>
        </w:rPr>
        <w:t>consider that the window was placed in the eastern-most part of the church, and presumably one of the most-viewed.</w:t>
      </w:r>
      <w:r>
        <w:rPr>
          <w:rStyle w:val="FootnoteReference"/>
          <w:rFonts w:ascii="Gautami" w:hAnsi="Gautami" w:cs="Gautami"/>
        </w:rPr>
        <w:footnoteReference w:id="3"/>
      </w:r>
      <w:r w:rsidRPr="00B63703">
        <w:rPr>
          <w:rFonts w:ascii="Gautami" w:hAnsi="Gautami" w:cs="Gautami"/>
        </w:rPr>
        <w:t xml:space="preserve"> </w:t>
      </w:r>
      <w:r>
        <w:rPr>
          <w:rFonts w:ascii="Gautami" w:hAnsi="Gautami" w:cs="Gautami"/>
        </w:rPr>
        <w:t>Additionally, the height of which the glass was set could suggest that it was intended to be highly visible within the church, and as a focal point for special devotion. Additionally, the stained glass would have been used by the congregation for collective devotion, arguably one of the most important aspects in the development of the cult of St Hugh.</w:t>
      </w:r>
    </w:p>
    <w:p w:rsidR="006765DB" w:rsidRDefault="006765DB" w:rsidP="00F00F77">
      <w:pPr>
        <w:spacing w:line="360" w:lineRule="auto"/>
        <w:rPr>
          <w:rFonts w:ascii="Gautami" w:hAnsi="Gautami" w:cs="Gautami"/>
        </w:rPr>
      </w:pPr>
      <w:r>
        <w:rPr>
          <w:rFonts w:ascii="Gautami" w:hAnsi="Gautami" w:cs="Gautami"/>
        </w:rPr>
        <w:tab/>
        <w:t>A number of parallels exist between the stained glass depictions of St Hugh, and the altarpiece at Saint-</w:t>
      </w:r>
      <w:proofErr w:type="spellStart"/>
      <w:r>
        <w:rPr>
          <w:rFonts w:ascii="Gautami" w:hAnsi="Gautami" w:cs="Gautami"/>
        </w:rPr>
        <w:t>Honoré</w:t>
      </w:r>
      <w:proofErr w:type="spellEnd"/>
      <w:r>
        <w:rPr>
          <w:rFonts w:ascii="Gautami" w:hAnsi="Gautami" w:cs="Gautami"/>
        </w:rPr>
        <w:t>, which I will now discuss.</w:t>
      </w:r>
      <w:r w:rsidRPr="00B63703">
        <w:rPr>
          <w:rFonts w:ascii="Gautami" w:hAnsi="Gautami" w:cs="Gautami"/>
        </w:rPr>
        <w:t xml:space="preserve"> </w:t>
      </w:r>
      <w:r>
        <w:rPr>
          <w:rFonts w:ascii="Gautami" w:hAnsi="Gautami" w:cs="Gautami"/>
        </w:rPr>
        <w:t>Firstly</w:t>
      </w:r>
      <w:r w:rsidRPr="00B63703">
        <w:rPr>
          <w:rFonts w:ascii="Gautami" w:hAnsi="Gautami" w:cs="Gautami"/>
        </w:rPr>
        <w:t>,</w:t>
      </w:r>
      <w:r>
        <w:rPr>
          <w:rFonts w:ascii="Gautami" w:hAnsi="Gautami" w:cs="Gautami"/>
        </w:rPr>
        <w:t xml:space="preserve"> it is of importance that the St Hugh altarpiece was part of a collection of gilded carvings set into niches that depicted other important medieval saints, including St Catherine and St Luke.</w:t>
      </w:r>
      <w:r>
        <w:rPr>
          <w:rStyle w:val="FootnoteReference"/>
          <w:rFonts w:ascii="Gautami" w:hAnsi="Gautami" w:cs="Gautami"/>
        </w:rPr>
        <w:footnoteReference w:id="4"/>
      </w:r>
      <w:r>
        <w:rPr>
          <w:rFonts w:ascii="Gautami" w:hAnsi="Gautami" w:cs="Gautami"/>
        </w:rPr>
        <w:t xml:space="preserve"> When opened, the carvings revealed a central shrine dedicated to Christ’s Passion and Resurrection.</w:t>
      </w:r>
      <w:r>
        <w:rPr>
          <w:rStyle w:val="FootnoteReference"/>
          <w:rFonts w:ascii="Gautami" w:hAnsi="Gautami" w:cs="Gautami"/>
        </w:rPr>
        <w:footnoteReference w:id="5"/>
      </w:r>
      <w:r>
        <w:rPr>
          <w:rFonts w:ascii="Gautami" w:hAnsi="Gautami" w:cs="Gautami"/>
        </w:rPr>
        <w:t xml:space="preserve"> As such, St Hugh’s altarpiece would have been one of the focal points of the church, provoking special devotion from the audience. Material sources were therefore great mediums in which could be appreciated by every echelon of society, including the less-learned. Indeed material objects would have “lent themselves to elaborate narratives” without the use of text, therefore being appreciated by a wide audience.</w:t>
      </w:r>
      <w:r>
        <w:rPr>
          <w:rStyle w:val="FootnoteReference"/>
          <w:rFonts w:ascii="Gautami" w:hAnsi="Gautami" w:cs="Gautami"/>
        </w:rPr>
        <w:footnoteReference w:id="6"/>
      </w:r>
      <w:r>
        <w:rPr>
          <w:rFonts w:ascii="Gautami" w:hAnsi="Gautami" w:cs="Gautami"/>
        </w:rPr>
        <w:t xml:space="preserve"> </w:t>
      </w:r>
    </w:p>
    <w:p w:rsidR="006765DB" w:rsidRDefault="006765DB" w:rsidP="00F00F77">
      <w:pPr>
        <w:spacing w:line="360" w:lineRule="auto"/>
        <w:rPr>
          <w:rFonts w:ascii="Gautami" w:hAnsi="Gautami" w:cs="Gautami"/>
        </w:rPr>
      </w:pPr>
      <w:r>
        <w:rPr>
          <w:rFonts w:ascii="Gautami" w:hAnsi="Gautami" w:cs="Gautami"/>
        </w:rPr>
        <w:tab/>
        <w:t>Secondly,</w:t>
      </w:r>
      <w:r w:rsidRPr="00B63703">
        <w:rPr>
          <w:rFonts w:ascii="Gautami" w:hAnsi="Gautami" w:cs="Gautami"/>
        </w:rPr>
        <w:t xml:space="preserve"> </w:t>
      </w:r>
      <w:r>
        <w:rPr>
          <w:rFonts w:ascii="Gautami" w:hAnsi="Gautami" w:cs="Gautami"/>
        </w:rPr>
        <w:t xml:space="preserve">the altarpiece depicts St Hugh with his usual attributes, including the Swan of Stowe (of which is seemingly making eye-contact with the saint, perhaps in a reference to their relationship and Hugh’s love of animals), as well as Hugh’s bishop’s attire. Additionally, the halo surrounding St Hugh’s head references his saintliness, and is found in every other material depiction of Hugh. However, the altarpiece also includes imagery not found in the stained glass depictions, but nonetheless important to the cult of St Hugh. Firstly, the architectural niches at the top of the altarpiece could possibly be in reference to Lincoln Cathedral, which Hugh had rebuilt in 1185 after it had been destroyed by an earthquake. Indeed, what seems to be a miniature effigy of Lincoln Cathedral can found upon Hugh’s crozier, another reference to his </w:t>
      </w:r>
      <w:proofErr w:type="gramStart"/>
      <w:r>
        <w:rPr>
          <w:rFonts w:ascii="Gautami" w:hAnsi="Gautami" w:cs="Gautami"/>
        </w:rPr>
        <w:t>legacy.</w:t>
      </w:r>
      <w:proofErr w:type="gramEnd"/>
      <w:r>
        <w:rPr>
          <w:rFonts w:ascii="Gautami" w:hAnsi="Gautami" w:cs="Gautami"/>
        </w:rPr>
        <w:t xml:space="preserve">  </w:t>
      </w:r>
    </w:p>
    <w:p w:rsidR="006765DB" w:rsidRPr="002F63BA" w:rsidRDefault="006765DB" w:rsidP="00F00F77">
      <w:pPr>
        <w:spacing w:line="360" w:lineRule="auto"/>
        <w:rPr>
          <w:rFonts w:ascii="Gautami" w:hAnsi="Gautami" w:cs="Gautami"/>
        </w:rPr>
      </w:pPr>
      <w:r>
        <w:rPr>
          <w:rFonts w:ascii="Gautami" w:hAnsi="Gautami" w:cs="Gautami"/>
        </w:rPr>
        <w:tab/>
        <w:t>St Hugh is also depicted holding a chalice, in which contains</w:t>
      </w:r>
      <w:r w:rsidRPr="00B63703">
        <w:rPr>
          <w:rFonts w:ascii="Gautami" w:hAnsi="Gautami" w:cs="Gautami"/>
        </w:rPr>
        <w:t xml:space="preserve"> the tiny body of a child</w:t>
      </w:r>
      <w:r>
        <w:rPr>
          <w:rFonts w:ascii="Gautami" w:hAnsi="Gautami" w:cs="Gautami"/>
        </w:rPr>
        <w:t xml:space="preserve">, presumably in reference to Hugh’s patronage of sick children. However, one could argue that this is a metaphor of Hugh as a fatherly figure, of which he was considered in numerous hagiographical accounts. Additionally, the body may represent the oppressed, particularly </w:t>
      </w:r>
      <w:r>
        <w:rPr>
          <w:rFonts w:ascii="Gautami" w:hAnsi="Gautami" w:cs="Gautami"/>
        </w:rPr>
        <w:lastRenderedPageBreak/>
        <w:t>the Jews, who St Hugh protected during periods of prosecution during the reigns of Richard I and King John.</w:t>
      </w:r>
      <w:r>
        <w:rPr>
          <w:rStyle w:val="FootnoteReference"/>
          <w:rFonts w:ascii="Gautami" w:hAnsi="Gautami" w:cs="Gautami"/>
        </w:rPr>
        <w:footnoteReference w:id="7"/>
      </w:r>
      <w:r>
        <w:rPr>
          <w:rFonts w:ascii="Gautami" w:hAnsi="Gautami" w:cs="Gautami"/>
        </w:rPr>
        <w:t xml:space="preserve">  </w:t>
      </w:r>
    </w:p>
    <w:p w:rsidR="006765DB" w:rsidRDefault="006765DB" w:rsidP="00F00F77">
      <w:pPr>
        <w:spacing w:line="360" w:lineRule="auto"/>
        <w:rPr>
          <w:rFonts w:ascii="Gautami" w:hAnsi="Gautami" w:cs="Gautami"/>
        </w:rPr>
      </w:pPr>
      <w:r>
        <w:rPr>
          <w:rFonts w:ascii="Gautami" w:hAnsi="Gautami" w:cs="Gautami"/>
          <w:b/>
        </w:rPr>
        <w:tab/>
      </w:r>
      <w:r>
        <w:rPr>
          <w:rFonts w:ascii="Gautami" w:hAnsi="Gautami" w:cs="Gautami"/>
        </w:rPr>
        <w:t xml:space="preserve">To conclude, these material sources are valuable in understanding the cult of St Hugh. Firstly, </w:t>
      </w:r>
      <w:r w:rsidRPr="0099200D">
        <w:rPr>
          <w:rFonts w:ascii="Gautami" w:hAnsi="Gautami" w:cs="Gautami"/>
        </w:rPr>
        <w:t>Hugh’s image alwa</w:t>
      </w:r>
      <w:r>
        <w:rPr>
          <w:rFonts w:ascii="Gautami" w:hAnsi="Gautami" w:cs="Gautami"/>
        </w:rPr>
        <w:t xml:space="preserve">ys stays the same – he is always depicted with his usual attributes of the Swan of Stowe, and occasionally with additional attributes such as effigies of </w:t>
      </w:r>
      <w:r w:rsidRPr="0099200D">
        <w:rPr>
          <w:rFonts w:ascii="Gautami" w:hAnsi="Gautami" w:cs="Gautami"/>
        </w:rPr>
        <w:t xml:space="preserve">Lincoln Cathedral </w:t>
      </w:r>
      <w:r>
        <w:rPr>
          <w:rFonts w:ascii="Gautami" w:hAnsi="Gautami" w:cs="Gautami"/>
        </w:rPr>
        <w:t xml:space="preserve">or references to the oppressed and the sick. One interesting </w:t>
      </w:r>
      <w:proofErr w:type="gramStart"/>
      <w:r>
        <w:rPr>
          <w:rFonts w:ascii="Gautami" w:hAnsi="Gautami" w:cs="Gautami"/>
        </w:rPr>
        <w:t>note</w:t>
      </w:r>
      <w:proofErr w:type="gramEnd"/>
      <w:r>
        <w:rPr>
          <w:rFonts w:ascii="Gautami" w:hAnsi="Gautami" w:cs="Gautami"/>
        </w:rPr>
        <w:t xml:space="preserve"> however, is that St </w:t>
      </w:r>
      <w:r w:rsidRPr="00B63703">
        <w:rPr>
          <w:rFonts w:ascii="Gautami" w:hAnsi="Gautami" w:cs="Gautami"/>
        </w:rPr>
        <w:t xml:space="preserve">Hugh is never usually depicted by himself. </w:t>
      </w:r>
      <w:r>
        <w:rPr>
          <w:rFonts w:ascii="Gautami" w:hAnsi="Gautami" w:cs="Gautami"/>
        </w:rPr>
        <w:t>Every material source examined in this study</w:t>
      </w:r>
      <w:r w:rsidRPr="00B63703">
        <w:rPr>
          <w:rFonts w:ascii="Gautami" w:hAnsi="Gautami" w:cs="Gautami"/>
        </w:rPr>
        <w:t xml:space="preserve"> </w:t>
      </w:r>
      <w:r>
        <w:rPr>
          <w:rFonts w:ascii="Gautami" w:hAnsi="Gautami" w:cs="Gautami"/>
        </w:rPr>
        <w:t>comes</w:t>
      </w:r>
      <w:r w:rsidRPr="00B63703">
        <w:rPr>
          <w:rFonts w:ascii="Gautami" w:hAnsi="Gautami" w:cs="Gautami"/>
        </w:rPr>
        <w:t xml:space="preserve"> from wider depictions of the cults of saints</w:t>
      </w:r>
      <w:r>
        <w:rPr>
          <w:rFonts w:ascii="Gautami" w:hAnsi="Gautami" w:cs="Gautami"/>
        </w:rPr>
        <w:t xml:space="preserve"> (for example, the stained glass is a collection of bishop saints, whilst the altarpiece also features important medieval saints such as St Luke). It is of interest to note that the 1907 stained glass of St Hugh [Figure 4] existed alongside depictions of St Catherine and St Luke, similarly to the altarpiece mentioned earlier, presumably due to their similar patronages relating to health and healing. </w:t>
      </w:r>
      <w:r w:rsidRPr="00A525A3">
        <w:rPr>
          <w:rFonts w:ascii="Gautami" w:hAnsi="Gautami" w:cs="Gautami"/>
        </w:rPr>
        <w:t xml:space="preserve">Whilst being depicted alongside other bishop saints </w:t>
      </w:r>
      <w:r>
        <w:rPr>
          <w:rFonts w:ascii="Gautami" w:hAnsi="Gautami" w:cs="Gautami"/>
        </w:rPr>
        <w:t xml:space="preserve">meant that </w:t>
      </w:r>
      <w:r w:rsidRPr="00A525A3">
        <w:rPr>
          <w:rFonts w:ascii="Gautami" w:hAnsi="Gautami" w:cs="Gautami"/>
        </w:rPr>
        <w:t xml:space="preserve">St Hugh </w:t>
      </w:r>
      <w:r>
        <w:rPr>
          <w:rFonts w:ascii="Gautami" w:hAnsi="Gautami" w:cs="Gautami"/>
        </w:rPr>
        <w:t xml:space="preserve">was linked </w:t>
      </w:r>
      <w:r w:rsidRPr="00A525A3">
        <w:rPr>
          <w:rFonts w:ascii="Gautami" w:hAnsi="Gautami" w:cs="Gautami"/>
        </w:rPr>
        <w:t>with other saints from similar backgrounds, on the other hand, being depicted in a group rather than individually</w:t>
      </w:r>
      <w:r>
        <w:rPr>
          <w:rFonts w:ascii="Gautami" w:hAnsi="Gautami" w:cs="Gautami"/>
        </w:rPr>
        <w:t>, arguably downplays St</w:t>
      </w:r>
      <w:r w:rsidRPr="00A525A3">
        <w:rPr>
          <w:rFonts w:ascii="Gautami" w:hAnsi="Gautami" w:cs="Gautami"/>
        </w:rPr>
        <w:t xml:space="preserve"> Hugh’s status, and particularly makes it difficult to diffe</w:t>
      </w:r>
      <w:r>
        <w:rPr>
          <w:rFonts w:ascii="Gautami" w:hAnsi="Gautami" w:cs="Gautami"/>
        </w:rPr>
        <w:t>rentiate between bishop saints (particularly i</w:t>
      </w:r>
      <w:r w:rsidRPr="00A525A3">
        <w:rPr>
          <w:rFonts w:ascii="Gautami" w:hAnsi="Gautami" w:cs="Gautami"/>
        </w:rPr>
        <w:t>f one was unfamiliar with their specific attributes</w:t>
      </w:r>
      <w:r>
        <w:rPr>
          <w:rFonts w:ascii="Gautami" w:hAnsi="Gautami" w:cs="Gautami"/>
        </w:rPr>
        <w:t>)</w:t>
      </w:r>
      <w:r w:rsidRPr="00A525A3">
        <w:rPr>
          <w:rFonts w:ascii="Gautami" w:hAnsi="Gautami" w:cs="Gautami"/>
        </w:rPr>
        <w:t>.</w:t>
      </w:r>
    </w:p>
    <w:p w:rsidR="006765DB" w:rsidRPr="00B63703" w:rsidRDefault="006765DB" w:rsidP="00F00F77">
      <w:pPr>
        <w:spacing w:line="360" w:lineRule="auto"/>
        <w:rPr>
          <w:rFonts w:ascii="Gautami" w:hAnsi="Gautami" w:cs="Gautami"/>
        </w:rPr>
      </w:pPr>
      <w:r>
        <w:rPr>
          <w:rFonts w:ascii="Gautami" w:hAnsi="Gautami" w:cs="Gautami"/>
        </w:rPr>
        <w:tab/>
        <w:t>Although the cult of St</w:t>
      </w:r>
      <w:r w:rsidRPr="00B63703">
        <w:rPr>
          <w:rFonts w:ascii="Gautami" w:hAnsi="Gautami" w:cs="Gautami"/>
        </w:rPr>
        <w:t xml:space="preserve"> Hugh was popular during the Middle Ages, the Reformation destro</w:t>
      </w:r>
      <w:r>
        <w:rPr>
          <w:rFonts w:ascii="Gautami" w:hAnsi="Gautami" w:cs="Gautami"/>
        </w:rPr>
        <w:t xml:space="preserve">yed many material sources depicting him. This point will be further discussed in this essay. </w:t>
      </w:r>
    </w:p>
    <w:p w:rsidR="006765DB" w:rsidRPr="00B63703" w:rsidRDefault="006765DB" w:rsidP="00F00F77">
      <w:pPr>
        <w:pStyle w:val="ListParagraph"/>
        <w:spacing w:line="360" w:lineRule="auto"/>
        <w:ind w:left="1080"/>
        <w:rPr>
          <w:rFonts w:ascii="Gautami" w:hAnsi="Gautami" w:cs="Gautami"/>
        </w:rPr>
      </w:pPr>
    </w:p>
    <w:p w:rsidR="006765DB" w:rsidRPr="00B63703" w:rsidRDefault="006765DB" w:rsidP="00F00F77">
      <w:pPr>
        <w:spacing w:line="360" w:lineRule="auto"/>
        <w:rPr>
          <w:rFonts w:ascii="Gautami" w:hAnsi="Gautami" w:cs="Gautami"/>
        </w:rPr>
      </w:pPr>
    </w:p>
    <w:p w:rsidR="00154220" w:rsidRPr="006765DB" w:rsidRDefault="00154220" w:rsidP="00F00F77">
      <w:pPr>
        <w:spacing w:line="360" w:lineRule="auto"/>
        <w:rPr>
          <w:rFonts w:ascii="Gautami" w:hAnsi="Gautami" w:cs="Gautami"/>
        </w:rPr>
      </w:pPr>
    </w:p>
    <w:p w:rsidR="00154220" w:rsidRPr="006765DB" w:rsidRDefault="00154220" w:rsidP="00F00F77">
      <w:pPr>
        <w:spacing w:line="360" w:lineRule="auto"/>
        <w:rPr>
          <w:rFonts w:ascii="Gautami" w:hAnsi="Gautami" w:cs="Gautami"/>
        </w:rPr>
      </w:pPr>
    </w:p>
    <w:p w:rsidR="00154220" w:rsidRPr="006765DB" w:rsidRDefault="00154220" w:rsidP="00F00F77">
      <w:pPr>
        <w:spacing w:line="360" w:lineRule="auto"/>
        <w:rPr>
          <w:rFonts w:ascii="Gautami" w:hAnsi="Gautami" w:cs="Gautami"/>
        </w:rPr>
      </w:pPr>
    </w:p>
    <w:p w:rsidR="00154220" w:rsidRPr="006765DB" w:rsidRDefault="00154220" w:rsidP="00F00F77">
      <w:pPr>
        <w:spacing w:line="360" w:lineRule="auto"/>
        <w:rPr>
          <w:rFonts w:ascii="Gautami" w:hAnsi="Gautami" w:cs="Gautami"/>
        </w:rPr>
      </w:pPr>
    </w:p>
    <w:p w:rsidR="00154220" w:rsidRPr="006765DB" w:rsidRDefault="00154220" w:rsidP="00F00F77">
      <w:pPr>
        <w:spacing w:line="360" w:lineRule="auto"/>
        <w:rPr>
          <w:rFonts w:ascii="Gautami" w:hAnsi="Gautami" w:cs="Gautami"/>
        </w:rPr>
      </w:pPr>
    </w:p>
    <w:p w:rsidR="00154220" w:rsidRPr="006765DB" w:rsidRDefault="00154220" w:rsidP="00F00F77">
      <w:pPr>
        <w:spacing w:line="360" w:lineRule="auto"/>
        <w:rPr>
          <w:rFonts w:ascii="Gautami" w:hAnsi="Gautami" w:cs="Gautami"/>
        </w:rPr>
      </w:pPr>
    </w:p>
    <w:p w:rsidR="00154220" w:rsidRPr="006765DB" w:rsidRDefault="00154220" w:rsidP="00F00F77">
      <w:pPr>
        <w:spacing w:line="360" w:lineRule="auto"/>
        <w:rPr>
          <w:rFonts w:ascii="Gautami" w:hAnsi="Gautami" w:cs="Gautami"/>
        </w:rPr>
      </w:pPr>
    </w:p>
    <w:p w:rsidR="00804082" w:rsidRDefault="00804082" w:rsidP="00F00F77">
      <w:pPr>
        <w:spacing w:line="360" w:lineRule="auto"/>
        <w:rPr>
          <w:rFonts w:ascii="Gautami" w:hAnsi="Gautami" w:cs="Gautami"/>
          <w:b/>
          <w:i/>
          <w:u w:val="single"/>
        </w:rPr>
      </w:pPr>
    </w:p>
    <w:p w:rsidR="00D020AE" w:rsidRDefault="00D020AE" w:rsidP="00F00F77">
      <w:pPr>
        <w:spacing w:line="360" w:lineRule="auto"/>
        <w:rPr>
          <w:rFonts w:ascii="Gautami" w:hAnsi="Gautami" w:cs="Gautami"/>
          <w:b/>
          <w:i/>
          <w:u w:val="single"/>
        </w:rPr>
      </w:pPr>
      <w:r>
        <w:rPr>
          <w:rFonts w:ascii="Gautami" w:hAnsi="Gautami" w:cs="Gautami"/>
          <w:b/>
          <w:i/>
          <w:u w:val="single"/>
        </w:rPr>
        <w:t xml:space="preserve">Section 2: Primary </w:t>
      </w:r>
      <w:proofErr w:type="gramStart"/>
      <w:r>
        <w:rPr>
          <w:rFonts w:ascii="Gautami" w:hAnsi="Gautami" w:cs="Gautami"/>
          <w:b/>
          <w:i/>
          <w:u w:val="single"/>
        </w:rPr>
        <w:t>Textual  Sources</w:t>
      </w:r>
      <w:proofErr w:type="gramEnd"/>
    </w:p>
    <w:p w:rsidR="00D020AE" w:rsidRDefault="00D020AE" w:rsidP="00F00F77">
      <w:pPr>
        <w:spacing w:line="360" w:lineRule="auto"/>
        <w:rPr>
          <w:rFonts w:ascii="Gautami" w:hAnsi="Gautami" w:cs="Gautami"/>
          <w:b/>
          <w:i/>
          <w:u w:val="single"/>
        </w:rPr>
      </w:pPr>
    </w:p>
    <w:p w:rsidR="00D020AE" w:rsidRPr="0037073E" w:rsidRDefault="00D020AE" w:rsidP="00F00F77">
      <w:pPr>
        <w:spacing w:line="360" w:lineRule="auto"/>
        <w:rPr>
          <w:rFonts w:ascii="Gautami" w:hAnsi="Gautami" w:cs="Gautami"/>
        </w:rPr>
      </w:pPr>
      <w:r w:rsidRPr="007B6D74">
        <w:rPr>
          <w:rFonts w:ascii="Gautami" w:hAnsi="Gautami" w:cs="Gautami"/>
        </w:rPr>
        <w:t>In this section of the portfolio, I shall examine two textual accounts of miracles performed at the intercession of St Hugh. I shall be</w:t>
      </w:r>
      <w:r>
        <w:rPr>
          <w:rFonts w:ascii="Gautami" w:hAnsi="Gautami" w:cs="Gautami"/>
        </w:rPr>
        <w:t>gin by providing a commentary on</w:t>
      </w:r>
      <w:r w:rsidRPr="007B6D74">
        <w:rPr>
          <w:rFonts w:ascii="Gautami" w:hAnsi="Gautami" w:cs="Gautami"/>
        </w:rPr>
        <w:t xml:space="preserve"> Roger of Wendover’s </w:t>
      </w:r>
      <w:r w:rsidRPr="007B6D74">
        <w:rPr>
          <w:rFonts w:ascii="Gautami" w:hAnsi="Gautami" w:cs="Gautami"/>
          <w:i/>
        </w:rPr>
        <w:t xml:space="preserve">Flores </w:t>
      </w:r>
      <w:proofErr w:type="spellStart"/>
      <w:r w:rsidRPr="007B6D74">
        <w:rPr>
          <w:rFonts w:ascii="Gautami" w:hAnsi="Gautami" w:cs="Gautami"/>
          <w:i/>
        </w:rPr>
        <w:t>Historiorum</w:t>
      </w:r>
      <w:proofErr w:type="spellEnd"/>
      <w:r w:rsidRPr="007B6D74">
        <w:rPr>
          <w:rFonts w:ascii="Gautami" w:hAnsi="Gautami" w:cs="Gautami"/>
        </w:rPr>
        <w:t>, which chronicled the history of England from the rule of the Saxons, to 1235.</w:t>
      </w:r>
      <w:r>
        <w:rPr>
          <w:rStyle w:val="FootnoteReference"/>
          <w:rFonts w:ascii="Gautami" w:hAnsi="Gautami" w:cs="Gautami"/>
        </w:rPr>
        <w:footnoteReference w:id="8"/>
      </w:r>
      <w:r w:rsidRPr="007B6D74">
        <w:rPr>
          <w:rFonts w:ascii="Gautami" w:hAnsi="Gautami" w:cs="Gautami"/>
        </w:rPr>
        <w:t xml:space="preserve"> I</w:t>
      </w:r>
      <w:r>
        <w:rPr>
          <w:rFonts w:ascii="Gautami" w:hAnsi="Gautami" w:cs="Gautami"/>
        </w:rPr>
        <w:t>n particular, I</w:t>
      </w:r>
      <w:r w:rsidRPr="007B6D74">
        <w:rPr>
          <w:rFonts w:ascii="Gautami" w:hAnsi="Gautami" w:cs="Gautami"/>
        </w:rPr>
        <w:t xml:space="preserve"> shall closely examine the extract, “</w:t>
      </w:r>
      <w:r w:rsidRPr="007B6D74">
        <w:rPr>
          <w:rFonts w:ascii="Gautami" w:hAnsi="Gautami" w:cs="Gautami"/>
          <w:i/>
        </w:rPr>
        <w:t>how the body of St Hugh was carried to Lincoln to be buried”</w:t>
      </w:r>
      <w:r>
        <w:rPr>
          <w:rFonts w:ascii="Gautami" w:hAnsi="Gautami" w:cs="Gautami"/>
          <w:i/>
        </w:rPr>
        <w:t xml:space="preserve">. </w:t>
      </w:r>
      <w:r w:rsidRPr="007B6D74">
        <w:rPr>
          <w:rFonts w:ascii="Gautami" w:hAnsi="Gautami" w:cs="Gautami"/>
        </w:rPr>
        <w:t>The sourc</w:t>
      </w:r>
      <w:r>
        <w:rPr>
          <w:rFonts w:ascii="Gautami" w:hAnsi="Gautami" w:cs="Gautami"/>
        </w:rPr>
        <w:t>e was written in 1200, the same year as</w:t>
      </w:r>
      <w:r w:rsidRPr="007B6D74">
        <w:rPr>
          <w:rFonts w:ascii="Gautami" w:hAnsi="Gautami" w:cs="Gautami"/>
        </w:rPr>
        <w:t xml:space="preserve"> </w:t>
      </w:r>
      <w:r>
        <w:rPr>
          <w:rFonts w:ascii="Gautami" w:hAnsi="Gautami" w:cs="Gautami"/>
        </w:rPr>
        <w:t xml:space="preserve">the death of </w:t>
      </w:r>
      <w:r w:rsidRPr="007B6D74">
        <w:rPr>
          <w:rFonts w:ascii="Gautami" w:hAnsi="Gautami" w:cs="Gautami"/>
        </w:rPr>
        <w:t>Hu</w:t>
      </w:r>
      <w:r>
        <w:rPr>
          <w:rFonts w:ascii="Gautami" w:hAnsi="Gautami" w:cs="Gautami"/>
        </w:rPr>
        <w:t>gh of Lincoln</w:t>
      </w:r>
      <w:r w:rsidRPr="007B6D74">
        <w:rPr>
          <w:rFonts w:ascii="Gautami" w:hAnsi="Gautami" w:cs="Gautami"/>
        </w:rPr>
        <w:t xml:space="preserve">. </w:t>
      </w:r>
      <w:r>
        <w:rPr>
          <w:rFonts w:ascii="Gautami" w:hAnsi="Gautami" w:cs="Gautami"/>
        </w:rPr>
        <w:t xml:space="preserve">As an eye-witness of the funeral, Roger of Wendover’s account can therefore be considered a </w:t>
      </w:r>
      <w:r w:rsidRPr="007B6D74">
        <w:rPr>
          <w:rFonts w:ascii="Gautami" w:hAnsi="Gautami" w:cs="Gautami"/>
        </w:rPr>
        <w:t xml:space="preserve">valuable and reliable contemporary source </w:t>
      </w:r>
      <w:r>
        <w:rPr>
          <w:rFonts w:ascii="Gautami" w:hAnsi="Gautami" w:cs="Gautami"/>
        </w:rPr>
        <w:t>of</w:t>
      </w:r>
      <w:r w:rsidRPr="007B6D74">
        <w:rPr>
          <w:rFonts w:ascii="Gautami" w:hAnsi="Gautami" w:cs="Gautami"/>
        </w:rPr>
        <w:t xml:space="preserve"> the miracles that contributed to the development of the cult of St Hugh. </w:t>
      </w:r>
    </w:p>
    <w:p w:rsidR="00D020AE" w:rsidRPr="007B6D74" w:rsidRDefault="00D020AE" w:rsidP="00F00F77">
      <w:pPr>
        <w:spacing w:line="360" w:lineRule="auto"/>
        <w:rPr>
          <w:rFonts w:ascii="Gautami" w:hAnsi="Gautami" w:cs="Gautami"/>
        </w:rPr>
      </w:pPr>
      <w:r w:rsidRPr="007B6D74">
        <w:rPr>
          <w:rFonts w:ascii="Gautami" w:hAnsi="Gautami" w:cs="Gautami"/>
        </w:rPr>
        <w:tab/>
        <w:t xml:space="preserve">Immediately, </w:t>
      </w:r>
      <w:r>
        <w:rPr>
          <w:rFonts w:ascii="Gautami" w:hAnsi="Gautami" w:cs="Gautami"/>
        </w:rPr>
        <w:t>the source</w:t>
      </w:r>
      <w:r w:rsidRPr="007B6D74">
        <w:rPr>
          <w:rFonts w:ascii="Gautami" w:hAnsi="Gautami" w:cs="Gautami"/>
        </w:rPr>
        <w:t xml:space="preserve"> informs us that the “distinguished burial” of St Hugh was </w:t>
      </w:r>
      <w:r>
        <w:rPr>
          <w:rFonts w:ascii="Gautami" w:hAnsi="Gautami" w:cs="Gautami"/>
        </w:rPr>
        <w:t>attended by a number of</w:t>
      </w:r>
      <w:r w:rsidRPr="007B6D74">
        <w:rPr>
          <w:rFonts w:ascii="Gautami" w:hAnsi="Gautami" w:cs="Gautami"/>
        </w:rPr>
        <w:t xml:space="preserve"> nobility and clergy, including King John of England and King William of Scotland, who </w:t>
      </w:r>
      <w:r>
        <w:rPr>
          <w:rFonts w:ascii="Gautami" w:hAnsi="Gautami" w:cs="Gautami"/>
        </w:rPr>
        <w:t>personally carried Hugh’s coffin</w:t>
      </w:r>
      <w:r w:rsidRPr="007B6D74">
        <w:rPr>
          <w:rFonts w:ascii="Gautami" w:hAnsi="Gautami" w:cs="Gautami"/>
        </w:rPr>
        <w:t xml:space="preserve"> “on the</w:t>
      </w:r>
      <w:r>
        <w:rPr>
          <w:rFonts w:ascii="Gautami" w:hAnsi="Gautami" w:cs="Gautami"/>
        </w:rPr>
        <w:t xml:space="preserve">ir shoulders” to be buried. This quote consolidates the idea that St Hugh was a well-loved figure during his </w:t>
      </w:r>
      <w:proofErr w:type="gramStart"/>
      <w:r>
        <w:rPr>
          <w:rFonts w:ascii="Gautami" w:hAnsi="Gautami" w:cs="Gautami"/>
        </w:rPr>
        <w:t>lifetime,</w:t>
      </w:r>
      <w:proofErr w:type="gramEnd"/>
      <w:r>
        <w:rPr>
          <w:rFonts w:ascii="Gautami" w:hAnsi="Gautami" w:cs="Gautami"/>
        </w:rPr>
        <w:t xml:space="preserve"> a notion echoed in other contemporary hagiographies of St Hugh, such as </w:t>
      </w:r>
      <w:r>
        <w:rPr>
          <w:rFonts w:ascii="Gautami" w:hAnsi="Gautami" w:cs="Gautami"/>
          <w:i/>
        </w:rPr>
        <w:t>The Life of St Hugh of Avalon</w:t>
      </w:r>
      <w:r>
        <w:rPr>
          <w:rFonts w:ascii="Gautami" w:hAnsi="Gautami" w:cs="Gautami"/>
        </w:rPr>
        <w:t xml:space="preserve"> by Gerald of Wales, of which documents his kindness towards his diocese and the oppressed.</w:t>
      </w:r>
      <w:r>
        <w:rPr>
          <w:rStyle w:val="FootnoteReference"/>
          <w:rFonts w:ascii="Gautami" w:hAnsi="Gautami" w:cs="Gautami"/>
        </w:rPr>
        <w:footnoteReference w:id="9"/>
      </w:r>
      <w:r>
        <w:rPr>
          <w:rFonts w:ascii="Gautami" w:hAnsi="Gautami" w:cs="Gautami"/>
        </w:rPr>
        <w:t xml:space="preserve"> Additionally, it</w:t>
      </w:r>
      <w:r w:rsidRPr="007B6D74">
        <w:rPr>
          <w:rFonts w:ascii="Gautami" w:hAnsi="Gautami" w:cs="Gautami"/>
        </w:rPr>
        <w:t xml:space="preserve"> could suggest that Hugh was cons</w:t>
      </w:r>
      <w:r>
        <w:rPr>
          <w:rFonts w:ascii="Gautami" w:hAnsi="Gautami" w:cs="Gautami"/>
        </w:rPr>
        <w:t>idered to be of much importance</w:t>
      </w:r>
      <w:r w:rsidRPr="007B6D74">
        <w:rPr>
          <w:rFonts w:ascii="Gautami" w:hAnsi="Gautami" w:cs="Gautami"/>
        </w:rPr>
        <w:t>,</w:t>
      </w:r>
      <w:r>
        <w:rPr>
          <w:rFonts w:ascii="Gautami" w:hAnsi="Gautami" w:cs="Gautami"/>
        </w:rPr>
        <w:t xml:space="preserve"> and</w:t>
      </w:r>
      <w:r w:rsidRPr="007B6D74">
        <w:rPr>
          <w:rFonts w:ascii="Gautami" w:hAnsi="Gautami" w:cs="Gautami"/>
        </w:rPr>
        <w:t xml:space="preserve"> that his can</w:t>
      </w:r>
      <w:r>
        <w:rPr>
          <w:rFonts w:ascii="Gautami" w:hAnsi="Gautami" w:cs="Gautami"/>
        </w:rPr>
        <w:t>onisation seemed to be expected</w:t>
      </w:r>
      <w:r w:rsidRPr="007B6D74">
        <w:rPr>
          <w:rFonts w:ascii="Gautami" w:hAnsi="Gautami" w:cs="Gautami"/>
        </w:rPr>
        <w:t xml:space="preserve">. Indeed, Hugh’s funeral was said to have been lavish in order to </w:t>
      </w:r>
      <w:r>
        <w:rPr>
          <w:rFonts w:ascii="Gautami" w:hAnsi="Gautami" w:cs="Gautami"/>
        </w:rPr>
        <w:t xml:space="preserve">“reward the merits of the just”. </w:t>
      </w:r>
      <w:r w:rsidRPr="007B6D74">
        <w:rPr>
          <w:rFonts w:ascii="Gautami" w:hAnsi="Gautami" w:cs="Gautami"/>
        </w:rPr>
        <w:t xml:space="preserve"> </w:t>
      </w:r>
      <w:r w:rsidRPr="009F54A8">
        <w:rPr>
          <w:rFonts w:ascii="Gautami" w:hAnsi="Gautami" w:cs="Gautami"/>
        </w:rPr>
        <w:t xml:space="preserve">Whilst this quote could possibly reiterate the idea that Hugh, during his lifetime, was the image of sanctity, it could also </w:t>
      </w:r>
      <w:r>
        <w:rPr>
          <w:rFonts w:ascii="Gautami" w:hAnsi="Gautami" w:cs="Gautami"/>
        </w:rPr>
        <w:t>suggest that his funeral was proposed to be attended by people with special devotion to the saint, in order to receive intercessions. Indeed, the Peterborough Chronicle states that “many miracles were wrought by his merits”.</w:t>
      </w:r>
      <w:r>
        <w:rPr>
          <w:rStyle w:val="FootnoteReference"/>
          <w:rFonts w:ascii="Gautami" w:hAnsi="Gautami" w:cs="Gautami"/>
        </w:rPr>
        <w:footnoteReference w:id="10"/>
      </w:r>
      <w:r w:rsidRPr="007B6D74">
        <w:rPr>
          <w:rFonts w:ascii="Gautami" w:hAnsi="Gautami" w:cs="Gautami"/>
        </w:rPr>
        <w:t xml:space="preserve"> </w:t>
      </w:r>
    </w:p>
    <w:p w:rsidR="00D020AE" w:rsidRPr="007B6D74" w:rsidRDefault="00D020AE" w:rsidP="00F00F77">
      <w:pPr>
        <w:spacing w:line="360" w:lineRule="auto"/>
        <w:rPr>
          <w:rFonts w:ascii="Gautami" w:hAnsi="Gautami" w:cs="Gautami"/>
        </w:rPr>
      </w:pPr>
      <w:r w:rsidRPr="007B6D74">
        <w:rPr>
          <w:rFonts w:ascii="Gautami" w:hAnsi="Gautami" w:cs="Gautami"/>
        </w:rPr>
        <w:tab/>
      </w:r>
      <w:r>
        <w:rPr>
          <w:rFonts w:ascii="Gautami" w:hAnsi="Gautami" w:cs="Gautami"/>
        </w:rPr>
        <w:t xml:space="preserve">The </w:t>
      </w:r>
      <w:r>
        <w:rPr>
          <w:rFonts w:ascii="Gautami" w:hAnsi="Gautami" w:cs="Gautami"/>
          <w:i/>
        </w:rPr>
        <w:t xml:space="preserve">Flores </w:t>
      </w:r>
      <w:proofErr w:type="spellStart"/>
      <w:r>
        <w:rPr>
          <w:rFonts w:ascii="Gautami" w:hAnsi="Gautami" w:cs="Gautami"/>
          <w:i/>
        </w:rPr>
        <w:t>Historiorum</w:t>
      </w:r>
      <w:proofErr w:type="spellEnd"/>
      <w:r>
        <w:rPr>
          <w:rFonts w:ascii="Gautami" w:hAnsi="Gautami" w:cs="Gautami"/>
        </w:rPr>
        <w:t xml:space="preserve"> indeed</w:t>
      </w:r>
      <w:r w:rsidRPr="007B6D74">
        <w:rPr>
          <w:rFonts w:ascii="Gautami" w:hAnsi="Gautami" w:cs="Gautami"/>
        </w:rPr>
        <w:t xml:space="preserve"> gives accounts of three separate miracles that all occurred during the funeral of St Hugh. The first two miracles performed are examples of healing miracles, which are </w:t>
      </w:r>
      <w:r>
        <w:rPr>
          <w:rFonts w:ascii="Gautami" w:hAnsi="Gautami" w:cs="Gautami"/>
        </w:rPr>
        <w:t>commonly attributed to St Hugh in hagiographies</w:t>
      </w:r>
      <w:r w:rsidRPr="007B6D74">
        <w:rPr>
          <w:rFonts w:ascii="Gautami" w:hAnsi="Gautami" w:cs="Gautami"/>
        </w:rPr>
        <w:t xml:space="preserve">. Hugh’s miraculous ability to heal a soldier’s diseased limb through contact with the saint’s corpse, as well as the restoration of sight to a woman “seven years blind of one eye”, </w:t>
      </w:r>
      <w:r>
        <w:rPr>
          <w:rFonts w:ascii="Gautami" w:hAnsi="Gautami" w:cs="Gautami"/>
        </w:rPr>
        <w:t xml:space="preserve">showcase Hugh’s power as patron saint of the sick. However, it is interesting to note that a punitive miracle </w:t>
      </w:r>
      <w:r>
        <w:rPr>
          <w:rFonts w:ascii="Gautami" w:hAnsi="Gautami" w:cs="Gautami"/>
        </w:rPr>
        <w:lastRenderedPageBreak/>
        <w:t>also occurred during Hugh’s funeral, when the fingers of a thief “</w:t>
      </w:r>
      <w:r w:rsidRPr="007B6D74">
        <w:rPr>
          <w:rFonts w:ascii="Gautami" w:hAnsi="Gautami" w:cs="Gautami"/>
        </w:rPr>
        <w:t>became so firmly f</w:t>
      </w:r>
      <w:r>
        <w:rPr>
          <w:rFonts w:ascii="Gautami" w:hAnsi="Gautami" w:cs="Gautami"/>
        </w:rPr>
        <w:t xml:space="preserve">ixed to the palms of his hands”. This is of importance, as punitive miracles </w:t>
      </w:r>
      <w:r w:rsidRPr="007B6D74">
        <w:rPr>
          <w:rFonts w:ascii="Gautami" w:hAnsi="Gautami" w:cs="Gautami"/>
        </w:rPr>
        <w:t xml:space="preserve">are not so commonly attributed to St Hugh. </w:t>
      </w:r>
      <w:r>
        <w:rPr>
          <w:rFonts w:ascii="Gautami" w:hAnsi="Gautami" w:cs="Gautami"/>
        </w:rPr>
        <w:t>The</w:t>
      </w:r>
      <w:r w:rsidRPr="007B6D74">
        <w:rPr>
          <w:rFonts w:ascii="Gautami" w:hAnsi="Gautami" w:cs="Gautami"/>
        </w:rPr>
        <w:t xml:space="preserve"> inclusion of this </w:t>
      </w:r>
      <w:r>
        <w:rPr>
          <w:rFonts w:ascii="Gautami" w:hAnsi="Gautami" w:cs="Gautami"/>
        </w:rPr>
        <w:t>miracle was presumably</w:t>
      </w:r>
      <w:r w:rsidRPr="007B6D74">
        <w:rPr>
          <w:rFonts w:ascii="Gautami" w:hAnsi="Gautami" w:cs="Gautami"/>
        </w:rPr>
        <w:t xml:space="preserve"> intentional, as it consolidates St Hugh’s spiritual power of performing a variety of miracles, rather than purely healing miracles. </w:t>
      </w:r>
    </w:p>
    <w:p w:rsidR="00D020AE" w:rsidRPr="007B6D74" w:rsidRDefault="00D020AE" w:rsidP="00F00F77">
      <w:pPr>
        <w:spacing w:line="360" w:lineRule="auto"/>
        <w:rPr>
          <w:rFonts w:ascii="Gautami" w:hAnsi="Gautami" w:cs="Gautami"/>
        </w:rPr>
      </w:pPr>
      <w:r w:rsidRPr="007B6D74">
        <w:rPr>
          <w:rFonts w:ascii="Gautami" w:hAnsi="Gautami" w:cs="Gautami"/>
        </w:rPr>
        <w:tab/>
        <w:t xml:space="preserve">The tone of the source </w:t>
      </w:r>
      <w:r>
        <w:rPr>
          <w:rFonts w:ascii="Gautami" w:hAnsi="Gautami" w:cs="Gautami"/>
        </w:rPr>
        <w:t xml:space="preserve">indicates </w:t>
      </w:r>
      <w:r w:rsidRPr="007B6D74">
        <w:rPr>
          <w:rFonts w:ascii="Gautami" w:hAnsi="Gautami" w:cs="Gautami"/>
        </w:rPr>
        <w:t xml:space="preserve">Roger of Wendover’s sense of awe at the miracles performed by St Hugh. The inclusion of numerous and varied miracles in the </w:t>
      </w:r>
      <w:r w:rsidRPr="007B6D74">
        <w:rPr>
          <w:rFonts w:ascii="Gautami" w:hAnsi="Gautami" w:cs="Gautami"/>
          <w:i/>
        </w:rPr>
        <w:t xml:space="preserve">Flores </w:t>
      </w:r>
      <w:proofErr w:type="spellStart"/>
      <w:r w:rsidRPr="007B6D74">
        <w:rPr>
          <w:rFonts w:ascii="Gautami" w:hAnsi="Gautami" w:cs="Gautami"/>
          <w:i/>
        </w:rPr>
        <w:t>Historiorum</w:t>
      </w:r>
      <w:proofErr w:type="spellEnd"/>
      <w:r w:rsidRPr="007B6D74">
        <w:rPr>
          <w:rFonts w:ascii="Gautami" w:hAnsi="Gautami" w:cs="Gautami"/>
        </w:rPr>
        <w:t xml:space="preserve"> </w:t>
      </w:r>
      <w:r>
        <w:rPr>
          <w:rFonts w:ascii="Gautami" w:hAnsi="Gautami" w:cs="Gautami"/>
        </w:rPr>
        <w:t>occurring at the same time during the same event</w:t>
      </w:r>
      <w:r w:rsidRPr="007B6D74">
        <w:rPr>
          <w:rFonts w:ascii="Gautami" w:hAnsi="Gautami" w:cs="Gautami"/>
        </w:rPr>
        <w:t xml:space="preserve"> consolidates Hugh’s spiritual power. Therefore,</w:t>
      </w:r>
      <w:r>
        <w:rPr>
          <w:rFonts w:ascii="Gautami" w:hAnsi="Gautami" w:cs="Gautami"/>
        </w:rPr>
        <w:t xml:space="preserve"> one must question - is</w:t>
      </w:r>
      <w:r w:rsidRPr="007B6D74">
        <w:rPr>
          <w:rFonts w:ascii="Gautami" w:hAnsi="Gautami" w:cs="Gautami"/>
        </w:rPr>
        <w:t xml:space="preserve"> Roger of Wendover genuinely impressed by St Hugh’s miracles, or is another ulterior motive at play? Indeed, Roger of Wendover was writing his hagiographical account of St Hugh in 1200, the same year in which the saint died. Considering Hugh of Lincoln was canonised in 1220, could this source possibly be written in order to showcase Hugh’s miracles, thus ha</w:t>
      </w:r>
      <w:r>
        <w:rPr>
          <w:rFonts w:ascii="Gautami" w:hAnsi="Gautami" w:cs="Gautami"/>
        </w:rPr>
        <w:t>stening his canonisation</w:t>
      </w:r>
      <w:r w:rsidRPr="007B6D74">
        <w:rPr>
          <w:rFonts w:ascii="Gautami" w:hAnsi="Gautami" w:cs="Gautami"/>
        </w:rPr>
        <w:t xml:space="preserve">? The inclusion of miracles performed by Hugh, still only the Bishop of Lincoln at the time of his death, suggests that an expectation existed for Hugh to be canonised. </w:t>
      </w:r>
      <w:r>
        <w:rPr>
          <w:rFonts w:ascii="Gautami" w:hAnsi="Gautami" w:cs="Gautami"/>
        </w:rPr>
        <w:t>Further,</w:t>
      </w:r>
      <w:r w:rsidRPr="007B6D74">
        <w:rPr>
          <w:rFonts w:ascii="Gautami" w:hAnsi="Gautami" w:cs="Gautami"/>
        </w:rPr>
        <w:t xml:space="preserve"> other contemporary sources, such as </w:t>
      </w:r>
      <w:r>
        <w:rPr>
          <w:rFonts w:ascii="Gautami" w:hAnsi="Gautami" w:cs="Gautami"/>
        </w:rPr>
        <w:t xml:space="preserve">Adam of </w:t>
      </w:r>
      <w:proofErr w:type="spellStart"/>
      <w:r>
        <w:rPr>
          <w:rFonts w:ascii="Gautami" w:hAnsi="Gautami" w:cs="Gautami"/>
        </w:rPr>
        <w:t>Eynsham’s</w:t>
      </w:r>
      <w:proofErr w:type="spellEnd"/>
      <w:r>
        <w:rPr>
          <w:rFonts w:ascii="Gautami" w:hAnsi="Gautami" w:cs="Gautami"/>
        </w:rPr>
        <w:t xml:space="preserve"> </w:t>
      </w:r>
      <w:r>
        <w:rPr>
          <w:rFonts w:ascii="Gautami" w:hAnsi="Gautami" w:cs="Gautami"/>
          <w:i/>
        </w:rPr>
        <w:t>Magna</w:t>
      </w:r>
      <w:r w:rsidRPr="007B6D74">
        <w:rPr>
          <w:rFonts w:ascii="Gautami" w:hAnsi="Gautami" w:cs="Gautami"/>
          <w:i/>
        </w:rPr>
        <w:t xml:space="preserve"> vita </w:t>
      </w:r>
      <w:r>
        <w:rPr>
          <w:rFonts w:ascii="Gautami" w:hAnsi="Gautami" w:cs="Gautami"/>
          <w:i/>
        </w:rPr>
        <w:t xml:space="preserve">Sancti </w:t>
      </w:r>
      <w:proofErr w:type="spellStart"/>
      <w:r w:rsidRPr="007B6D74">
        <w:rPr>
          <w:rFonts w:ascii="Gautami" w:hAnsi="Gautami" w:cs="Gautami"/>
          <w:i/>
        </w:rPr>
        <w:t>Hugonis</w:t>
      </w:r>
      <w:proofErr w:type="spellEnd"/>
      <w:r>
        <w:rPr>
          <w:rFonts w:ascii="Gautami" w:hAnsi="Gautami" w:cs="Gautami"/>
        </w:rPr>
        <w:t>, also allude</w:t>
      </w:r>
      <w:r w:rsidRPr="007B6D74">
        <w:rPr>
          <w:rFonts w:ascii="Gautami" w:hAnsi="Gautami" w:cs="Gautami"/>
        </w:rPr>
        <w:t xml:space="preserve"> to the saint performing miracles during his life, almost as a pre-requisite to being canonised.</w:t>
      </w:r>
      <w:r>
        <w:rPr>
          <w:rStyle w:val="FootnoteReference"/>
          <w:rFonts w:ascii="Gautami" w:hAnsi="Gautami" w:cs="Gautami"/>
        </w:rPr>
        <w:footnoteReference w:id="11"/>
      </w:r>
      <w:r w:rsidRPr="007B6D74">
        <w:rPr>
          <w:rFonts w:ascii="Gautami" w:hAnsi="Gautami" w:cs="Gautami"/>
        </w:rPr>
        <w:t xml:space="preserve"> </w:t>
      </w:r>
    </w:p>
    <w:p w:rsidR="00D020AE" w:rsidRPr="007B6D74" w:rsidRDefault="00D020AE" w:rsidP="00F00F77">
      <w:pPr>
        <w:spacing w:line="360" w:lineRule="auto"/>
        <w:rPr>
          <w:rFonts w:ascii="Gautami" w:hAnsi="Gautami" w:cs="Gautami"/>
        </w:rPr>
      </w:pPr>
      <w:r w:rsidRPr="007B6D74">
        <w:rPr>
          <w:rFonts w:ascii="Gautami" w:hAnsi="Gautami" w:cs="Gautami"/>
        </w:rPr>
        <w:tab/>
        <w:t>It would be pertinent to include an examination of another contemporary hagiographical source that relates to the miracles of St Hugh</w:t>
      </w:r>
      <w:r>
        <w:rPr>
          <w:rFonts w:ascii="Gautami" w:hAnsi="Gautami" w:cs="Gautami"/>
        </w:rPr>
        <w:t xml:space="preserve"> in this study</w:t>
      </w:r>
      <w:r w:rsidRPr="007B6D74">
        <w:rPr>
          <w:rFonts w:ascii="Gautami" w:hAnsi="Gautami" w:cs="Gautami"/>
        </w:rPr>
        <w:t xml:space="preserve">. The </w:t>
      </w:r>
      <w:proofErr w:type="spellStart"/>
      <w:r w:rsidRPr="007B6D74">
        <w:rPr>
          <w:rFonts w:ascii="Gautami" w:hAnsi="Gautami" w:cs="Gautami"/>
          <w:i/>
        </w:rPr>
        <w:t>Chronicon</w:t>
      </w:r>
      <w:proofErr w:type="spellEnd"/>
      <w:r w:rsidRPr="007B6D74">
        <w:rPr>
          <w:rFonts w:ascii="Gautami" w:hAnsi="Gautami" w:cs="Gautami"/>
          <w:i/>
        </w:rPr>
        <w:t xml:space="preserve"> </w:t>
      </w:r>
      <w:proofErr w:type="spellStart"/>
      <w:proofErr w:type="gramStart"/>
      <w:r w:rsidRPr="007B6D74">
        <w:rPr>
          <w:rFonts w:ascii="Gautami" w:hAnsi="Gautami" w:cs="Gautami"/>
          <w:i/>
        </w:rPr>
        <w:t>Anglicanum</w:t>
      </w:r>
      <w:proofErr w:type="spellEnd"/>
      <w:r w:rsidRPr="007B6D74">
        <w:rPr>
          <w:rFonts w:ascii="Gautami" w:hAnsi="Gautami" w:cs="Gautami"/>
        </w:rPr>
        <w:t>,</w:t>
      </w:r>
      <w:proofErr w:type="gramEnd"/>
      <w:r w:rsidRPr="007B6D74">
        <w:rPr>
          <w:rFonts w:ascii="Gautami" w:hAnsi="Gautami" w:cs="Gautami"/>
        </w:rPr>
        <w:t xml:space="preserve"> was written by Ralph of </w:t>
      </w:r>
      <w:proofErr w:type="spellStart"/>
      <w:r w:rsidRPr="007B6D74">
        <w:rPr>
          <w:rFonts w:ascii="Gautami" w:hAnsi="Gautami" w:cs="Gautami"/>
        </w:rPr>
        <w:t>Coggeshall</w:t>
      </w:r>
      <w:proofErr w:type="spellEnd"/>
      <w:r w:rsidRPr="007B6D74">
        <w:rPr>
          <w:rFonts w:ascii="Gautami" w:hAnsi="Gautami" w:cs="Gautami"/>
        </w:rPr>
        <w:t xml:space="preserve"> around 1226, just a few years after the canonisation of St Hugh.</w:t>
      </w:r>
      <w:r>
        <w:rPr>
          <w:rStyle w:val="FootnoteReference"/>
          <w:rFonts w:ascii="Gautami" w:hAnsi="Gautami" w:cs="Gautami"/>
        </w:rPr>
        <w:footnoteReference w:id="12"/>
      </w:r>
      <w:r w:rsidRPr="007B6D74">
        <w:rPr>
          <w:rFonts w:ascii="Gautami" w:hAnsi="Gautami" w:cs="Gautami"/>
        </w:rPr>
        <w:t xml:space="preserve"> The extract, “</w:t>
      </w:r>
      <w:r w:rsidRPr="00104D5D">
        <w:rPr>
          <w:rFonts w:ascii="Gautami" w:hAnsi="Gautami" w:cs="Gautami"/>
          <w:i/>
        </w:rPr>
        <w:t>Concerning the Bishop of Lincoln</w:t>
      </w:r>
      <w:r>
        <w:rPr>
          <w:rFonts w:ascii="Gautami" w:hAnsi="Gautami" w:cs="Gautami"/>
        </w:rPr>
        <w:t xml:space="preserve">” gives </w:t>
      </w:r>
      <w:r w:rsidRPr="007B6D74">
        <w:rPr>
          <w:rFonts w:ascii="Gautami" w:hAnsi="Gautami" w:cs="Gautami"/>
        </w:rPr>
        <w:t xml:space="preserve">an account of the funeral of Hugh of Lincoln, similarly to the </w:t>
      </w:r>
      <w:r w:rsidRPr="007B6D74">
        <w:rPr>
          <w:rFonts w:ascii="Gautami" w:hAnsi="Gautami" w:cs="Gautami"/>
          <w:i/>
        </w:rPr>
        <w:t xml:space="preserve">Flores </w:t>
      </w:r>
      <w:proofErr w:type="spellStart"/>
      <w:r w:rsidRPr="007B6D74">
        <w:rPr>
          <w:rFonts w:ascii="Gautami" w:hAnsi="Gautami" w:cs="Gautami"/>
          <w:i/>
        </w:rPr>
        <w:t>Historiorum</w:t>
      </w:r>
      <w:proofErr w:type="spellEnd"/>
      <w:r w:rsidRPr="007B6D74">
        <w:rPr>
          <w:rFonts w:ascii="Gautami" w:hAnsi="Gautami" w:cs="Gautami"/>
        </w:rPr>
        <w:t xml:space="preserve">.  One can expect that Ralph of </w:t>
      </w:r>
      <w:proofErr w:type="spellStart"/>
      <w:r w:rsidRPr="007B6D74">
        <w:rPr>
          <w:rFonts w:ascii="Gautami" w:hAnsi="Gautami" w:cs="Gautami"/>
        </w:rPr>
        <w:t>Coggeshall</w:t>
      </w:r>
      <w:proofErr w:type="spellEnd"/>
      <w:r w:rsidRPr="007B6D74">
        <w:rPr>
          <w:rFonts w:ascii="Gautami" w:hAnsi="Gautami" w:cs="Gautami"/>
        </w:rPr>
        <w:t xml:space="preserve"> would have been aware of St Hugh and the miracles that he was said to have performed, as they occurred during Ralph’s own lifetime. </w:t>
      </w:r>
      <w:r>
        <w:rPr>
          <w:rFonts w:ascii="Gautami" w:hAnsi="Gautami" w:cs="Gautami"/>
        </w:rPr>
        <w:t>As such</w:t>
      </w:r>
      <w:r w:rsidRPr="007B6D74">
        <w:rPr>
          <w:rFonts w:ascii="Gautami" w:hAnsi="Gautami" w:cs="Gautami"/>
        </w:rPr>
        <w:t>,</w:t>
      </w:r>
      <w:r>
        <w:rPr>
          <w:rFonts w:ascii="Gautami" w:hAnsi="Gautami" w:cs="Gautami"/>
        </w:rPr>
        <w:t xml:space="preserve"> </w:t>
      </w:r>
      <w:r w:rsidRPr="007B6D74">
        <w:rPr>
          <w:rFonts w:ascii="Gautami" w:hAnsi="Gautami" w:cs="Gautami"/>
        </w:rPr>
        <w:t>this source</w:t>
      </w:r>
      <w:r>
        <w:rPr>
          <w:rFonts w:ascii="Gautami" w:hAnsi="Gautami" w:cs="Gautami"/>
        </w:rPr>
        <w:t xml:space="preserve"> could be considered</w:t>
      </w:r>
      <w:r w:rsidRPr="007B6D74">
        <w:rPr>
          <w:rFonts w:ascii="Gautami" w:hAnsi="Gautami" w:cs="Gautami"/>
        </w:rPr>
        <w:t xml:space="preserve"> reliable in examining the miracles and the development of the cult of St Hugh. </w:t>
      </w:r>
      <w:r>
        <w:rPr>
          <w:rFonts w:ascii="Gautami" w:hAnsi="Gautami" w:cs="Gautami"/>
        </w:rPr>
        <w:t>Further</w:t>
      </w:r>
      <w:r w:rsidRPr="007B6D74">
        <w:rPr>
          <w:rFonts w:ascii="Gautami" w:hAnsi="Gautami" w:cs="Gautami"/>
        </w:rPr>
        <w:t xml:space="preserve">, it is worth noting that the </w:t>
      </w:r>
      <w:proofErr w:type="spellStart"/>
      <w:r w:rsidRPr="007B6D74">
        <w:rPr>
          <w:rFonts w:ascii="Gautami" w:hAnsi="Gautami" w:cs="Gautami"/>
          <w:i/>
        </w:rPr>
        <w:t>Chronicon</w:t>
      </w:r>
      <w:proofErr w:type="spellEnd"/>
      <w:r w:rsidRPr="007B6D74">
        <w:rPr>
          <w:rFonts w:ascii="Gautami" w:hAnsi="Gautami" w:cs="Gautami"/>
          <w:i/>
        </w:rPr>
        <w:t xml:space="preserve"> </w:t>
      </w:r>
      <w:proofErr w:type="spellStart"/>
      <w:r w:rsidRPr="007B6D74">
        <w:rPr>
          <w:rFonts w:ascii="Gautami" w:hAnsi="Gautami" w:cs="Gautami"/>
          <w:i/>
        </w:rPr>
        <w:t>Anglicanum</w:t>
      </w:r>
      <w:proofErr w:type="spellEnd"/>
      <w:r w:rsidRPr="007B6D74">
        <w:rPr>
          <w:rFonts w:ascii="Gautami" w:hAnsi="Gautami" w:cs="Gautami"/>
        </w:rPr>
        <w:t xml:space="preserve"> is considered one of the most reliable sources of medieval life in England, due to the various detailed his</w:t>
      </w:r>
      <w:r>
        <w:rPr>
          <w:rFonts w:ascii="Gautami" w:hAnsi="Gautami" w:cs="Gautami"/>
        </w:rPr>
        <w:t>torical commentaries it included</w:t>
      </w:r>
      <w:r w:rsidRPr="007B6D74">
        <w:rPr>
          <w:rFonts w:ascii="Gautami" w:hAnsi="Gautami" w:cs="Gautami"/>
        </w:rPr>
        <w:t xml:space="preserve">. </w:t>
      </w:r>
    </w:p>
    <w:p w:rsidR="00D020AE" w:rsidRDefault="00D020AE" w:rsidP="00F00F77">
      <w:pPr>
        <w:spacing w:line="360" w:lineRule="auto"/>
        <w:rPr>
          <w:rFonts w:ascii="Gautami" w:hAnsi="Gautami" w:cs="Gautami"/>
        </w:rPr>
      </w:pPr>
      <w:r w:rsidRPr="007B6D74">
        <w:rPr>
          <w:rFonts w:ascii="Gautami" w:hAnsi="Gautami" w:cs="Gautami"/>
        </w:rPr>
        <w:tab/>
      </w:r>
      <w:r>
        <w:rPr>
          <w:rFonts w:ascii="Gautami" w:hAnsi="Gautami" w:cs="Gautami"/>
        </w:rPr>
        <w:t xml:space="preserve">In the </w:t>
      </w:r>
      <w:proofErr w:type="spellStart"/>
      <w:r>
        <w:rPr>
          <w:rFonts w:ascii="Gautami" w:hAnsi="Gautami" w:cs="Gautami"/>
          <w:i/>
        </w:rPr>
        <w:t>Chronicon</w:t>
      </w:r>
      <w:proofErr w:type="spellEnd"/>
      <w:r>
        <w:rPr>
          <w:rFonts w:ascii="Gautami" w:hAnsi="Gautami" w:cs="Gautami"/>
          <w:i/>
        </w:rPr>
        <w:t xml:space="preserve"> </w:t>
      </w:r>
      <w:proofErr w:type="spellStart"/>
      <w:r>
        <w:rPr>
          <w:rFonts w:ascii="Gautami" w:hAnsi="Gautami" w:cs="Gautami"/>
          <w:i/>
        </w:rPr>
        <w:t>Anglicanum</w:t>
      </w:r>
      <w:proofErr w:type="spellEnd"/>
      <w:r>
        <w:rPr>
          <w:rFonts w:ascii="Gautami" w:hAnsi="Gautami" w:cs="Gautami"/>
        </w:rPr>
        <w:t xml:space="preserve">, Ralph of </w:t>
      </w:r>
      <w:proofErr w:type="spellStart"/>
      <w:r>
        <w:rPr>
          <w:rFonts w:ascii="Gautami" w:hAnsi="Gautami" w:cs="Gautami"/>
        </w:rPr>
        <w:t>Coggeshall</w:t>
      </w:r>
      <w:proofErr w:type="spellEnd"/>
      <w:r>
        <w:rPr>
          <w:rFonts w:ascii="Gautami" w:hAnsi="Gautami" w:cs="Gautami"/>
        </w:rPr>
        <w:t xml:space="preserve"> documents that people “rushed </w:t>
      </w:r>
      <w:proofErr w:type="spellStart"/>
      <w:r>
        <w:rPr>
          <w:rFonts w:ascii="Gautami" w:hAnsi="Gautami" w:cs="Gautami"/>
        </w:rPr>
        <w:t>en</w:t>
      </w:r>
      <w:proofErr w:type="spellEnd"/>
      <w:r>
        <w:rPr>
          <w:rFonts w:ascii="Gautami" w:hAnsi="Gautami" w:cs="Gautami"/>
        </w:rPr>
        <w:t xml:space="preserve"> </w:t>
      </w:r>
      <w:r w:rsidR="00D214FA">
        <w:rPr>
          <w:rFonts w:ascii="Gautami" w:hAnsi="Gautami" w:cs="Gautami"/>
        </w:rPr>
        <w:t>mass</w:t>
      </w:r>
      <w:r>
        <w:rPr>
          <w:rFonts w:ascii="Gautami" w:hAnsi="Gautami" w:cs="Gautami"/>
        </w:rPr>
        <w:t xml:space="preserve">e” to watch the funeral procession. This is important, as the large number of eyewitnesses of St Hugh’s miracles further </w:t>
      </w:r>
      <w:r w:rsidRPr="000E3F6C">
        <w:rPr>
          <w:rFonts w:ascii="Gautami" w:hAnsi="Gautami" w:cs="Gautami"/>
        </w:rPr>
        <w:t xml:space="preserve">consolidates Hugh’s power as a saint.  </w:t>
      </w:r>
      <w:r>
        <w:rPr>
          <w:rFonts w:ascii="Gautami" w:hAnsi="Gautami" w:cs="Gautami"/>
        </w:rPr>
        <w:t xml:space="preserve">Indeed, Hugh’s corpse had publically been displayed so that the crowds could “kiss his feet, or take </w:t>
      </w:r>
      <w:r>
        <w:rPr>
          <w:rFonts w:ascii="Gautami" w:hAnsi="Gautami" w:cs="Gautami"/>
        </w:rPr>
        <w:lastRenderedPageBreak/>
        <w:t>hold of any of his clothing”</w:t>
      </w:r>
      <w:proofErr w:type="gramStart"/>
      <w:r>
        <w:rPr>
          <w:rFonts w:ascii="Gautami" w:hAnsi="Gautami" w:cs="Gautami"/>
        </w:rPr>
        <w:t>,</w:t>
      </w:r>
      <w:proofErr w:type="gramEnd"/>
      <w:r>
        <w:rPr>
          <w:rFonts w:ascii="Gautami" w:hAnsi="Gautami" w:cs="Gautami"/>
        </w:rPr>
        <w:t xml:space="preserve"> perhaps in order to retrieve a contact relic of St Hugh for special devotional practices. </w:t>
      </w:r>
    </w:p>
    <w:p w:rsidR="00D020AE" w:rsidRDefault="00D020AE" w:rsidP="00F00F77">
      <w:pPr>
        <w:spacing w:line="360" w:lineRule="auto"/>
        <w:rPr>
          <w:rFonts w:ascii="Gautami" w:hAnsi="Gautami" w:cs="Gautami"/>
        </w:rPr>
      </w:pPr>
      <w:r>
        <w:rPr>
          <w:rFonts w:ascii="Gautami" w:hAnsi="Gautami" w:cs="Gautami"/>
        </w:rPr>
        <w:tab/>
      </w:r>
      <w:r w:rsidRPr="00F305AC">
        <w:rPr>
          <w:rFonts w:ascii="Gautami" w:hAnsi="Gautami" w:cs="Gautami"/>
        </w:rPr>
        <w:t xml:space="preserve">Despite not explicitly mentioning any miracles, the </w:t>
      </w:r>
      <w:proofErr w:type="spellStart"/>
      <w:r w:rsidRPr="00C42A54">
        <w:rPr>
          <w:rFonts w:ascii="Gautami" w:hAnsi="Gautami" w:cs="Gautami"/>
          <w:i/>
        </w:rPr>
        <w:t>Chronicon</w:t>
      </w:r>
      <w:proofErr w:type="spellEnd"/>
      <w:r w:rsidRPr="00C42A54">
        <w:rPr>
          <w:rFonts w:ascii="Gautami" w:hAnsi="Gautami" w:cs="Gautami"/>
          <w:i/>
        </w:rPr>
        <w:t xml:space="preserve"> </w:t>
      </w:r>
      <w:proofErr w:type="spellStart"/>
      <w:r w:rsidRPr="00C42A54">
        <w:rPr>
          <w:rFonts w:ascii="Gautami" w:hAnsi="Gautami" w:cs="Gautami"/>
          <w:i/>
        </w:rPr>
        <w:t>Anglicanum</w:t>
      </w:r>
      <w:proofErr w:type="spellEnd"/>
      <w:r w:rsidRPr="00F305AC">
        <w:rPr>
          <w:rFonts w:ascii="Gautami" w:hAnsi="Gautami" w:cs="Gautami"/>
        </w:rPr>
        <w:t xml:space="preserve"> instead documents the impressive deeds of St Hugh, including his </w:t>
      </w:r>
      <w:r w:rsidRPr="00F305AC">
        <w:rPr>
          <w:rFonts w:ascii="Gautami" w:hAnsi="Gautami" w:cs="Gautami"/>
        </w:rPr>
        <w:tab/>
        <w:t>“celebrated reputation for sanctity”, his hatred of simony and his “outstanding monastic life”, all of which present Hu</w:t>
      </w:r>
      <w:r>
        <w:rPr>
          <w:rFonts w:ascii="Gautami" w:hAnsi="Gautami" w:cs="Gautami"/>
        </w:rPr>
        <w:t>gh as an exemplar Christian,</w:t>
      </w:r>
      <w:r w:rsidRPr="00F305AC">
        <w:rPr>
          <w:rFonts w:ascii="Gautami" w:hAnsi="Gautami" w:cs="Gautami"/>
        </w:rPr>
        <w:t xml:space="preserve"> reiterating the idea that he was always intended to be canonised. </w:t>
      </w:r>
      <w:r>
        <w:rPr>
          <w:rFonts w:ascii="Gautami" w:hAnsi="Gautami" w:cs="Gautami"/>
        </w:rPr>
        <w:t xml:space="preserve"> However, it does state that Hugh’s “divine virtue brought health to certain sick”, perhaps in reference to the healing miracles that occurred at his funeral. Alternatively, this quote may be in reference to the lepers of which St Hugh was commonly attributed.</w:t>
      </w:r>
    </w:p>
    <w:p w:rsidR="00D020AE" w:rsidRPr="00E41910" w:rsidRDefault="00D020AE" w:rsidP="00F00F77">
      <w:pPr>
        <w:spacing w:line="360" w:lineRule="auto"/>
        <w:rPr>
          <w:rFonts w:ascii="Gautami" w:hAnsi="Gautami" w:cs="Gautami"/>
        </w:rPr>
      </w:pPr>
      <w:r>
        <w:rPr>
          <w:rFonts w:ascii="Gautami" w:hAnsi="Gautami" w:cs="Gautami"/>
        </w:rPr>
        <w:tab/>
        <w:t xml:space="preserve"> One could argue that the explicit reference to St Hugh healing of the sick indicates that the miracles of the </w:t>
      </w:r>
      <w:r>
        <w:rPr>
          <w:rFonts w:ascii="Gautami" w:hAnsi="Gautami" w:cs="Gautami"/>
          <w:i/>
        </w:rPr>
        <w:t xml:space="preserve">Flores </w:t>
      </w:r>
      <w:proofErr w:type="spellStart"/>
      <w:r>
        <w:rPr>
          <w:rFonts w:ascii="Gautami" w:hAnsi="Gautami" w:cs="Gautami"/>
          <w:i/>
        </w:rPr>
        <w:t>Historiorum</w:t>
      </w:r>
      <w:proofErr w:type="spellEnd"/>
      <w:r>
        <w:rPr>
          <w:rFonts w:ascii="Gautami" w:hAnsi="Gautami" w:cs="Gautami"/>
        </w:rPr>
        <w:t xml:space="preserve"> were genuinely performed that day. On the other hand, it is pertinent to consider that Ralph of </w:t>
      </w:r>
      <w:proofErr w:type="spellStart"/>
      <w:r>
        <w:rPr>
          <w:rFonts w:ascii="Gautami" w:hAnsi="Gautami" w:cs="Gautami"/>
        </w:rPr>
        <w:t>Coggeshall</w:t>
      </w:r>
      <w:proofErr w:type="spellEnd"/>
      <w:r>
        <w:rPr>
          <w:rFonts w:ascii="Gautami" w:hAnsi="Gautami" w:cs="Gautami"/>
        </w:rPr>
        <w:t xml:space="preserve"> was not a witness at St Hugh’s funeral, unlike Roger of Wendover, and as such, his hagiographical account could potentially be built upon pre-existing hagiographies. Indeed, Ralph of </w:t>
      </w:r>
      <w:proofErr w:type="spellStart"/>
      <w:r>
        <w:rPr>
          <w:rFonts w:ascii="Gautami" w:hAnsi="Gautami" w:cs="Gautami"/>
        </w:rPr>
        <w:t>Coggeshall</w:t>
      </w:r>
      <w:proofErr w:type="spellEnd"/>
      <w:r>
        <w:rPr>
          <w:rFonts w:ascii="Gautami" w:hAnsi="Gautami" w:cs="Gautami"/>
        </w:rPr>
        <w:t xml:space="preserve"> states that the supposed healing miracles of St Hugh were just a “rumour flying about”, and not necessarily real. Alternatively, another argument exists in which suggests that much of Roger of Wendover’s account of St Hugh was lifted from Ralph of </w:t>
      </w:r>
      <w:proofErr w:type="spellStart"/>
      <w:r>
        <w:rPr>
          <w:rFonts w:ascii="Gautami" w:hAnsi="Gautami" w:cs="Gautami"/>
        </w:rPr>
        <w:t>Coggeshall’s</w:t>
      </w:r>
      <w:proofErr w:type="spellEnd"/>
      <w:r>
        <w:rPr>
          <w:rFonts w:ascii="Gautami" w:hAnsi="Gautami" w:cs="Gautami"/>
        </w:rPr>
        <w:t xml:space="preserve"> </w:t>
      </w:r>
      <w:proofErr w:type="spellStart"/>
      <w:r>
        <w:rPr>
          <w:rFonts w:ascii="Gautami" w:hAnsi="Gautami" w:cs="Gautami"/>
          <w:i/>
        </w:rPr>
        <w:t>Chronicon</w:t>
      </w:r>
      <w:proofErr w:type="spellEnd"/>
      <w:r>
        <w:rPr>
          <w:rFonts w:ascii="Gautami" w:hAnsi="Gautami" w:cs="Gautami"/>
          <w:i/>
        </w:rPr>
        <w:t xml:space="preserve"> </w:t>
      </w:r>
      <w:proofErr w:type="spellStart"/>
      <w:r>
        <w:rPr>
          <w:rFonts w:ascii="Gautami" w:hAnsi="Gautami" w:cs="Gautami"/>
          <w:i/>
        </w:rPr>
        <w:t>Anglicanum</w:t>
      </w:r>
      <w:proofErr w:type="spellEnd"/>
      <w:r>
        <w:rPr>
          <w:rFonts w:ascii="Gautami" w:hAnsi="Gautami" w:cs="Gautami"/>
          <w:i/>
        </w:rPr>
        <w:t xml:space="preserve">, </w:t>
      </w:r>
      <w:r>
        <w:rPr>
          <w:rFonts w:ascii="Gautami" w:hAnsi="Gautami" w:cs="Gautami"/>
        </w:rPr>
        <w:t xml:space="preserve">furthering the idea that a large amount of medieval hagiographies were based on pre-existing histories and vitas. </w:t>
      </w:r>
    </w:p>
    <w:p w:rsidR="00D020AE" w:rsidRPr="0093693D" w:rsidRDefault="00D020AE" w:rsidP="00F00F77">
      <w:pPr>
        <w:spacing w:line="360" w:lineRule="auto"/>
        <w:rPr>
          <w:rFonts w:ascii="Gautami" w:hAnsi="Gautami" w:cs="Gautami"/>
        </w:rPr>
      </w:pPr>
      <w:r w:rsidRPr="007B6D74">
        <w:rPr>
          <w:rFonts w:ascii="Gautami" w:hAnsi="Gautami" w:cs="Gautami"/>
        </w:rPr>
        <w:tab/>
      </w:r>
      <w:r>
        <w:rPr>
          <w:rFonts w:ascii="Gautami" w:hAnsi="Gautami" w:cs="Gautami"/>
        </w:rPr>
        <w:t xml:space="preserve">To conclude, it is evident from these hagiographies that St Hugh was always intended to be canonised due to his miraculous and exemplary Christian lifestyle. The majority of Hugh’s miracles relate to the theme of healing miracles, aside from the punitive miracle in the </w:t>
      </w:r>
      <w:r>
        <w:rPr>
          <w:rFonts w:ascii="Gautami" w:hAnsi="Gautami" w:cs="Gautami"/>
          <w:i/>
        </w:rPr>
        <w:t xml:space="preserve">Flores </w:t>
      </w:r>
      <w:proofErr w:type="spellStart"/>
      <w:r>
        <w:rPr>
          <w:rFonts w:ascii="Gautami" w:hAnsi="Gautami" w:cs="Gautami"/>
          <w:i/>
        </w:rPr>
        <w:t>Historiorum</w:t>
      </w:r>
      <w:proofErr w:type="spellEnd"/>
      <w:r>
        <w:rPr>
          <w:rFonts w:ascii="Gautami" w:hAnsi="Gautami" w:cs="Gautami"/>
        </w:rPr>
        <w:t xml:space="preserve">, which is testament to Hugh’s variety of miracles and spiritual strength. The theme of healing miracles in relation to the cult of St Hugh shall be explored further in this portfolio. </w:t>
      </w:r>
    </w:p>
    <w:p w:rsidR="00D020AE" w:rsidRDefault="00D020AE" w:rsidP="00F00F77">
      <w:pPr>
        <w:spacing w:line="360" w:lineRule="auto"/>
        <w:rPr>
          <w:rFonts w:ascii="Gautami" w:hAnsi="Gautami" w:cs="Gautami"/>
        </w:rPr>
      </w:pPr>
    </w:p>
    <w:p w:rsidR="00D020AE" w:rsidRDefault="00D020AE" w:rsidP="00F00F77">
      <w:pPr>
        <w:spacing w:line="360" w:lineRule="auto"/>
        <w:rPr>
          <w:rFonts w:ascii="Gautami" w:hAnsi="Gautami" w:cs="Gautami"/>
        </w:rPr>
      </w:pPr>
    </w:p>
    <w:p w:rsidR="00D020AE" w:rsidRDefault="00D020AE" w:rsidP="00F00F77">
      <w:pPr>
        <w:spacing w:line="360" w:lineRule="auto"/>
        <w:rPr>
          <w:rFonts w:ascii="Gautami" w:hAnsi="Gautami" w:cs="Gautami"/>
        </w:rPr>
      </w:pPr>
    </w:p>
    <w:p w:rsidR="00D020AE" w:rsidRDefault="00D020AE" w:rsidP="00F00F77">
      <w:pPr>
        <w:spacing w:line="360" w:lineRule="auto"/>
        <w:rPr>
          <w:rFonts w:ascii="Gautami" w:hAnsi="Gautami" w:cs="Gautami"/>
        </w:rPr>
      </w:pPr>
    </w:p>
    <w:p w:rsidR="00D020AE" w:rsidRDefault="00D020AE" w:rsidP="00F00F77">
      <w:pPr>
        <w:spacing w:line="360" w:lineRule="auto"/>
        <w:rPr>
          <w:rFonts w:ascii="Gautami" w:hAnsi="Gautami" w:cs="Gautami"/>
        </w:rPr>
      </w:pPr>
    </w:p>
    <w:p w:rsidR="00D020AE" w:rsidRDefault="00D020AE" w:rsidP="00F00F77">
      <w:pPr>
        <w:spacing w:line="360" w:lineRule="auto"/>
        <w:rPr>
          <w:rFonts w:ascii="Gautami" w:hAnsi="Gautami" w:cs="Gautami"/>
        </w:rPr>
      </w:pPr>
    </w:p>
    <w:p w:rsidR="006405A5" w:rsidRDefault="006405A5" w:rsidP="00F00F77">
      <w:pPr>
        <w:spacing w:line="360" w:lineRule="auto"/>
        <w:rPr>
          <w:rFonts w:ascii="Gautami" w:hAnsi="Gautami" w:cs="Gautami"/>
          <w:b/>
          <w:i/>
          <w:u w:val="single"/>
        </w:rPr>
      </w:pPr>
    </w:p>
    <w:p w:rsidR="00D020AE" w:rsidRDefault="00D020AE" w:rsidP="00F00F77">
      <w:pPr>
        <w:spacing w:line="360" w:lineRule="auto"/>
        <w:rPr>
          <w:rFonts w:ascii="Gautami" w:hAnsi="Gautami" w:cs="Gautami"/>
        </w:rPr>
      </w:pPr>
      <w:r>
        <w:rPr>
          <w:rFonts w:ascii="Gautami" w:hAnsi="Gautami" w:cs="Gautami"/>
          <w:b/>
          <w:i/>
          <w:u w:val="single"/>
        </w:rPr>
        <w:t>Section 3: Historiographical Materials</w:t>
      </w:r>
    </w:p>
    <w:p w:rsidR="00D020AE" w:rsidRDefault="00D020AE" w:rsidP="00F00F77">
      <w:pPr>
        <w:spacing w:line="360" w:lineRule="auto"/>
        <w:rPr>
          <w:rFonts w:ascii="Gautami" w:hAnsi="Gautami" w:cs="Gautami"/>
        </w:rPr>
      </w:pPr>
    </w:p>
    <w:p w:rsidR="0007460E" w:rsidRPr="00463F0F" w:rsidRDefault="0007460E" w:rsidP="00F00F77">
      <w:pPr>
        <w:spacing w:line="360" w:lineRule="auto"/>
        <w:rPr>
          <w:rFonts w:ascii="Gautami" w:hAnsi="Gautami" w:cs="Gautami"/>
        </w:rPr>
      </w:pPr>
      <w:r w:rsidRPr="00D25FF7">
        <w:rPr>
          <w:rFonts w:ascii="Gautami" w:hAnsi="Gautami" w:cs="Gautami"/>
        </w:rPr>
        <w:t>In t</w:t>
      </w:r>
      <w:r>
        <w:rPr>
          <w:rFonts w:ascii="Gautami" w:hAnsi="Gautami" w:cs="Gautami"/>
        </w:rPr>
        <w:t>his section of the portfolio, I will summarise two historiographical materials</w:t>
      </w:r>
      <w:r w:rsidRPr="00D25FF7">
        <w:rPr>
          <w:rFonts w:ascii="Gautami" w:hAnsi="Gautami" w:cs="Gautami"/>
        </w:rPr>
        <w:t xml:space="preserve"> in relation to </w:t>
      </w:r>
      <w:r>
        <w:rPr>
          <w:rFonts w:ascii="Gautami" w:hAnsi="Gautami" w:cs="Gautami"/>
        </w:rPr>
        <w:t>the cult of St Hugh</w:t>
      </w:r>
      <w:r w:rsidRPr="00D25FF7">
        <w:rPr>
          <w:rFonts w:ascii="Gautami" w:hAnsi="Gautami" w:cs="Gautami"/>
        </w:rPr>
        <w:t xml:space="preserve">. </w:t>
      </w:r>
      <w:r>
        <w:rPr>
          <w:rFonts w:ascii="Gautami" w:hAnsi="Gautami" w:cs="Gautami"/>
        </w:rPr>
        <w:t xml:space="preserve">The first secondary source that I will comment </w:t>
      </w:r>
      <w:proofErr w:type="gramStart"/>
      <w:r>
        <w:rPr>
          <w:rFonts w:ascii="Gautami" w:hAnsi="Gautami" w:cs="Gautami"/>
        </w:rPr>
        <w:t>upon,</w:t>
      </w:r>
      <w:proofErr w:type="gramEnd"/>
      <w:r>
        <w:rPr>
          <w:rFonts w:ascii="Gautami" w:hAnsi="Gautami" w:cs="Gautami"/>
        </w:rPr>
        <w:t xml:space="preserve"> is a chapter of the book </w:t>
      </w:r>
      <w:r w:rsidRPr="00772D29">
        <w:rPr>
          <w:rFonts w:ascii="Gautami" w:hAnsi="Gautami" w:cs="Gautami"/>
          <w:i/>
        </w:rPr>
        <w:t>Feeling Things: Objects and Emotions Through History</w:t>
      </w:r>
      <w:r>
        <w:rPr>
          <w:rFonts w:ascii="Gautami" w:hAnsi="Gautami" w:cs="Gautami"/>
        </w:rPr>
        <w:t xml:space="preserve"> by Elina </w:t>
      </w:r>
      <w:proofErr w:type="spellStart"/>
      <w:r>
        <w:rPr>
          <w:rFonts w:ascii="Gautami" w:hAnsi="Gautami" w:cs="Gautami"/>
        </w:rPr>
        <w:t>Gertsman</w:t>
      </w:r>
      <w:proofErr w:type="spellEnd"/>
      <w:r>
        <w:rPr>
          <w:rFonts w:ascii="Gautami" w:hAnsi="Gautami" w:cs="Gautami"/>
        </w:rPr>
        <w:t>, in which discusses the tale of St Hugh and the theft of fragments of the arm bone of Mary Magdalene.</w:t>
      </w:r>
      <w:r>
        <w:rPr>
          <w:rStyle w:val="FootnoteReference"/>
          <w:rFonts w:ascii="Gautami" w:hAnsi="Gautami" w:cs="Gautami"/>
        </w:rPr>
        <w:footnoteReference w:id="13"/>
      </w:r>
      <w:r>
        <w:rPr>
          <w:rFonts w:ascii="Gautami" w:hAnsi="Gautami" w:cs="Gautami"/>
        </w:rPr>
        <w:t xml:space="preserve"> The second historiographical source that I shall </w:t>
      </w:r>
      <w:proofErr w:type="gramStart"/>
      <w:r>
        <w:rPr>
          <w:rFonts w:ascii="Gautami" w:hAnsi="Gautami" w:cs="Gautami"/>
        </w:rPr>
        <w:t>summarise,</w:t>
      </w:r>
      <w:proofErr w:type="gramEnd"/>
      <w:r>
        <w:rPr>
          <w:rFonts w:ascii="Gautami" w:hAnsi="Gautami" w:cs="Gautami"/>
        </w:rPr>
        <w:t xml:space="preserve"> is the section about the relationship between St Hugh and the sick, in Carole Rawcliffe’s </w:t>
      </w:r>
      <w:r w:rsidRPr="00463F0F">
        <w:rPr>
          <w:rFonts w:ascii="Gautami" w:hAnsi="Gautami" w:cs="Gautami"/>
          <w:i/>
        </w:rPr>
        <w:t>Medicine &amp; Society In Later Medieval England</w:t>
      </w:r>
      <w:r>
        <w:rPr>
          <w:rFonts w:ascii="Gautami" w:hAnsi="Gautami" w:cs="Gautami"/>
        </w:rPr>
        <w:t>.</w:t>
      </w:r>
      <w:r>
        <w:rPr>
          <w:rStyle w:val="FootnoteReference"/>
          <w:rFonts w:ascii="Gautami" w:hAnsi="Gautami" w:cs="Gautami"/>
        </w:rPr>
        <w:footnoteReference w:id="14"/>
      </w:r>
      <w:r>
        <w:rPr>
          <w:rFonts w:ascii="Gautami" w:hAnsi="Gautami" w:cs="Gautami"/>
        </w:rPr>
        <w:t xml:space="preserve"> During this summary, I shall also briefly comment upon other historiographical materials that relate to the cult of St Hugh.  </w:t>
      </w:r>
    </w:p>
    <w:p w:rsidR="0007460E" w:rsidRDefault="0007460E" w:rsidP="00F00F77">
      <w:pPr>
        <w:tabs>
          <w:tab w:val="left" w:pos="720"/>
          <w:tab w:val="left" w:pos="1440"/>
          <w:tab w:val="left" w:pos="2160"/>
          <w:tab w:val="left" w:pos="2880"/>
          <w:tab w:val="left" w:pos="3600"/>
          <w:tab w:val="left" w:pos="4320"/>
          <w:tab w:val="left" w:pos="5040"/>
          <w:tab w:val="left" w:pos="5760"/>
          <w:tab w:val="left" w:pos="6480"/>
          <w:tab w:val="left" w:pos="7836"/>
        </w:tabs>
        <w:spacing w:line="360" w:lineRule="auto"/>
        <w:rPr>
          <w:rFonts w:ascii="Gautami" w:hAnsi="Gautami" w:cs="Gautami"/>
        </w:rPr>
      </w:pPr>
      <w:r>
        <w:rPr>
          <w:rFonts w:ascii="Gautami" w:hAnsi="Gautami" w:cs="Gautami"/>
        </w:rPr>
        <w:tab/>
        <w:t xml:space="preserve">To begin, in her chapter of </w:t>
      </w:r>
      <w:r>
        <w:rPr>
          <w:rFonts w:ascii="Gautami" w:hAnsi="Gautami" w:cs="Gautami"/>
          <w:i/>
        </w:rPr>
        <w:t>Feeling Things: Objects and Emotions Through History</w:t>
      </w:r>
      <w:r>
        <w:rPr>
          <w:rFonts w:ascii="Gautami" w:hAnsi="Gautami" w:cs="Gautami"/>
        </w:rPr>
        <w:t xml:space="preserve">, Elina </w:t>
      </w:r>
      <w:proofErr w:type="spellStart"/>
      <w:r>
        <w:rPr>
          <w:rFonts w:ascii="Gautami" w:hAnsi="Gautami" w:cs="Gautami"/>
        </w:rPr>
        <w:t>Gertsman</w:t>
      </w:r>
      <w:proofErr w:type="spellEnd"/>
      <w:r>
        <w:rPr>
          <w:rFonts w:ascii="Gautami" w:hAnsi="Gautami" w:cs="Gautami"/>
        </w:rPr>
        <w:t xml:space="preserve"> gives the example of Hugh of Lincoln’s theft of the arm relic of Mary Magdalene as her central argument for the emotional and spiritual connections one may have with the relics of saints. </w:t>
      </w:r>
      <w:r>
        <w:rPr>
          <w:rFonts w:ascii="Gautami" w:hAnsi="Gautami" w:cs="Gautami"/>
        </w:rPr>
        <w:tab/>
        <w:t xml:space="preserve">She provides context of the anecdote, and suggests that Hugh was compelled to bite off fragments of the bone as he had “undoubtedly inhaled the odour” and thus was unable to resist chewing off a fragment to keep for his own personal veneration. Although the “reactions were polarized”, many historians, including </w:t>
      </w:r>
      <w:proofErr w:type="spellStart"/>
      <w:r>
        <w:rPr>
          <w:rFonts w:ascii="Gautami" w:hAnsi="Gautami" w:cs="Gautami"/>
        </w:rPr>
        <w:t>Gertsman</w:t>
      </w:r>
      <w:proofErr w:type="spellEnd"/>
      <w:r>
        <w:rPr>
          <w:rFonts w:ascii="Gautami" w:hAnsi="Gautami" w:cs="Gautami"/>
        </w:rPr>
        <w:t xml:space="preserve"> seem to be forgiving of Hugh’s actions.</w:t>
      </w:r>
      <w:r>
        <w:rPr>
          <w:rStyle w:val="FootnoteReference"/>
          <w:rFonts w:ascii="Gautami" w:hAnsi="Gautami" w:cs="Gautami"/>
        </w:rPr>
        <w:footnoteReference w:id="15"/>
      </w:r>
      <w:r>
        <w:rPr>
          <w:rFonts w:ascii="Gautami" w:hAnsi="Gautami" w:cs="Gautami"/>
        </w:rPr>
        <w:t xml:space="preserve"> Christine Quigley, for example, compares St Hugh to the relic-hunters that were so common during the Middle Ages, implying that genuine relics were difficult to come by, and that therefore Hugh’s actions could be excused</w:t>
      </w:r>
      <w:r w:rsidRPr="009B06E1">
        <w:rPr>
          <w:rFonts w:ascii="Gautami" w:hAnsi="Gautami" w:cs="Gautami"/>
        </w:rPr>
        <w:t>.</w:t>
      </w:r>
      <w:r>
        <w:rPr>
          <w:rStyle w:val="FootnoteReference"/>
          <w:rFonts w:ascii="Gautami" w:hAnsi="Gautami" w:cs="Gautami"/>
        </w:rPr>
        <w:footnoteReference w:id="16"/>
      </w:r>
      <w:r w:rsidRPr="009B06E1">
        <w:rPr>
          <w:rFonts w:ascii="Gautami" w:hAnsi="Gautami" w:cs="Gautami"/>
        </w:rPr>
        <w:t xml:space="preserve"> </w:t>
      </w:r>
      <w:proofErr w:type="spellStart"/>
      <w:r>
        <w:rPr>
          <w:rFonts w:ascii="Gautami" w:hAnsi="Gautami" w:cs="Gautami"/>
        </w:rPr>
        <w:t>Gertsman</w:t>
      </w:r>
      <w:proofErr w:type="spellEnd"/>
      <w:r>
        <w:rPr>
          <w:rFonts w:ascii="Gautami" w:hAnsi="Gautami" w:cs="Gautami"/>
        </w:rPr>
        <w:t xml:space="preserve"> asserts that Hugh was encouraged to bite the relic through “anticipation and curiosity”, and suggests that his actions were little more than an “emotional encounter” and intense devotion. This devotional lifestyle was indeed one of the reasons for Hugh’s canonisation in 1220, as mentioned previously in this study. </w:t>
      </w:r>
    </w:p>
    <w:p w:rsidR="0007460E" w:rsidRDefault="0007460E" w:rsidP="00F00F77">
      <w:pPr>
        <w:tabs>
          <w:tab w:val="left" w:pos="720"/>
          <w:tab w:val="left" w:pos="1440"/>
          <w:tab w:val="left" w:pos="2160"/>
          <w:tab w:val="left" w:pos="2880"/>
          <w:tab w:val="left" w:pos="3600"/>
          <w:tab w:val="left" w:pos="4320"/>
          <w:tab w:val="left" w:pos="5040"/>
          <w:tab w:val="left" w:pos="5760"/>
          <w:tab w:val="left" w:pos="6480"/>
          <w:tab w:val="left" w:pos="7836"/>
        </w:tabs>
        <w:spacing w:line="360" w:lineRule="auto"/>
        <w:rPr>
          <w:rFonts w:ascii="Gautami" w:hAnsi="Gautami" w:cs="Gautami"/>
        </w:rPr>
      </w:pPr>
      <w:r>
        <w:rPr>
          <w:rFonts w:ascii="Gautami" w:hAnsi="Gautami" w:cs="Gautami"/>
        </w:rPr>
        <w:tab/>
      </w:r>
      <w:proofErr w:type="spellStart"/>
      <w:r>
        <w:rPr>
          <w:rFonts w:ascii="Gautami" w:hAnsi="Gautami" w:cs="Gautami"/>
        </w:rPr>
        <w:t>Gertsman</w:t>
      </w:r>
      <w:proofErr w:type="spellEnd"/>
      <w:r>
        <w:rPr>
          <w:rFonts w:ascii="Gautami" w:hAnsi="Gautami" w:cs="Gautami"/>
        </w:rPr>
        <w:t xml:space="preserve"> further reiterates that Hugh’s motivations were a “longing to possess, and […] greed or awe”. Through this convincing argument, </w:t>
      </w:r>
      <w:proofErr w:type="spellStart"/>
      <w:r>
        <w:rPr>
          <w:rFonts w:ascii="Gautami" w:hAnsi="Gautami" w:cs="Gautami"/>
        </w:rPr>
        <w:t>Gertsman</w:t>
      </w:r>
      <w:proofErr w:type="spellEnd"/>
      <w:r>
        <w:rPr>
          <w:rFonts w:ascii="Gautami" w:hAnsi="Gautami" w:cs="Gautami"/>
        </w:rPr>
        <w:t xml:space="preserve"> arguably humanises St Hugh, and makes his actions relatable. This is further supported through the inclusion of Hugh’s own quote, in which he justifies his actions by comparing the theft of the relic to the </w:t>
      </w:r>
      <w:r>
        <w:rPr>
          <w:rFonts w:ascii="Gautami" w:hAnsi="Gautami" w:cs="Gautami"/>
        </w:rPr>
        <w:lastRenderedPageBreak/>
        <w:t>touching of “the body of Christ” with his teeth whilst receiving the Sacrament, something of which his contemporaries would have been able to relate to.</w:t>
      </w:r>
    </w:p>
    <w:p w:rsidR="0007460E" w:rsidRDefault="0007460E" w:rsidP="00F00F77">
      <w:pPr>
        <w:tabs>
          <w:tab w:val="left" w:pos="720"/>
          <w:tab w:val="left" w:pos="1440"/>
          <w:tab w:val="left" w:pos="2160"/>
          <w:tab w:val="left" w:pos="2880"/>
          <w:tab w:val="left" w:pos="3600"/>
          <w:tab w:val="left" w:pos="4320"/>
          <w:tab w:val="left" w:pos="5040"/>
          <w:tab w:val="left" w:pos="5760"/>
          <w:tab w:val="left" w:pos="6480"/>
          <w:tab w:val="left" w:pos="7836"/>
        </w:tabs>
        <w:spacing w:line="360" w:lineRule="auto"/>
        <w:rPr>
          <w:rFonts w:ascii="Gautami" w:hAnsi="Gautami" w:cs="Gautami"/>
        </w:rPr>
      </w:pPr>
      <w:r>
        <w:rPr>
          <w:rFonts w:ascii="Gautami" w:hAnsi="Gautami" w:cs="Gautami"/>
        </w:rPr>
        <w:tab/>
        <w:t xml:space="preserve">Despite the apparent conciliatory approach adopted by these historians, many historians have alternatively been critical of Hugh’s actions. The monks at </w:t>
      </w:r>
      <w:proofErr w:type="spellStart"/>
      <w:r>
        <w:rPr>
          <w:rFonts w:ascii="Gautami" w:hAnsi="Gautami" w:cs="Gautami"/>
        </w:rPr>
        <w:t>F</w:t>
      </w:r>
      <w:r>
        <w:rPr>
          <w:rFonts w:ascii="Georgia" w:hAnsi="Georgia" w:cs="Gautami"/>
        </w:rPr>
        <w:t>é</w:t>
      </w:r>
      <w:r>
        <w:rPr>
          <w:rFonts w:ascii="Gautami" w:hAnsi="Gautami" w:cs="Gautami"/>
        </w:rPr>
        <w:t>camp</w:t>
      </w:r>
      <w:proofErr w:type="spellEnd"/>
      <w:r>
        <w:rPr>
          <w:rFonts w:ascii="Gautami" w:hAnsi="Gautami" w:cs="Gautami"/>
        </w:rPr>
        <w:t xml:space="preserve"> Abbey were understandably “appalled at what they called ‘profanity’”, comparing Hugh to a “common dog”.</w:t>
      </w:r>
      <w:r>
        <w:rPr>
          <w:rStyle w:val="FootnoteReference"/>
          <w:rFonts w:ascii="Gautami" w:hAnsi="Gautami" w:cs="Gautami"/>
        </w:rPr>
        <w:footnoteReference w:id="17"/>
      </w:r>
      <w:r>
        <w:rPr>
          <w:rFonts w:ascii="Gautami" w:hAnsi="Gautami" w:cs="Gautami"/>
        </w:rPr>
        <w:t xml:space="preserve"> Janet Burton adopts a critical stance towards St Hugh in </w:t>
      </w:r>
      <w:r>
        <w:rPr>
          <w:rFonts w:ascii="Gautami" w:hAnsi="Gautami" w:cs="Gautami"/>
          <w:i/>
        </w:rPr>
        <w:t>All Fingers, No Thumbs: The Materiality of a Medieval Relic</w:t>
      </w:r>
      <w:r>
        <w:rPr>
          <w:rFonts w:ascii="Gautami" w:hAnsi="Gautami" w:cs="Gautami"/>
        </w:rPr>
        <w:t>, arguing that he is unworthy of the “epithet ‘saintly’ due to this sanctimonious act.</w:t>
      </w:r>
      <w:r>
        <w:rPr>
          <w:rStyle w:val="FootnoteReference"/>
          <w:rFonts w:ascii="Gautami" w:hAnsi="Gautami" w:cs="Gautami"/>
        </w:rPr>
        <w:footnoteReference w:id="18"/>
      </w:r>
      <w:r>
        <w:rPr>
          <w:rFonts w:ascii="Gautami" w:hAnsi="Gautami" w:cs="Gautami"/>
        </w:rPr>
        <w:t xml:space="preserve"> The fact that Hugh had previously attempted to “break off a finger with his hands”, suggests that he was desperate for his own relic to establish a cult of his own.</w:t>
      </w:r>
      <w:r>
        <w:rPr>
          <w:rStyle w:val="FootnoteReference"/>
          <w:rFonts w:ascii="Gautami" w:hAnsi="Gautami" w:cs="Gautami"/>
        </w:rPr>
        <w:footnoteReference w:id="19"/>
      </w:r>
      <w:r>
        <w:rPr>
          <w:rFonts w:ascii="Gautami" w:hAnsi="Gautami" w:cs="Gautami"/>
        </w:rPr>
        <w:t xml:space="preserve"> </w:t>
      </w:r>
    </w:p>
    <w:p w:rsidR="0007460E" w:rsidRDefault="0007460E" w:rsidP="00F00F77">
      <w:pPr>
        <w:tabs>
          <w:tab w:val="left" w:pos="720"/>
          <w:tab w:val="left" w:pos="1440"/>
          <w:tab w:val="left" w:pos="2160"/>
          <w:tab w:val="left" w:pos="2880"/>
          <w:tab w:val="left" w:pos="3600"/>
          <w:tab w:val="left" w:pos="4320"/>
          <w:tab w:val="left" w:pos="5040"/>
          <w:tab w:val="left" w:pos="5760"/>
          <w:tab w:val="left" w:pos="6480"/>
          <w:tab w:val="left" w:pos="7836"/>
        </w:tabs>
        <w:spacing w:line="360" w:lineRule="auto"/>
        <w:rPr>
          <w:rFonts w:ascii="Gautami" w:hAnsi="Gautami" w:cs="Gautami"/>
        </w:rPr>
      </w:pPr>
      <w:r>
        <w:rPr>
          <w:rFonts w:ascii="Gautami" w:hAnsi="Gautami" w:cs="Gautami"/>
        </w:rPr>
        <w:tab/>
        <w:t xml:space="preserve">During the research process, it was interesting to note that many historians adopt varying opinions of St Hugh, rather surprisingly for a saint who was meant to live an exemplary life. Aside from the theft of the fragmentary relics of Mary Magdalene, St Hugh was also criticised for using lepers as a way to gain public favour.  Herbert Thurston, for example, argued that it was a strange “coincidence </w:t>
      </w:r>
      <w:r w:rsidRPr="005D3DE2">
        <w:rPr>
          <w:rFonts w:ascii="Gautami" w:hAnsi="Gautami" w:cs="Gautami"/>
        </w:rPr>
        <w:t>that wherever St. Hugh went he seems always to have had lepers within reach</w:t>
      </w:r>
      <w:r>
        <w:rPr>
          <w:rFonts w:ascii="Gautami" w:hAnsi="Gautami" w:cs="Gautami"/>
        </w:rPr>
        <w:t>”, even establishing a hospital dedicated to leprosy in the rural Witham, suggesting that Hugh wished to be perceived as dedicated to the sick in order to appear more saint-like.</w:t>
      </w:r>
      <w:r>
        <w:rPr>
          <w:rStyle w:val="FootnoteReference"/>
          <w:rFonts w:ascii="Gautami" w:hAnsi="Gautami" w:cs="Gautami"/>
        </w:rPr>
        <w:footnoteReference w:id="20"/>
      </w:r>
      <w:r>
        <w:rPr>
          <w:rFonts w:ascii="Gautami" w:hAnsi="Gautami" w:cs="Gautami"/>
        </w:rPr>
        <w:t xml:space="preserve"> Richard Morgan Loomis supports this argument, suggesting that Hugh’s devotion to lepers was to appear as though “he had done something great”.</w:t>
      </w:r>
      <w:r>
        <w:rPr>
          <w:rStyle w:val="FootnoteReference"/>
          <w:rFonts w:ascii="Gautami" w:hAnsi="Gautami" w:cs="Gautami"/>
        </w:rPr>
        <w:footnoteReference w:id="21"/>
      </w:r>
      <w:r>
        <w:rPr>
          <w:rFonts w:ascii="Gautami" w:hAnsi="Gautami" w:cs="Gautami"/>
        </w:rPr>
        <w:t xml:space="preserve"> Loomis also suggests that the ‘lepers’ were instead sufferers of “lupus or skin cancer”, thus making Hugh’s lack of fear at contracting leprosy appear less impressive.</w:t>
      </w:r>
      <w:r>
        <w:rPr>
          <w:rStyle w:val="FootnoteReference"/>
          <w:rFonts w:ascii="Gautami" w:hAnsi="Gautami" w:cs="Gautami"/>
        </w:rPr>
        <w:footnoteReference w:id="22"/>
      </w:r>
    </w:p>
    <w:p w:rsidR="0007460E" w:rsidRPr="00750323" w:rsidRDefault="0007460E" w:rsidP="00F00F77">
      <w:pPr>
        <w:tabs>
          <w:tab w:val="left" w:pos="720"/>
          <w:tab w:val="left" w:pos="1440"/>
          <w:tab w:val="left" w:pos="2160"/>
          <w:tab w:val="left" w:pos="2880"/>
          <w:tab w:val="left" w:pos="3600"/>
          <w:tab w:val="left" w:pos="4320"/>
          <w:tab w:val="left" w:pos="5040"/>
          <w:tab w:val="left" w:pos="5760"/>
          <w:tab w:val="left" w:pos="6480"/>
          <w:tab w:val="left" w:pos="7836"/>
        </w:tabs>
        <w:spacing w:line="360" w:lineRule="auto"/>
        <w:rPr>
          <w:rFonts w:ascii="Gautami" w:hAnsi="Gautami" w:cs="Gautami"/>
        </w:rPr>
      </w:pPr>
      <w:r>
        <w:rPr>
          <w:rFonts w:ascii="Gautami" w:hAnsi="Gautami" w:cs="Gautami"/>
        </w:rPr>
        <w:tab/>
        <w:t xml:space="preserve">Despite this, St Hugh’s love of the sick is written about in many historiographical sources. The second source that I will summarise is Carole Rawcliffe’s sections about St Hugh in </w:t>
      </w:r>
      <w:r>
        <w:rPr>
          <w:rFonts w:ascii="Gautami" w:hAnsi="Gautami" w:cs="Gautami"/>
          <w:i/>
        </w:rPr>
        <w:t>Medicine in the Medieval World</w:t>
      </w:r>
      <w:r>
        <w:rPr>
          <w:rFonts w:ascii="Gautami" w:hAnsi="Gautami" w:cs="Gautami"/>
        </w:rPr>
        <w:t>.  To begin, Rawcliffe provides a short account</w:t>
      </w:r>
      <w:r w:rsidRPr="00D25FF7">
        <w:rPr>
          <w:rFonts w:ascii="Gautami" w:hAnsi="Gautami" w:cs="Gautami"/>
        </w:rPr>
        <w:t xml:space="preserve"> from Adam of </w:t>
      </w:r>
      <w:proofErr w:type="spellStart"/>
      <w:r w:rsidRPr="00D25FF7">
        <w:rPr>
          <w:rFonts w:ascii="Gautami" w:hAnsi="Gautami" w:cs="Gautami"/>
        </w:rPr>
        <w:t>Eynsham’s</w:t>
      </w:r>
      <w:proofErr w:type="spellEnd"/>
      <w:r w:rsidRPr="00D25FF7">
        <w:rPr>
          <w:rFonts w:ascii="Gautami" w:hAnsi="Gautami" w:cs="Gautami"/>
        </w:rPr>
        <w:t xml:space="preserve"> </w:t>
      </w:r>
      <w:r w:rsidRPr="00D25FF7">
        <w:rPr>
          <w:rFonts w:ascii="Gautami" w:hAnsi="Gautami" w:cs="Gautami"/>
          <w:i/>
        </w:rPr>
        <w:t xml:space="preserve">Sancta Vita S </w:t>
      </w:r>
      <w:proofErr w:type="spellStart"/>
      <w:r w:rsidRPr="00D25FF7">
        <w:rPr>
          <w:rFonts w:ascii="Gautami" w:hAnsi="Gautami" w:cs="Gautami"/>
          <w:i/>
        </w:rPr>
        <w:t>Hugonis</w:t>
      </w:r>
      <w:proofErr w:type="spellEnd"/>
      <w:r>
        <w:rPr>
          <w:rFonts w:ascii="Gautami" w:hAnsi="Gautami" w:cs="Gautami"/>
        </w:rPr>
        <w:t xml:space="preserve">, in which St Hugh comes across a leper restrained by his hands and feet to a post. Whilst other bishops had ridden past in fear of the “terrible demon”, Rawcliffe concludes that Hugh had “felt no such fear in the presence of </w:t>
      </w:r>
      <w:r>
        <w:rPr>
          <w:rFonts w:ascii="Gautami" w:hAnsi="Gautami" w:cs="Gautami"/>
        </w:rPr>
        <w:lastRenderedPageBreak/>
        <w:t>evil” and assisted the leper, a testament of his spiritual strength</w:t>
      </w:r>
      <w:r w:rsidR="004A1DAB">
        <w:rPr>
          <w:rFonts w:ascii="Gautami" w:hAnsi="Gautami" w:cs="Gautami"/>
        </w:rPr>
        <w:t>.</w:t>
      </w:r>
      <w:r w:rsidR="00A75408">
        <w:rPr>
          <w:rStyle w:val="FootnoteReference"/>
          <w:rFonts w:ascii="Gautami" w:hAnsi="Gautami" w:cs="Gautami"/>
        </w:rPr>
        <w:footnoteReference w:id="23"/>
      </w:r>
      <w:r>
        <w:rPr>
          <w:rFonts w:ascii="Gautami" w:hAnsi="Gautami" w:cs="Gautami"/>
        </w:rPr>
        <w:t xml:space="preserve"> This quote also suggests that Hugh was showing saintly qualities even before his canonisation. Rawcliffe makes reference to the medieval belief that “only [the] supernatural help would cure” leprosy, thus implying that even during his lifetime, St Hugh was considered supernatural. Indeed, it is important to remember that St Hugh is patron of the sick, and as such it is through hagiographies such as the </w:t>
      </w:r>
      <w:r>
        <w:rPr>
          <w:rFonts w:ascii="Gautami" w:hAnsi="Gautami" w:cs="Gautami"/>
          <w:i/>
        </w:rPr>
        <w:t xml:space="preserve">Sancta Vita S </w:t>
      </w:r>
      <w:proofErr w:type="spellStart"/>
      <w:r>
        <w:rPr>
          <w:rFonts w:ascii="Gautami" w:hAnsi="Gautami" w:cs="Gautami"/>
          <w:i/>
        </w:rPr>
        <w:t>Hugonis</w:t>
      </w:r>
      <w:proofErr w:type="spellEnd"/>
      <w:r>
        <w:rPr>
          <w:rFonts w:ascii="Gautami" w:hAnsi="Gautami" w:cs="Gautami"/>
        </w:rPr>
        <w:t xml:space="preserve"> which present Hugh’s loving relationship to the sick. </w:t>
      </w:r>
    </w:p>
    <w:p w:rsidR="0007460E" w:rsidRDefault="0007460E" w:rsidP="00F00F77">
      <w:pPr>
        <w:spacing w:line="360" w:lineRule="auto"/>
        <w:rPr>
          <w:rFonts w:ascii="Gautami" w:hAnsi="Gautami" w:cs="Gautami"/>
        </w:rPr>
      </w:pPr>
      <w:r>
        <w:rPr>
          <w:rFonts w:ascii="Gautami" w:hAnsi="Gautami" w:cs="Gautami"/>
        </w:rPr>
        <w:tab/>
      </w:r>
      <w:r w:rsidRPr="00717AB0">
        <w:rPr>
          <w:rFonts w:ascii="Gautami" w:hAnsi="Gautami" w:cs="Gautami"/>
        </w:rPr>
        <w:t>Rawcliffe on the whole pres</w:t>
      </w:r>
      <w:r>
        <w:rPr>
          <w:rFonts w:ascii="Gautami" w:hAnsi="Gautami" w:cs="Gautami"/>
        </w:rPr>
        <w:t>ents St Hugh in a positive manner, and appears</w:t>
      </w:r>
      <w:r w:rsidRPr="00717AB0">
        <w:rPr>
          <w:rFonts w:ascii="Gautami" w:hAnsi="Gautami" w:cs="Gautami"/>
        </w:rPr>
        <w:t xml:space="preserve"> convinced by his good deeds. </w:t>
      </w:r>
      <w:r>
        <w:rPr>
          <w:rFonts w:ascii="Gautami" w:hAnsi="Gautami" w:cs="Gautami"/>
        </w:rPr>
        <w:t>However, further in the book Rawcliffe</w:t>
      </w:r>
      <w:r w:rsidRPr="00717AB0">
        <w:rPr>
          <w:rFonts w:ascii="Gautami" w:hAnsi="Gautami" w:cs="Gautami"/>
        </w:rPr>
        <w:t xml:space="preserve"> makes reference to St Hugh again, and criticises his protection of the lepers, posing the argument that he was not as revolutionary as one may think. Indeed, Rawcliffe compares St Hugh to other medieval figures such as Margery Kempe, who carried out the care of lepers “as an act of Christian humility”, </w:t>
      </w:r>
      <w:r>
        <w:rPr>
          <w:rFonts w:ascii="Gautami" w:hAnsi="Gautami" w:cs="Gautami"/>
        </w:rPr>
        <w:t>and from genuine</w:t>
      </w:r>
      <w:r w:rsidRPr="00717AB0">
        <w:rPr>
          <w:rFonts w:ascii="Gautami" w:hAnsi="Gautami" w:cs="Gautami"/>
        </w:rPr>
        <w:t xml:space="preserve"> sympathy. </w:t>
      </w:r>
      <w:r>
        <w:rPr>
          <w:rFonts w:ascii="Gautami" w:hAnsi="Gautami" w:cs="Gautami"/>
        </w:rPr>
        <w:t xml:space="preserve">It would seem therefore, that Rawcliffe is suggesting that whilst Hugh was carrying out good deeds, he was simply following the wishes of the Church. Rawcliffe additionally gives the example of overtly pious women purposefully contracted leprosy in order to experience suffering to “identify with the crucified Christ”, once again implying that St Hugh’s lack of fear at contracting the disease was not overly inspirational. Alternatively, one may argue that Hugh was the catalyst for the protection of lepers, and that he was acting upon his own exemplary Christian morals. </w:t>
      </w:r>
    </w:p>
    <w:p w:rsidR="0007460E" w:rsidRPr="00CA2BFA" w:rsidRDefault="0007460E" w:rsidP="00F00F77">
      <w:pPr>
        <w:spacing w:line="360" w:lineRule="auto"/>
        <w:rPr>
          <w:rFonts w:ascii="Gautami" w:hAnsi="Gautami" w:cs="Gautami"/>
        </w:rPr>
      </w:pPr>
      <w:r>
        <w:rPr>
          <w:rFonts w:ascii="Gautami" w:hAnsi="Gautami" w:cs="Gautami"/>
        </w:rPr>
        <w:tab/>
        <w:t xml:space="preserve">Whilst Rawcliffe does not provide a huge analysis of St Hugh in </w:t>
      </w:r>
      <w:r>
        <w:rPr>
          <w:rFonts w:ascii="Gautami" w:hAnsi="Gautami" w:cs="Gautami"/>
          <w:i/>
        </w:rPr>
        <w:t>Medicine in Medieval England</w:t>
      </w:r>
      <w:r>
        <w:rPr>
          <w:rFonts w:ascii="Gautami" w:hAnsi="Gautami" w:cs="Gautami"/>
        </w:rPr>
        <w:t>, she certainly offers a convincing argument in which one can consider St Hugh’s relationships with the sick from a different perspective. The same can be said about the other historiographical materials mentioned previously in this essay, which are critical of St Hugh’s motivations, and assess the extent of his genuine piety. To conclude, there are many historiographical interpretations of the life of St Hugh, some that revere him as an exemplar Christian and others that suggest that he had ulterior motives. This argument will be discussed in the final part of the essay, in which will evaluate the cult of St Hugh in relation to the themes of healing miracles and genuine spirituality.</w:t>
      </w:r>
    </w:p>
    <w:p w:rsidR="0007460E" w:rsidRDefault="0007460E" w:rsidP="00F00F77">
      <w:pPr>
        <w:spacing w:line="360" w:lineRule="auto"/>
        <w:rPr>
          <w:rFonts w:ascii="Gautami" w:hAnsi="Gautami" w:cs="Gautami"/>
        </w:rPr>
      </w:pPr>
    </w:p>
    <w:p w:rsidR="0007460E" w:rsidRPr="00D25FF7" w:rsidRDefault="0007460E" w:rsidP="00F00F77">
      <w:pPr>
        <w:spacing w:line="360" w:lineRule="auto"/>
        <w:rPr>
          <w:rFonts w:ascii="Gautami" w:hAnsi="Gautami" w:cs="Gautami"/>
        </w:rPr>
      </w:pPr>
      <w:r>
        <w:rPr>
          <w:rFonts w:ascii="Gautami" w:hAnsi="Gautami" w:cs="Gautami"/>
        </w:rPr>
        <w:tab/>
      </w:r>
    </w:p>
    <w:p w:rsidR="00F00F77" w:rsidRDefault="00F00F77" w:rsidP="00F00F77">
      <w:pPr>
        <w:spacing w:line="360" w:lineRule="auto"/>
        <w:rPr>
          <w:rFonts w:ascii="Gautami" w:hAnsi="Gautami" w:cs="Gautami"/>
        </w:rPr>
      </w:pPr>
    </w:p>
    <w:p w:rsidR="00F00F77" w:rsidRDefault="00F00F77" w:rsidP="00F00F77">
      <w:pPr>
        <w:spacing w:line="360" w:lineRule="auto"/>
        <w:rPr>
          <w:rFonts w:ascii="Gautami" w:hAnsi="Gautami" w:cs="Gautami"/>
          <w:b/>
          <w:i/>
          <w:sz w:val="24"/>
          <w:u w:val="single"/>
        </w:rPr>
      </w:pPr>
    </w:p>
    <w:p w:rsidR="00D020AE" w:rsidRPr="00C12A21" w:rsidRDefault="00C12A21" w:rsidP="00F00F77">
      <w:pPr>
        <w:spacing w:line="360" w:lineRule="auto"/>
        <w:rPr>
          <w:rFonts w:ascii="Gautami" w:hAnsi="Gautami" w:cs="Gautami"/>
          <w:b/>
          <w:i/>
          <w:sz w:val="24"/>
          <w:u w:val="single"/>
        </w:rPr>
      </w:pPr>
      <w:r>
        <w:rPr>
          <w:rFonts w:ascii="Gautami" w:hAnsi="Gautami" w:cs="Gautami"/>
          <w:b/>
          <w:i/>
          <w:sz w:val="24"/>
          <w:u w:val="single"/>
        </w:rPr>
        <w:t>Section 4: Themes</w:t>
      </w:r>
    </w:p>
    <w:p w:rsidR="00D020AE" w:rsidRDefault="00D020AE" w:rsidP="00F00F77">
      <w:pPr>
        <w:spacing w:line="360" w:lineRule="auto"/>
        <w:rPr>
          <w:rFonts w:ascii="Gautami" w:hAnsi="Gautami" w:cs="Gautami"/>
          <w:sz w:val="28"/>
          <w:u w:val="single"/>
        </w:rPr>
      </w:pPr>
    </w:p>
    <w:p w:rsidR="009E2218" w:rsidRDefault="009E2218" w:rsidP="00F00F77">
      <w:pPr>
        <w:spacing w:line="360" w:lineRule="auto"/>
        <w:rPr>
          <w:rFonts w:ascii="Gautami" w:hAnsi="Gautami" w:cs="Gautami"/>
        </w:rPr>
      </w:pPr>
      <w:r>
        <w:rPr>
          <w:rFonts w:ascii="Gautami" w:hAnsi="Gautami" w:cs="Gautami"/>
        </w:rPr>
        <w:t>To conclude this study of St Hugh, this essay will</w:t>
      </w:r>
      <w:r w:rsidRPr="00C30317">
        <w:rPr>
          <w:rFonts w:ascii="Gautami" w:hAnsi="Gautami" w:cs="Gautami"/>
        </w:rPr>
        <w:t xml:space="preserve"> examine the cult of St Hugh in relation</w:t>
      </w:r>
      <w:r>
        <w:rPr>
          <w:rFonts w:ascii="Gautami" w:hAnsi="Gautami" w:cs="Gautami"/>
        </w:rPr>
        <w:t xml:space="preserve"> to a number of significant themes, including healing miracles and morality. Additionally, the essay will briefly comment upon the impact St Hugh’s cult had upon the politics and economics of the thirteenth century, as well as the gender attitudes of the time. Finally, this essay shall examine the impact of the </w:t>
      </w:r>
      <w:proofErr w:type="spellStart"/>
      <w:r>
        <w:rPr>
          <w:rFonts w:ascii="Gautami" w:hAnsi="Gautami" w:cs="Gautami"/>
        </w:rPr>
        <w:t>Henrician</w:t>
      </w:r>
      <w:proofErr w:type="spellEnd"/>
      <w:r>
        <w:rPr>
          <w:rFonts w:ascii="Gautami" w:hAnsi="Gautami" w:cs="Gautami"/>
        </w:rPr>
        <w:t xml:space="preserve"> Reformation on the materiality surrounding the cult of St Hugh.</w:t>
      </w:r>
    </w:p>
    <w:p w:rsidR="009E2218" w:rsidRDefault="009E2218" w:rsidP="00F00F77">
      <w:pPr>
        <w:spacing w:line="360" w:lineRule="auto"/>
        <w:rPr>
          <w:rFonts w:ascii="Gautami" w:hAnsi="Gautami" w:cs="Gautami"/>
        </w:rPr>
      </w:pPr>
      <w:r>
        <w:rPr>
          <w:rFonts w:ascii="Gautami" w:hAnsi="Gautami" w:cs="Gautami"/>
        </w:rPr>
        <w:tab/>
        <w:t>To begin, as mentioned previously in this study, the morality of St Hugh has been debated by many historians who consider his love and protection of the sick to simply be a way in which Hugh could improve his image. This quote from Richard Morgan Loomis substantiates this controversial argument, in which criticises Hugh’s motivations to help the sick in order to be perceived as having “</w:t>
      </w:r>
      <w:r w:rsidRPr="0025683B">
        <w:rPr>
          <w:rFonts w:ascii="Gautami" w:hAnsi="Gautami" w:cs="Gautami"/>
        </w:rPr>
        <w:t>done something great</w:t>
      </w:r>
      <w:r>
        <w:rPr>
          <w:rFonts w:ascii="Gautami" w:hAnsi="Gautami" w:cs="Gautami"/>
        </w:rPr>
        <w:t>”.</w:t>
      </w:r>
      <w:r>
        <w:rPr>
          <w:rStyle w:val="FootnoteReference"/>
          <w:rFonts w:ascii="Gautami" w:hAnsi="Gautami" w:cs="Gautami"/>
        </w:rPr>
        <w:footnoteReference w:id="24"/>
      </w:r>
      <w:r>
        <w:rPr>
          <w:rFonts w:ascii="Gautami" w:hAnsi="Gautami" w:cs="Gautami"/>
        </w:rPr>
        <w:t xml:space="preserve"> Additionally, Hugh’s morality has also been questioned due to his theft of fragments of the arm-bone relics of Mary Magdalene. Janet Burton’s criticisms, as previously mentioned in this study, are useful in perceiving St Hugh from an alternative perspective. Burton’s comments, that he is unworthy of the epithet of ‘saintly’, presents St Hugh as an immoral and sanctimonious figure rather than the model of piety that he is usually depicted as.</w:t>
      </w:r>
      <w:r>
        <w:rPr>
          <w:rStyle w:val="FootnoteReference"/>
          <w:rFonts w:ascii="Gautami" w:hAnsi="Gautami" w:cs="Gautami"/>
        </w:rPr>
        <w:footnoteReference w:id="25"/>
      </w:r>
      <w:r>
        <w:rPr>
          <w:rFonts w:ascii="Gautami" w:hAnsi="Gautami" w:cs="Gautami"/>
        </w:rPr>
        <w:t xml:space="preserve"> As such, an historian must consider the cult of St Hugh in relation to the themes of sin and morality, as it broadens our understanding of the saint and his motivations. </w:t>
      </w:r>
    </w:p>
    <w:p w:rsidR="009E2218" w:rsidRDefault="009E2218" w:rsidP="00F00F77">
      <w:pPr>
        <w:spacing w:line="360" w:lineRule="auto"/>
        <w:rPr>
          <w:rFonts w:ascii="Gautami" w:hAnsi="Gautami" w:cs="Gautami"/>
        </w:rPr>
      </w:pPr>
      <w:r>
        <w:rPr>
          <w:rFonts w:ascii="Gautami" w:hAnsi="Gautami" w:cs="Gautami"/>
        </w:rPr>
        <w:tab/>
        <w:t xml:space="preserve">Despite these criticisms, much evidence exists that validates Hugh’s status as saint. </w:t>
      </w:r>
      <w:r w:rsidRPr="008A2839">
        <w:rPr>
          <w:rFonts w:ascii="Gautami" w:hAnsi="Gautami" w:cs="Gautami"/>
        </w:rPr>
        <w:t xml:space="preserve">The </w:t>
      </w:r>
      <w:r w:rsidRPr="003642DF">
        <w:rPr>
          <w:rFonts w:ascii="Gautami" w:hAnsi="Gautami" w:cs="Gautami"/>
          <w:i/>
        </w:rPr>
        <w:t>Peterborough Chronicle of 1137</w:t>
      </w:r>
      <w:r w:rsidRPr="008A2839">
        <w:rPr>
          <w:rFonts w:ascii="Gautami" w:hAnsi="Gautami" w:cs="Gautami"/>
        </w:rPr>
        <w:t xml:space="preserve"> tells us that on the feast day of St Faith, the tom</w:t>
      </w:r>
      <w:r>
        <w:rPr>
          <w:rFonts w:ascii="Gautami" w:hAnsi="Gautami" w:cs="Gautami"/>
        </w:rPr>
        <w:t xml:space="preserve">b of St Hugh was opened in the hope that King </w:t>
      </w:r>
      <w:r w:rsidRPr="008A2839">
        <w:rPr>
          <w:rFonts w:ascii="Gautami" w:hAnsi="Gautami" w:cs="Gautami"/>
        </w:rPr>
        <w:t>Edward I and his family</w:t>
      </w:r>
      <w:r>
        <w:rPr>
          <w:rFonts w:ascii="Gautami" w:hAnsi="Gautami" w:cs="Gautami"/>
        </w:rPr>
        <w:t xml:space="preserve"> would receive intercession of behalf of St Hugh. Inside the tomb </w:t>
      </w:r>
      <w:r w:rsidRPr="008A2839">
        <w:rPr>
          <w:rFonts w:ascii="Gautami" w:hAnsi="Gautami" w:cs="Gautami"/>
        </w:rPr>
        <w:t>was recorded that a large quantity of</w:t>
      </w:r>
      <w:r>
        <w:rPr>
          <w:rFonts w:ascii="Gautami" w:hAnsi="Gautami" w:cs="Gautami"/>
        </w:rPr>
        <w:t xml:space="preserve"> holy</w:t>
      </w:r>
      <w:r w:rsidRPr="008A2839">
        <w:rPr>
          <w:rFonts w:ascii="Gautami" w:hAnsi="Gautami" w:cs="Gautami"/>
        </w:rPr>
        <w:t xml:space="preserve"> oil was discovered, </w:t>
      </w:r>
      <w:r>
        <w:rPr>
          <w:rFonts w:ascii="Gautami" w:hAnsi="Gautami" w:cs="Gautami"/>
        </w:rPr>
        <w:t>and that “many miracles” occurred, yet they are not specified.</w:t>
      </w:r>
      <w:r>
        <w:rPr>
          <w:rStyle w:val="FootnoteReference"/>
          <w:rFonts w:ascii="Gautami" w:hAnsi="Gautami" w:cs="Gautami"/>
        </w:rPr>
        <w:footnoteReference w:id="26"/>
      </w:r>
      <w:r>
        <w:rPr>
          <w:rFonts w:ascii="Gautami" w:hAnsi="Gautami" w:cs="Gautami"/>
        </w:rPr>
        <w:t xml:space="preserve"> However, one can presume that this holy oil was thought to miraculously heal the sick, as was common </w:t>
      </w:r>
      <w:r>
        <w:rPr>
          <w:rFonts w:ascii="Gautami" w:hAnsi="Gautami" w:cs="Gautami"/>
        </w:rPr>
        <w:lastRenderedPageBreak/>
        <w:t>with oils and other liquids found in the tombs of saints.</w:t>
      </w:r>
      <w:r>
        <w:rPr>
          <w:rStyle w:val="FootnoteReference"/>
          <w:rFonts w:ascii="Gautami" w:hAnsi="Gautami" w:cs="Gautami"/>
        </w:rPr>
        <w:footnoteReference w:id="27"/>
      </w:r>
      <w:r>
        <w:rPr>
          <w:rFonts w:ascii="Gautami" w:hAnsi="Gautami" w:cs="Gautami"/>
        </w:rPr>
        <w:t xml:space="preserve"> Therefore, there was no question about the validity of St Hugh’s miraculous power to heal the sick, as the oil found in his tomb solidifies his spiritual strength. </w:t>
      </w:r>
    </w:p>
    <w:p w:rsidR="009E2218" w:rsidRDefault="009E2218" w:rsidP="00F00F77">
      <w:pPr>
        <w:spacing w:line="360" w:lineRule="auto"/>
        <w:rPr>
          <w:rFonts w:ascii="Gautami" w:hAnsi="Gautami" w:cs="Gautami"/>
        </w:rPr>
      </w:pPr>
      <w:r>
        <w:rPr>
          <w:rFonts w:ascii="Gautami" w:hAnsi="Gautami" w:cs="Gautami"/>
        </w:rPr>
        <w:tab/>
        <w:t>Similarly, a report of the theft of St Hugh’s skull in 1364 further validates this. After Hugh’s head relic had been stolen by relic-hunters, it was tossed aside and “guarded by a raven” for numerous days until it was retrieved</w:t>
      </w:r>
      <w:r w:rsidRPr="00263AB7">
        <w:rPr>
          <w:rFonts w:ascii="Gautami" w:hAnsi="Gautami" w:cs="Gautami"/>
        </w:rPr>
        <w:t>.</w:t>
      </w:r>
      <w:r>
        <w:rPr>
          <w:rStyle w:val="FootnoteReference"/>
          <w:rFonts w:ascii="Gautami" w:hAnsi="Gautami" w:cs="Gautami"/>
        </w:rPr>
        <w:footnoteReference w:id="28"/>
      </w:r>
      <w:r>
        <w:rPr>
          <w:rFonts w:ascii="Gautami" w:hAnsi="Gautami" w:cs="Gautami"/>
        </w:rPr>
        <w:t xml:space="preserve"> To some, this could be considered as a sign from God. To others, however, it is highly ironic, considering that God had failed to intervene when St Hugh himself had stolen the fragmented relics of Mary Magdalene’s arm bones. However, one could argue whether the supposed relics of Mary Magdalene were even remotely genuine, as five different corpses were claimed to be the saint.</w:t>
      </w:r>
      <w:r>
        <w:rPr>
          <w:rStyle w:val="FootnoteReference"/>
          <w:rFonts w:ascii="Gautami" w:hAnsi="Gautami" w:cs="Gautami"/>
        </w:rPr>
        <w:footnoteReference w:id="29"/>
      </w:r>
      <w:r>
        <w:rPr>
          <w:rFonts w:ascii="Gautami" w:hAnsi="Gautami" w:cs="Gautami"/>
        </w:rPr>
        <w:t xml:space="preserve"> In this case, it could be argued that Hugh’s actions were not as ‘appalling’ as previously considered, and that his motivations could be somewhat justified.</w:t>
      </w:r>
      <w:r>
        <w:rPr>
          <w:rStyle w:val="FootnoteReference"/>
          <w:rFonts w:ascii="Gautami" w:hAnsi="Gautami" w:cs="Gautami"/>
        </w:rPr>
        <w:footnoteReference w:id="30"/>
      </w:r>
      <w:r>
        <w:rPr>
          <w:rFonts w:ascii="Gautami" w:hAnsi="Gautami" w:cs="Gautami"/>
        </w:rPr>
        <w:t xml:space="preserve"> </w:t>
      </w:r>
    </w:p>
    <w:p w:rsidR="009E2218" w:rsidRPr="008C4484" w:rsidRDefault="009E2218" w:rsidP="00F00F77">
      <w:pPr>
        <w:spacing w:line="360" w:lineRule="auto"/>
        <w:rPr>
          <w:rFonts w:ascii="Gautami" w:hAnsi="Gautami" w:cs="Gautami"/>
        </w:rPr>
      </w:pPr>
      <w:r>
        <w:rPr>
          <w:rFonts w:ascii="Gautami" w:hAnsi="Gautami" w:cs="Gautami"/>
        </w:rPr>
        <w:tab/>
        <w:t xml:space="preserve">St Hugh’s love for the sick on the whole seems to be convincing. Adam of </w:t>
      </w:r>
      <w:proofErr w:type="spellStart"/>
      <w:r>
        <w:rPr>
          <w:rFonts w:ascii="Gautami" w:hAnsi="Gautami" w:cs="Gautami"/>
        </w:rPr>
        <w:t>Eynsham’s</w:t>
      </w:r>
      <w:proofErr w:type="spellEnd"/>
      <w:r>
        <w:rPr>
          <w:rFonts w:ascii="Gautami" w:hAnsi="Gautami" w:cs="Gautami"/>
        </w:rPr>
        <w:t xml:space="preserve"> </w:t>
      </w:r>
      <w:r>
        <w:rPr>
          <w:rFonts w:ascii="Gautami" w:hAnsi="Gautami" w:cs="Gautami"/>
          <w:i/>
        </w:rPr>
        <w:t xml:space="preserve">Vita Sancta S. </w:t>
      </w:r>
      <w:proofErr w:type="spellStart"/>
      <w:r>
        <w:rPr>
          <w:rFonts w:ascii="Gautami" w:hAnsi="Gautami" w:cs="Gautami"/>
          <w:i/>
        </w:rPr>
        <w:t>Hugonis</w:t>
      </w:r>
      <w:proofErr w:type="spellEnd"/>
      <w:r>
        <w:rPr>
          <w:rFonts w:ascii="Gautami" w:hAnsi="Gautami" w:cs="Gautami"/>
        </w:rPr>
        <w:t xml:space="preserve"> details Hugh’s frequent visitations to the sick communities, </w:t>
      </w:r>
      <w:r w:rsidRPr="00F35D69">
        <w:rPr>
          <w:rFonts w:ascii="Gautami" w:hAnsi="Gautami" w:cs="Gautami"/>
        </w:rPr>
        <w:t>“</w:t>
      </w:r>
      <w:proofErr w:type="spellStart"/>
      <w:r w:rsidRPr="00F35D69">
        <w:rPr>
          <w:rFonts w:ascii="Gautami" w:hAnsi="Gautami" w:cs="Gautami"/>
        </w:rPr>
        <w:t>frequenrissimus</w:t>
      </w:r>
      <w:proofErr w:type="spellEnd"/>
      <w:r w:rsidRPr="00F35D69">
        <w:rPr>
          <w:rFonts w:ascii="Gautami" w:hAnsi="Gautami" w:cs="Gautami"/>
        </w:rPr>
        <w:t xml:space="preserve"> in </w:t>
      </w:r>
      <w:proofErr w:type="spellStart"/>
      <w:r w:rsidRPr="00F35D69">
        <w:rPr>
          <w:rFonts w:ascii="Gautami" w:hAnsi="Gautami" w:cs="Gautami"/>
        </w:rPr>
        <w:t>visitando</w:t>
      </w:r>
      <w:proofErr w:type="spellEnd"/>
      <w:r w:rsidRPr="00F35D69">
        <w:rPr>
          <w:rFonts w:ascii="Gautami" w:hAnsi="Gautami" w:cs="Gautami"/>
        </w:rPr>
        <w:t xml:space="preserve"> </w:t>
      </w:r>
      <w:proofErr w:type="spellStart"/>
      <w:r w:rsidRPr="00F35D69">
        <w:rPr>
          <w:rFonts w:ascii="Gautami" w:hAnsi="Gautami" w:cs="Gautami"/>
        </w:rPr>
        <w:t>informos</w:t>
      </w:r>
      <w:proofErr w:type="spellEnd"/>
      <w:r w:rsidRPr="00F35D69">
        <w:rPr>
          <w:rFonts w:ascii="Gautami" w:hAnsi="Gautami" w:cs="Gautami"/>
        </w:rPr>
        <w:t xml:space="preserve">, et </w:t>
      </w:r>
      <w:proofErr w:type="spellStart"/>
      <w:r w:rsidRPr="00F35D69">
        <w:rPr>
          <w:rFonts w:ascii="Gautami" w:hAnsi="Gautami" w:cs="Gautami"/>
        </w:rPr>
        <w:t>maxime</w:t>
      </w:r>
      <w:proofErr w:type="spellEnd"/>
      <w:r w:rsidRPr="00F35D69">
        <w:rPr>
          <w:rFonts w:ascii="Gautami" w:hAnsi="Gautami" w:cs="Gautami"/>
        </w:rPr>
        <w:t xml:space="preserve"> </w:t>
      </w:r>
      <w:proofErr w:type="spellStart"/>
      <w:r w:rsidRPr="00F35D69">
        <w:rPr>
          <w:rFonts w:ascii="Gautami" w:hAnsi="Gautami" w:cs="Gautami"/>
        </w:rPr>
        <w:t>leprosos</w:t>
      </w:r>
      <w:proofErr w:type="spellEnd"/>
      <w:r w:rsidRPr="00F35D69">
        <w:rPr>
          <w:rFonts w:ascii="Gautami" w:hAnsi="Gautami" w:cs="Gautami"/>
        </w:rPr>
        <w:t>”</w:t>
      </w:r>
      <w:r>
        <w:rPr>
          <w:rFonts w:ascii="Gautami" w:hAnsi="Gautami" w:cs="Gautami"/>
        </w:rPr>
        <w:t xml:space="preserve"> as well as his establishment of hospitals dedicated entirely to lepers</w:t>
      </w:r>
      <w:r>
        <w:rPr>
          <w:rStyle w:val="FootnoteReference"/>
          <w:rFonts w:ascii="Gautami" w:hAnsi="Gautami" w:cs="Gautami"/>
        </w:rPr>
        <w:footnoteReference w:id="31"/>
      </w:r>
      <w:r>
        <w:rPr>
          <w:rFonts w:ascii="Gautami" w:hAnsi="Gautami" w:cs="Gautami"/>
        </w:rPr>
        <w:t>. An extract from the vita tells us that St Hugh would kiss lepers without fear of contracting the disease, indicating his faith in God.</w:t>
      </w:r>
      <w:r>
        <w:rPr>
          <w:rStyle w:val="FootnoteReference"/>
          <w:rFonts w:ascii="Gautami" w:hAnsi="Gautami" w:cs="Gautami"/>
        </w:rPr>
        <w:footnoteReference w:id="32"/>
      </w:r>
      <w:r>
        <w:rPr>
          <w:rFonts w:ascii="Gautami" w:hAnsi="Gautami" w:cs="Gautami"/>
        </w:rPr>
        <w:t xml:space="preserve"> His genuine intentions were further consolidated by Hugh’s own quote, in which he reportedly said that the kiss of a leper “heals my sick soul”.</w:t>
      </w:r>
      <w:r>
        <w:rPr>
          <w:rStyle w:val="FootnoteReference"/>
          <w:rFonts w:ascii="Gautami" w:hAnsi="Gautami" w:cs="Gautami"/>
        </w:rPr>
        <w:footnoteReference w:id="33"/>
      </w:r>
      <w:r>
        <w:rPr>
          <w:rFonts w:ascii="Gautami" w:hAnsi="Gautami" w:cs="Gautami"/>
        </w:rPr>
        <w:t xml:space="preserve"> Whilst this has been criticised earlier in this study with the comparison of Hugh to overly-pious women intentionally contracting leprosy, it should be noted that Hugh was actively unafraid to kiss the lepers. Whilst St Martin had cured the lepers of their disease with his kisses, arguably he was motivated to do so to showcase his supernatural abilities.</w:t>
      </w:r>
      <w:r>
        <w:rPr>
          <w:rStyle w:val="FootnoteReference"/>
          <w:rFonts w:ascii="Gautami" w:hAnsi="Gautami" w:cs="Gautami"/>
        </w:rPr>
        <w:footnoteReference w:id="34"/>
      </w:r>
      <w:r>
        <w:rPr>
          <w:rFonts w:ascii="Gautami" w:hAnsi="Gautami" w:cs="Gautami"/>
        </w:rPr>
        <w:t xml:space="preserve"> Hugh, on the other hand, was motivated to kiss the lepers for the salvation of his own soul. </w:t>
      </w:r>
    </w:p>
    <w:p w:rsidR="009E2218" w:rsidRDefault="009E2218" w:rsidP="00F00F77">
      <w:pPr>
        <w:spacing w:line="360" w:lineRule="auto"/>
        <w:rPr>
          <w:rFonts w:ascii="Gautami" w:hAnsi="Gautami" w:cs="Gautami"/>
        </w:rPr>
      </w:pPr>
      <w:r>
        <w:rPr>
          <w:rFonts w:ascii="Gautami" w:hAnsi="Gautami" w:cs="Gautami"/>
        </w:rPr>
        <w:tab/>
        <w:t xml:space="preserve">Antonia </w:t>
      </w:r>
      <w:proofErr w:type="spellStart"/>
      <w:r>
        <w:rPr>
          <w:rFonts w:ascii="Gautami" w:hAnsi="Gautami" w:cs="Gautami"/>
        </w:rPr>
        <w:t>Gransden</w:t>
      </w:r>
      <w:proofErr w:type="spellEnd"/>
      <w:r>
        <w:rPr>
          <w:rFonts w:ascii="Gautami" w:hAnsi="Gautami" w:cs="Gautami"/>
        </w:rPr>
        <w:t xml:space="preserve"> argues the point that however genuine the miracles of St Hugh, his cult was never intended to be as widespread as other saints such as that of Thomas Becket. Although hagiographies of both Becket and St Hugh were written by the same </w:t>
      </w:r>
      <w:r>
        <w:rPr>
          <w:rFonts w:ascii="Gautami" w:hAnsi="Gautami" w:cs="Gautami"/>
        </w:rPr>
        <w:lastRenderedPageBreak/>
        <w:t xml:space="preserve">author Adam of </w:t>
      </w:r>
      <w:proofErr w:type="spellStart"/>
      <w:r>
        <w:rPr>
          <w:rFonts w:ascii="Gautami" w:hAnsi="Gautami" w:cs="Gautami"/>
        </w:rPr>
        <w:t>Eynsham</w:t>
      </w:r>
      <w:proofErr w:type="spellEnd"/>
      <w:r>
        <w:rPr>
          <w:rFonts w:ascii="Gautami" w:hAnsi="Gautami" w:cs="Gautami"/>
        </w:rPr>
        <w:t xml:space="preserve">, </w:t>
      </w:r>
      <w:proofErr w:type="spellStart"/>
      <w:r>
        <w:rPr>
          <w:rFonts w:ascii="Gautami" w:hAnsi="Gautami" w:cs="Gautami"/>
        </w:rPr>
        <w:t>Gransden</w:t>
      </w:r>
      <w:proofErr w:type="spellEnd"/>
      <w:r>
        <w:rPr>
          <w:rFonts w:ascii="Gautami" w:hAnsi="Gautami" w:cs="Gautami"/>
        </w:rPr>
        <w:t xml:space="preserve"> argues that the biography of St Hugh was written solely for the “small community at Witham”, rather than to “promote a cult of European fame”, as Becket’s biography was intended.</w:t>
      </w:r>
      <w:r>
        <w:rPr>
          <w:rStyle w:val="FootnoteReference"/>
          <w:rFonts w:ascii="Gautami" w:hAnsi="Gautami" w:cs="Gautami"/>
        </w:rPr>
        <w:footnoteReference w:id="35"/>
      </w:r>
      <w:r>
        <w:rPr>
          <w:rFonts w:ascii="Gautami" w:hAnsi="Gautami" w:cs="Gautami"/>
        </w:rPr>
        <w:t xml:space="preserve"> As such, one could question whether it truly mattered if the miracles performed by St Hugh were genuine or not, as the intended audience was originally a community already arguably sycophantic to St Hugh, and as such needed no convincing of his spiritual power.</w:t>
      </w:r>
      <w:r>
        <w:rPr>
          <w:rStyle w:val="FootnoteReference"/>
          <w:rFonts w:ascii="Gautami" w:hAnsi="Gautami" w:cs="Gautami"/>
        </w:rPr>
        <w:footnoteReference w:id="36"/>
      </w:r>
    </w:p>
    <w:p w:rsidR="00F00F77" w:rsidRDefault="009E2218" w:rsidP="00F00F77">
      <w:pPr>
        <w:spacing w:line="360" w:lineRule="auto"/>
        <w:rPr>
          <w:rFonts w:ascii="Gautami" w:hAnsi="Gautami" w:cs="Gautami"/>
        </w:rPr>
      </w:pPr>
      <w:r>
        <w:rPr>
          <w:rFonts w:ascii="Gautami" w:hAnsi="Gautami" w:cs="Gautami"/>
        </w:rPr>
        <w:tab/>
        <w:t xml:space="preserve">Indeed, the cult of St Hugh was highly popular during the </w:t>
      </w:r>
      <w:proofErr w:type="gramStart"/>
      <w:r>
        <w:rPr>
          <w:rFonts w:ascii="Gautami" w:hAnsi="Gautami" w:cs="Gautami"/>
        </w:rPr>
        <w:t>Middle</w:t>
      </w:r>
      <w:proofErr w:type="gramEnd"/>
      <w:r>
        <w:rPr>
          <w:rFonts w:ascii="Gautami" w:hAnsi="Gautami" w:cs="Gautami"/>
        </w:rPr>
        <w:t xml:space="preserve"> Ages, often comparable to the vast cult of Thomas Becket. A popular saint was essential to the Catholic Church for economic reasons, as the shrines of saints would entice pilgrims to the sites of religious importance. The tomb of St Hugh in Lincoln Cathedral was indeed reported to be a magnificent structure, so much so that during the sacking of Lincoln Cathedral during the </w:t>
      </w:r>
      <w:proofErr w:type="spellStart"/>
      <w:r>
        <w:rPr>
          <w:rFonts w:ascii="Gautami" w:hAnsi="Gautami" w:cs="Gautami"/>
        </w:rPr>
        <w:t>Henrician</w:t>
      </w:r>
      <w:proofErr w:type="spellEnd"/>
      <w:r>
        <w:rPr>
          <w:rFonts w:ascii="Gautami" w:hAnsi="Gautami" w:cs="Gautami"/>
        </w:rPr>
        <w:t xml:space="preserve"> Reformation, it </w:t>
      </w:r>
      <w:r w:rsidRPr="00521C6D">
        <w:rPr>
          <w:rFonts w:ascii="Gautami" w:hAnsi="Gautami" w:cs="Gautami"/>
        </w:rPr>
        <w:t>was reported that “2621 ounces of gold</w:t>
      </w:r>
      <w:r>
        <w:rPr>
          <w:rFonts w:ascii="Gautami" w:hAnsi="Gautami" w:cs="Gautami"/>
        </w:rPr>
        <w:t xml:space="preserve"> </w:t>
      </w:r>
      <w:r w:rsidRPr="00521C6D">
        <w:rPr>
          <w:rFonts w:ascii="Gautami" w:hAnsi="Gautami" w:cs="Gautami"/>
        </w:rPr>
        <w:t>[…] and a great number of pearls and precious stones” was retrieved from the tombs of St Hugh</w:t>
      </w:r>
      <w:r>
        <w:rPr>
          <w:rFonts w:ascii="Gautami" w:hAnsi="Gautami" w:cs="Gautami"/>
        </w:rPr>
        <w:t xml:space="preserve"> and the shrine of John </w:t>
      </w:r>
      <w:proofErr w:type="spellStart"/>
      <w:r>
        <w:rPr>
          <w:rFonts w:ascii="Gautami" w:hAnsi="Gautami" w:cs="Gautami"/>
        </w:rPr>
        <w:t>Dalderby</w:t>
      </w:r>
      <w:proofErr w:type="spellEnd"/>
      <w:r>
        <w:rPr>
          <w:rFonts w:ascii="Gautami" w:hAnsi="Gautami" w:cs="Gautami"/>
        </w:rPr>
        <w:t xml:space="preserve"> alone.</w:t>
      </w:r>
      <w:r>
        <w:rPr>
          <w:rStyle w:val="FootnoteReference"/>
          <w:rFonts w:ascii="Gautami" w:hAnsi="Gautami" w:cs="Gautami"/>
        </w:rPr>
        <w:footnoteReference w:id="37"/>
      </w:r>
      <w:r>
        <w:rPr>
          <w:rFonts w:ascii="Gautami" w:hAnsi="Gautami" w:cs="Gautami"/>
        </w:rPr>
        <w:t xml:space="preserve"> </w:t>
      </w:r>
    </w:p>
    <w:p w:rsidR="009E2218" w:rsidRDefault="00F00F77" w:rsidP="00F00F77">
      <w:pPr>
        <w:spacing w:line="360" w:lineRule="auto"/>
        <w:rPr>
          <w:rFonts w:ascii="Gautami" w:hAnsi="Gautami" w:cs="Gautami"/>
        </w:rPr>
      </w:pPr>
      <w:r>
        <w:rPr>
          <w:rFonts w:ascii="Gautami" w:hAnsi="Gautami" w:cs="Gautami"/>
        </w:rPr>
        <w:tab/>
      </w:r>
      <w:r w:rsidR="009E2218">
        <w:rPr>
          <w:rFonts w:ascii="Gautami" w:hAnsi="Gautami" w:cs="Gautami"/>
        </w:rPr>
        <w:t xml:space="preserve">The tomb of St Hugh was also reported to have circular apertures in order for pilgrims to get closer to St Hugh to receive miracles or intercession. A miraculous report of a </w:t>
      </w:r>
      <w:proofErr w:type="gramStart"/>
      <w:r w:rsidR="009E2218">
        <w:rPr>
          <w:rFonts w:ascii="Gautami" w:hAnsi="Gautami" w:cs="Gautami"/>
        </w:rPr>
        <w:t>woman</w:t>
      </w:r>
      <w:proofErr w:type="gramEnd"/>
      <w:r w:rsidR="009E2218">
        <w:rPr>
          <w:rFonts w:ascii="Gautami" w:hAnsi="Gautami" w:cs="Gautami"/>
        </w:rPr>
        <w:t xml:space="preserve"> who fell asleep in one of these apertures, then seeing St Hugh in a dream, is just one of the miracles that had supposedly occurred at the shrine of the saint.</w:t>
      </w:r>
      <w:r w:rsidR="009E2218">
        <w:rPr>
          <w:rStyle w:val="FootnoteReference"/>
          <w:rFonts w:ascii="Gautami" w:hAnsi="Gautami" w:cs="Gautami"/>
        </w:rPr>
        <w:footnoteReference w:id="38"/>
      </w:r>
      <w:r w:rsidR="009E2218">
        <w:rPr>
          <w:rFonts w:ascii="Gautami" w:hAnsi="Gautami" w:cs="Gautami"/>
        </w:rPr>
        <w:t xml:space="preserve"> Other accounts of miracles occurring at the tomb of St Hugh, including the healing of quinsy of a knight known as ‘R’, certainly consolidates St Hugh’s spiritual power and ability to restore health.</w:t>
      </w:r>
      <w:r w:rsidR="009E2218">
        <w:rPr>
          <w:rStyle w:val="FootnoteReference"/>
          <w:rFonts w:ascii="Gautami" w:hAnsi="Gautami" w:cs="Gautami"/>
        </w:rPr>
        <w:footnoteReference w:id="39"/>
      </w:r>
      <w:r w:rsidR="009E2218">
        <w:rPr>
          <w:rFonts w:ascii="Gautami" w:hAnsi="Gautami" w:cs="Gautami"/>
        </w:rPr>
        <w:t xml:space="preserve"> As such, it is pertinent to suggest that the tomb of St Hugh played a vital role in the economics of Lincoln Cathedral, as it enticed pilgrims to the shrine with its magnificent and ornate decorations, as well as the chance to receive healing miracles.</w:t>
      </w:r>
    </w:p>
    <w:p w:rsidR="009E2218" w:rsidRDefault="009E2218" w:rsidP="00F00F77">
      <w:pPr>
        <w:spacing w:line="360" w:lineRule="auto"/>
        <w:rPr>
          <w:rFonts w:ascii="Gautami" w:hAnsi="Gautami" w:cs="Gautami"/>
        </w:rPr>
      </w:pPr>
      <w:r>
        <w:rPr>
          <w:rFonts w:ascii="Gautami" w:hAnsi="Gautami" w:cs="Gautami"/>
        </w:rPr>
        <w:tab/>
        <w:t xml:space="preserve">However, the golden-gilt shrine of St Hugh would also prove to be problematic, as it was one of the first saint’s tombs in England to be destroyed during the </w:t>
      </w:r>
      <w:proofErr w:type="spellStart"/>
      <w:r>
        <w:rPr>
          <w:rFonts w:ascii="Gautami" w:hAnsi="Gautami" w:cs="Gautami"/>
        </w:rPr>
        <w:t>Henrician</w:t>
      </w:r>
      <w:proofErr w:type="spellEnd"/>
      <w:r>
        <w:rPr>
          <w:rFonts w:ascii="Gautami" w:hAnsi="Gautami" w:cs="Gautami"/>
        </w:rPr>
        <w:t xml:space="preserve"> Reformation, presumably due to the popularity of the cult of St Hugh. Under the orders of Henry VIII, a royal proclamation called for the destruction of “a certain shrine” at Lincoln </w:t>
      </w:r>
      <w:r>
        <w:rPr>
          <w:rFonts w:ascii="Gautami" w:hAnsi="Gautami" w:cs="Gautami"/>
        </w:rPr>
        <w:lastRenderedPageBreak/>
        <w:t>Cathedral, where “divers feigned relics and jewels” from the tomb of St Hugh.</w:t>
      </w:r>
      <w:r>
        <w:rPr>
          <w:rStyle w:val="FootnoteReference"/>
          <w:rFonts w:ascii="Gautami" w:hAnsi="Gautami" w:cs="Gautami"/>
        </w:rPr>
        <w:footnoteReference w:id="40"/>
      </w:r>
      <w:r>
        <w:rPr>
          <w:rFonts w:ascii="Gautami" w:hAnsi="Gautami" w:cs="Gautami"/>
        </w:rPr>
        <w:t xml:space="preserve"> Although Hugh’s remains had been translated elsewhere in the Cathedral before the destruction of his tomb had occurred, relic-hunters still managed to successfully steal a number of his bones, including the “</w:t>
      </w:r>
      <w:r w:rsidRPr="00750365">
        <w:rPr>
          <w:rFonts w:ascii="Gautami" w:hAnsi="Gautami" w:cs="Gautami"/>
        </w:rPr>
        <w:t>tooth of St Hugh”</w:t>
      </w:r>
      <w:r>
        <w:rPr>
          <w:rFonts w:ascii="Gautami" w:hAnsi="Gautami" w:cs="Gautami"/>
        </w:rPr>
        <w:t>.</w:t>
      </w:r>
      <w:r>
        <w:rPr>
          <w:rStyle w:val="FootnoteReference"/>
          <w:rFonts w:ascii="Gautami" w:hAnsi="Gautami" w:cs="Gautami"/>
        </w:rPr>
        <w:footnoteReference w:id="41"/>
      </w:r>
      <w:r>
        <w:rPr>
          <w:rFonts w:ascii="Gautami" w:hAnsi="Gautami" w:cs="Gautami"/>
        </w:rPr>
        <w:t xml:space="preserve"> One could potentially argue that due to the fact that the shrine of St Hugh was one of the first targeted during the Reformation, that Henry VIII had felt threatened by the popularity and the communal identity surrounding the cult of St Hugh.</w:t>
      </w:r>
    </w:p>
    <w:p w:rsidR="009E2218" w:rsidRDefault="009E2218" w:rsidP="00F00F77">
      <w:pPr>
        <w:spacing w:line="360" w:lineRule="auto"/>
        <w:rPr>
          <w:rFonts w:ascii="Gautami" w:hAnsi="Gautami" w:cs="Gautami"/>
        </w:rPr>
      </w:pPr>
      <w:r>
        <w:rPr>
          <w:rFonts w:ascii="Gautami" w:hAnsi="Gautami" w:cs="Gautami"/>
        </w:rPr>
        <w:tab/>
        <w:t>Hugh’s intimate relationships with a number of English kings are referenced in his hagiographies. His protection of the Jews during the reign of King Richard I was not without opposition, yet Hugh’s perseverance in his protection of the oppressed earned him a great reputation. Richard I was reported to have said of St Hugh, that if “all the prelates of the church were like St Hugh there is not a king in Christendom who would dare raise his head”.</w:t>
      </w:r>
      <w:r>
        <w:rPr>
          <w:rStyle w:val="FootnoteReference"/>
          <w:rFonts w:ascii="Gautami" w:hAnsi="Gautami" w:cs="Gautami"/>
        </w:rPr>
        <w:footnoteReference w:id="42"/>
      </w:r>
      <w:r>
        <w:rPr>
          <w:rFonts w:ascii="Gautami" w:hAnsi="Gautami" w:cs="Gautami"/>
        </w:rPr>
        <w:t xml:space="preserve"> This quote could be perceived in two ways. Firstly, one could argue that even during his life Hugh’s close relationship to God was acknowledged, and that he instilled a sense of respect (and possibly </w:t>
      </w:r>
      <w:proofErr w:type="gramStart"/>
      <w:r>
        <w:rPr>
          <w:rFonts w:ascii="Gautami" w:hAnsi="Gautami" w:cs="Gautami"/>
        </w:rPr>
        <w:t>fear</w:t>
      </w:r>
      <w:proofErr w:type="gramEnd"/>
      <w:r>
        <w:rPr>
          <w:rFonts w:ascii="Gautami" w:hAnsi="Gautami" w:cs="Gautami"/>
        </w:rPr>
        <w:t>) as God’s dignitary on earth. Secondly, the quote could suggest that Hugh exercised a degree of political control during his time as Bishop of Lincoln. This is further solidified by the trust many kings put into Hugh of Lincoln, particularly King Henry III whom often sought out Hugh’s “counsel and advice”.</w:t>
      </w:r>
      <w:r>
        <w:rPr>
          <w:rStyle w:val="FootnoteReference"/>
          <w:rFonts w:ascii="Gautami" w:hAnsi="Gautami" w:cs="Gautami"/>
        </w:rPr>
        <w:footnoteReference w:id="43"/>
      </w:r>
      <w:r>
        <w:rPr>
          <w:rFonts w:ascii="Gautami" w:hAnsi="Gautami" w:cs="Gautami"/>
        </w:rPr>
        <w:t xml:space="preserve"> It is worth noting that St Hugh’s involvement in politics was potentially very risky, considering the example of Thomas Becket some decades prior. As such, it is clear that Hugh was a greatly trusted adviser whose involvement in politics consolidates this. </w:t>
      </w:r>
    </w:p>
    <w:p w:rsidR="009E2218" w:rsidRDefault="009E2218" w:rsidP="00F00F77">
      <w:pPr>
        <w:spacing w:line="360" w:lineRule="auto"/>
        <w:rPr>
          <w:rFonts w:ascii="Gautami" w:hAnsi="Gautami" w:cs="Gautami"/>
        </w:rPr>
      </w:pPr>
      <w:r>
        <w:rPr>
          <w:rFonts w:ascii="Gautami" w:hAnsi="Gautami" w:cs="Gautami"/>
        </w:rPr>
        <w:tab/>
        <w:t xml:space="preserve">The popularity of the cult of St Hugh was due to a plethora of reasons. Hugh’s protection of the oppressed Jews during the reign of Richard I and King John, his intimate relationships with his diocese, and his exemplar Christian lifestyle all contributed to the bolstering of St Hugh’s popularity. However, the materiality of St Hugh was equally as important in establishing his popularity. As previously discussed in this study, many artworks depicting St Hugh had existed during the </w:t>
      </w:r>
      <w:proofErr w:type="gramStart"/>
      <w:r>
        <w:rPr>
          <w:rFonts w:ascii="Gautami" w:hAnsi="Gautami" w:cs="Gautami"/>
        </w:rPr>
        <w:t>Middle</w:t>
      </w:r>
      <w:proofErr w:type="gramEnd"/>
      <w:r>
        <w:rPr>
          <w:rFonts w:ascii="Gautami" w:hAnsi="Gautami" w:cs="Gautami"/>
        </w:rPr>
        <w:t xml:space="preserve"> Ages, at the height of his popularity. It is interesting to note that although much of this materialism had been lost during the Reformation, a number of material sources still exist, indicating that there was much resistance from the Church who had protected the iconography of St Hugh during this period. </w:t>
      </w:r>
    </w:p>
    <w:p w:rsidR="009E2218" w:rsidRDefault="009E2218" w:rsidP="00F00F77">
      <w:pPr>
        <w:spacing w:line="360" w:lineRule="auto"/>
        <w:rPr>
          <w:rFonts w:ascii="Gautami" w:hAnsi="Gautami" w:cs="Gautami"/>
        </w:rPr>
      </w:pPr>
      <w:r>
        <w:rPr>
          <w:rFonts w:ascii="Gautami" w:hAnsi="Gautami" w:cs="Gautami"/>
        </w:rPr>
        <w:lastRenderedPageBreak/>
        <w:tab/>
        <w:t xml:space="preserve">Material sources aside, the development of the cult of St Hugh was also largely down to the dissemination of hagiographical accounts about the saint. Chronicles such as Adam of </w:t>
      </w:r>
      <w:proofErr w:type="spellStart"/>
      <w:r>
        <w:rPr>
          <w:rFonts w:ascii="Gautami" w:hAnsi="Gautami" w:cs="Gautami"/>
        </w:rPr>
        <w:t>Eynsham’s</w:t>
      </w:r>
      <w:proofErr w:type="spellEnd"/>
      <w:r>
        <w:rPr>
          <w:rFonts w:ascii="Gautami" w:hAnsi="Gautami" w:cs="Gautami"/>
        </w:rPr>
        <w:t xml:space="preserve"> </w:t>
      </w:r>
      <w:r>
        <w:rPr>
          <w:rFonts w:ascii="Gautami" w:hAnsi="Gautami" w:cs="Gautami"/>
          <w:i/>
        </w:rPr>
        <w:t xml:space="preserve">Sancta Vita S. </w:t>
      </w:r>
      <w:proofErr w:type="spellStart"/>
      <w:r>
        <w:rPr>
          <w:rFonts w:ascii="Gautami" w:hAnsi="Gautami" w:cs="Gautami"/>
          <w:i/>
        </w:rPr>
        <w:t>Hugonis</w:t>
      </w:r>
      <w:proofErr w:type="spellEnd"/>
      <w:r>
        <w:rPr>
          <w:rFonts w:ascii="Gautami" w:hAnsi="Gautami" w:cs="Gautami"/>
        </w:rPr>
        <w:t xml:space="preserve">, and Gerald of Wales’s </w:t>
      </w:r>
      <w:r>
        <w:rPr>
          <w:rFonts w:ascii="Gautami" w:hAnsi="Gautami" w:cs="Gautami"/>
          <w:i/>
        </w:rPr>
        <w:t>The Life of St Hugh of Avalon</w:t>
      </w:r>
      <w:r>
        <w:rPr>
          <w:rFonts w:ascii="Gautami" w:hAnsi="Gautami" w:cs="Gautami"/>
        </w:rPr>
        <w:t xml:space="preserve"> </w:t>
      </w:r>
      <w:r w:rsidRPr="00C821EB">
        <w:rPr>
          <w:rFonts w:ascii="Gautami" w:hAnsi="Gautami" w:cs="Gautami"/>
        </w:rPr>
        <w:t xml:space="preserve">were testament of the great deeds of St Hugh, </w:t>
      </w:r>
      <w:r>
        <w:rPr>
          <w:rFonts w:ascii="Gautami" w:hAnsi="Gautami" w:cs="Gautami"/>
        </w:rPr>
        <w:t xml:space="preserve">and therefore attracted many people to worship him. In particular, the healing miracles performed by St Hugh documented in these hagiographies undoubtedly attracted pilgrims in need of remedies and healing miracles. As mentioned previously in this study, </w:t>
      </w:r>
      <w:r w:rsidRPr="00C821EB">
        <w:rPr>
          <w:rFonts w:ascii="Gautami" w:hAnsi="Gautami" w:cs="Gautami"/>
        </w:rPr>
        <w:t xml:space="preserve">Ralph of </w:t>
      </w:r>
      <w:proofErr w:type="spellStart"/>
      <w:r w:rsidRPr="00C821EB">
        <w:rPr>
          <w:rFonts w:ascii="Gautami" w:hAnsi="Gautami" w:cs="Gautami"/>
        </w:rPr>
        <w:t>Coggeshall’s</w:t>
      </w:r>
      <w:proofErr w:type="spellEnd"/>
      <w:r w:rsidRPr="00C821EB">
        <w:rPr>
          <w:rFonts w:ascii="Gautami" w:hAnsi="Gautami" w:cs="Gautami"/>
        </w:rPr>
        <w:t xml:space="preserve"> </w:t>
      </w:r>
      <w:r>
        <w:rPr>
          <w:rFonts w:ascii="Gautami" w:hAnsi="Gautami" w:cs="Gautami"/>
        </w:rPr>
        <w:t xml:space="preserve">account of the funeral of St Hugh in the </w:t>
      </w:r>
      <w:proofErr w:type="spellStart"/>
      <w:r>
        <w:rPr>
          <w:rFonts w:ascii="Gautami" w:hAnsi="Gautami" w:cs="Gautami"/>
          <w:i/>
        </w:rPr>
        <w:t>Chronicon</w:t>
      </w:r>
      <w:proofErr w:type="spellEnd"/>
      <w:r>
        <w:rPr>
          <w:rFonts w:ascii="Gautami" w:hAnsi="Gautami" w:cs="Gautami"/>
          <w:i/>
        </w:rPr>
        <w:t xml:space="preserve"> </w:t>
      </w:r>
      <w:proofErr w:type="spellStart"/>
      <w:r>
        <w:rPr>
          <w:rFonts w:ascii="Gautami" w:hAnsi="Gautami" w:cs="Gautami"/>
          <w:i/>
        </w:rPr>
        <w:t>Anglicanum</w:t>
      </w:r>
      <w:proofErr w:type="spellEnd"/>
      <w:r>
        <w:rPr>
          <w:rFonts w:ascii="Gautami" w:hAnsi="Gautami" w:cs="Gautami"/>
        </w:rPr>
        <w:t xml:space="preserve"> makes reference to the masses of worshippers seeking cures and </w:t>
      </w:r>
      <w:r w:rsidRPr="00C821EB">
        <w:rPr>
          <w:rFonts w:ascii="Gautami" w:hAnsi="Gautami" w:cs="Gautami"/>
        </w:rPr>
        <w:t xml:space="preserve">remedies </w:t>
      </w:r>
      <w:r>
        <w:rPr>
          <w:rFonts w:ascii="Gautami" w:hAnsi="Gautami" w:cs="Gautami"/>
        </w:rPr>
        <w:t xml:space="preserve">upon </w:t>
      </w:r>
      <w:r w:rsidRPr="00C821EB">
        <w:rPr>
          <w:rFonts w:ascii="Gautami" w:hAnsi="Gautami" w:cs="Gautami"/>
        </w:rPr>
        <w:t xml:space="preserve">having heard accounts of Hugh’s healing </w:t>
      </w:r>
      <w:r>
        <w:rPr>
          <w:rFonts w:ascii="Gautami" w:hAnsi="Gautami" w:cs="Gautami"/>
        </w:rPr>
        <w:t xml:space="preserve">miracles. As such, one can determine that the dissemination of information about St Hugh greatly contributed to his legacy during the </w:t>
      </w:r>
      <w:proofErr w:type="gramStart"/>
      <w:r>
        <w:rPr>
          <w:rFonts w:ascii="Gautami" w:hAnsi="Gautami" w:cs="Gautami"/>
        </w:rPr>
        <w:t>Middle</w:t>
      </w:r>
      <w:proofErr w:type="gramEnd"/>
      <w:r>
        <w:rPr>
          <w:rFonts w:ascii="Gautami" w:hAnsi="Gautami" w:cs="Gautami"/>
        </w:rPr>
        <w:t xml:space="preserve"> Ages. </w:t>
      </w:r>
    </w:p>
    <w:p w:rsidR="009E2218" w:rsidRDefault="009E2218" w:rsidP="00F00F77">
      <w:pPr>
        <w:spacing w:line="360" w:lineRule="auto"/>
        <w:rPr>
          <w:rFonts w:ascii="Gautami" w:hAnsi="Gautami" w:cs="Gautami"/>
        </w:rPr>
      </w:pPr>
      <w:r>
        <w:rPr>
          <w:rFonts w:ascii="Gautami" w:hAnsi="Gautami" w:cs="Gautami"/>
        </w:rPr>
        <w:tab/>
        <w:t xml:space="preserve"> To conclude, the cult of St Hugh on the whole relates to a plethora of themes discussed during this module. Whilst Hugh was mainly revered for his healing of the sick, we must not forget that St Hugh’s involvement with politics and to an extent, economics, gives us wider perspective of his cult. During this study it has been interesting to see the evolution of belief surrounding the cult of St Hugh, with the criticisms surrounding St Hugh particularly intriguing. Therefore, the analysis of St Hugh’s cult in relation to these themes provides a wider perspective into the life of St Hugh that is otherwise arguably examined from a narrow angle. </w:t>
      </w:r>
    </w:p>
    <w:p w:rsidR="009E2218" w:rsidRPr="009E2218" w:rsidRDefault="009E2218" w:rsidP="00F00F77">
      <w:pPr>
        <w:spacing w:line="360" w:lineRule="auto"/>
        <w:rPr>
          <w:rFonts w:ascii="Gautami" w:hAnsi="Gautami" w:cs="Gautami"/>
          <w:sz w:val="24"/>
        </w:rPr>
      </w:pPr>
    </w:p>
    <w:p w:rsidR="00D020AE" w:rsidRDefault="00D020AE" w:rsidP="00F00F77">
      <w:pPr>
        <w:spacing w:line="360" w:lineRule="auto"/>
        <w:rPr>
          <w:rFonts w:ascii="Gautami" w:hAnsi="Gautami" w:cs="Gautami"/>
          <w:sz w:val="28"/>
          <w:u w:val="single"/>
        </w:rPr>
      </w:pPr>
    </w:p>
    <w:p w:rsidR="00A61B9A" w:rsidRDefault="00A61B9A">
      <w:pPr>
        <w:rPr>
          <w:rFonts w:ascii="Gautami" w:hAnsi="Gautami" w:cs="Gautami"/>
          <w:sz w:val="28"/>
          <w:u w:val="single"/>
        </w:rPr>
      </w:pPr>
    </w:p>
    <w:p w:rsidR="00A61B9A" w:rsidRDefault="00A61B9A">
      <w:pPr>
        <w:rPr>
          <w:rFonts w:ascii="Gautami" w:hAnsi="Gautami" w:cs="Gautami"/>
          <w:sz w:val="28"/>
          <w:u w:val="single"/>
        </w:rPr>
      </w:pPr>
    </w:p>
    <w:p w:rsidR="00D020AE" w:rsidRPr="006765DB" w:rsidRDefault="00D020AE">
      <w:pPr>
        <w:rPr>
          <w:rFonts w:ascii="Gautami" w:hAnsi="Gautami" w:cs="Gautami"/>
          <w:sz w:val="28"/>
          <w:u w:val="single"/>
        </w:rPr>
      </w:pPr>
    </w:p>
    <w:p w:rsidR="00E04FB5" w:rsidRDefault="00E04FB5" w:rsidP="00A668F8">
      <w:pPr>
        <w:tabs>
          <w:tab w:val="left" w:pos="2431"/>
        </w:tabs>
        <w:rPr>
          <w:rFonts w:ascii="Gautami" w:hAnsi="Gautami" w:cs="Gautami"/>
          <w:sz w:val="28"/>
          <w:u w:val="single"/>
        </w:rPr>
      </w:pPr>
    </w:p>
    <w:p w:rsidR="00E04FB5" w:rsidRDefault="00E04FB5" w:rsidP="00A668F8">
      <w:pPr>
        <w:tabs>
          <w:tab w:val="left" w:pos="2431"/>
        </w:tabs>
        <w:rPr>
          <w:rFonts w:ascii="Gautami" w:hAnsi="Gautami" w:cs="Gautami"/>
          <w:sz w:val="28"/>
          <w:u w:val="single"/>
        </w:rPr>
      </w:pPr>
    </w:p>
    <w:p w:rsidR="00E04FB5" w:rsidRDefault="00E04FB5" w:rsidP="00A668F8">
      <w:pPr>
        <w:tabs>
          <w:tab w:val="left" w:pos="2431"/>
        </w:tabs>
        <w:rPr>
          <w:rFonts w:ascii="Gautami" w:hAnsi="Gautami" w:cs="Gautami"/>
          <w:sz w:val="28"/>
          <w:u w:val="single"/>
        </w:rPr>
      </w:pPr>
    </w:p>
    <w:p w:rsidR="005D2DCF" w:rsidRDefault="005D2DCF" w:rsidP="00A668F8">
      <w:pPr>
        <w:tabs>
          <w:tab w:val="left" w:pos="2431"/>
        </w:tabs>
        <w:rPr>
          <w:rFonts w:ascii="Gautami" w:hAnsi="Gautami" w:cs="Gautami"/>
          <w:sz w:val="28"/>
          <w:u w:val="single"/>
        </w:rPr>
      </w:pPr>
    </w:p>
    <w:p w:rsidR="00963507" w:rsidRDefault="00963507" w:rsidP="00A668F8">
      <w:pPr>
        <w:tabs>
          <w:tab w:val="left" w:pos="2431"/>
        </w:tabs>
        <w:rPr>
          <w:rFonts w:ascii="Gautami" w:hAnsi="Gautami" w:cs="Gautami"/>
          <w:sz w:val="28"/>
          <w:u w:val="single"/>
        </w:rPr>
      </w:pPr>
    </w:p>
    <w:p w:rsidR="00963507" w:rsidRDefault="00963507" w:rsidP="00A668F8">
      <w:pPr>
        <w:tabs>
          <w:tab w:val="left" w:pos="2431"/>
        </w:tabs>
        <w:rPr>
          <w:rFonts w:ascii="Gautami" w:hAnsi="Gautami" w:cs="Gautami"/>
          <w:sz w:val="28"/>
          <w:u w:val="single"/>
        </w:rPr>
      </w:pPr>
    </w:p>
    <w:p w:rsidR="00A668F8" w:rsidRDefault="00A668F8" w:rsidP="00A668F8">
      <w:pPr>
        <w:tabs>
          <w:tab w:val="left" w:pos="2431"/>
        </w:tabs>
        <w:rPr>
          <w:rFonts w:ascii="Gautami" w:hAnsi="Gautami" w:cs="Gautami"/>
          <w:sz w:val="28"/>
        </w:rPr>
      </w:pPr>
      <w:bookmarkStart w:id="0" w:name="_GoBack"/>
      <w:bookmarkEnd w:id="0"/>
      <w:proofErr w:type="spellStart"/>
      <w:r w:rsidRPr="00A668F8">
        <w:rPr>
          <w:rFonts w:ascii="Gautami" w:hAnsi="Gautami" w:cs="Gautami"/>
          <w:sz w:val="28"/>
          <w:u w:val="single"/>
        </w:rPr>
        <w:lastRenderedPageBreak/>
        <w:t>Wordcount</w:t>
      </w:r>
      <w:proofErr w:type="spellEnd"/>
      <w:r w:rsidRPr="00A668F8">
        <w:rPr>
          <w:rFonts w:ascii="Gautami" w:hAnsi="Gautami" w:cs="Gautami"/>
          <w:sz w:val="28"/>
          <w:u w:val="single"/>
        </w:rPr>
        <w:t>:</w:t>
      </w:r>
      <w:r w:rsidRPr="00B93C7B">
        <w:rPr>
          <w:rFonts w:ascii="Gautami" w:hAnsi="Gautami" w:cs="Gautami"/>
          <w:sz w:val="28"/>
        </w:rPr>
        <w:t xml:space="preserve"> </w:t>
      </w:r>
      <w:r w:rsidR="00F54797">
        <w:rPr>
          <w:rFonts w:ascii="Gautami" w:hAnsi="Gautami" w:cs="Gautami"/>
          <w:sz w:val="28"/>
        </w:rPr>
        <w:t>5210</w:t>
      </w:r>
    </w:p>
    <w:p w:rsidR="00133010" w:rsidRDefault="00133010" w:rsidP="00A668F8">
      <w:pPr>
        <w:tabs>
          <w:tab w:val="left" w:pos="2431"/>
        </w:tabs>
        <w:rPr>
          <w:rFonts w:ascii="Gautami" w:hAnsi="Gautami" w:cs="Gautami"/>
          <w:sz w:val="28"/>
        </w:rPr>
      </w:pPr>
      <w:r w:rsidRPr="008F4C50">
        <w:rPr>
          <w:rFonts w:ascii="Gautami" w:hAnsi="Gautami" w:cs="Gautami"/>
          <w:sz w:val="28"/>
          <w:u w:val="single"/>
        </w:rPr>
        <w:t>Section 1</w:t>
      </w:r>
      <w:r>
        <w:rPr>
          <w:rFonts w:ascii="Gautami" w:hAnsi="Gautami" w:cs="Gautami"/>
          <w:sz w:val="28"/>
        </w:rPr>
        <w:t>: 1063</w:t>
      </w:r>
    </w:p>
    <w:p w:rsidR="00133010" w:rsidRDefault="00133010" w:rsidP="00A668F8">
      <w:pPr>
        <w:tabs>
          <w:tab w:val="left" w:pos="2431"/>
        </w:tabs>
        <w:rPr>
          <w:rFonts w:ascii="Gautami" w:hAnsi="Gautami" w:cs="Gautami"/>
          <w:sz w:val="28"/>
        </w:rPr>
      </w:pPr>
      <w:r w:rsidRPr="008F4C50">
        <w:rPr>
          <w:rFonts w:ascii="Gautami" w:hAnsi="Gautami" w:cs="Gautami"/>
          <w:sz w:val="28"/>
          <w:u w:val="single"/>
        </w:rPr>
        <w:t>Section 2</w:t>
      </w:r>
      <w:r>
        <w:rPr>
          <w:rFonts w:ascii="Gautami" w:hAnsi="Gautami" w:cs="Gautami"/>
          <w:sz w:val="28"/>
        </w:rPr>
        <w:t>: 1152</w:t>
      </w:r>
    </w:p>
    <w:p w:rsidR="00133010" w:rsidRDefault="00133010" w:rsidP="00A668F8">
      <w:pPr>
        <w:tabs>
          <w:tab w:val="left" w:pos="2431"/>
        </w:tabs>
        <w:rPr>
          <w:rFonts w:ascii="Gautami" w:hAnsi="Gautami" w:cs="Gautami"/>
          <w:sz w:val="28"/>
        </w:rPr>
      </w:pPr>
      <w:r w:rsidRPr="008F4C50">
        <w:rPr>
          <w:rFonts w:ascii="Gautami" w:hAnsi="Gautami" w:cs="Gautami"/>
          <w:sz w:val="28"/>
          <w:u w:val="single"/>
        </w:rPr>
        <w:t>Section 3</w:t>
      </w:r>
      <w:r>
        <w:rPr>
          <w:rFonts w:ascii="Gautami" w:hAnsi="Gautami" w:cs="Gautami"/>
          <w:sz w:val="28"/>
        </w:rPr>
        <w:t>:</w:t>
      </w:r>
      <w:r w:rsidR="00033B29">
        <w:rPr>
          <w:rFonts w:ascii="Gautami" w:hAnsi="Gautami" w:cs="Gautami"/>
          <w:sz w:val="28"/>
        </w:rPr>
        <w:t xml:space="preserve"> 1128</w:t>
      </w:r>
    </w:p>
    <w:p w:rsidR="00133010" w:rsidRPr="00A668F8" w:rsidRDefault="00133010" w:rsidP="00A668F8">
      <w:pPr>
        <w:tabs>
          <w:tab w:val="left" w:pos="2431"/>
        </w:tabs>
        <w:rPr>
          <w:rFonts w:ascii="Gautami" w:hAnsi="Gautami" w:cs="Gautami"/>
          <w:sz w:val="28"/>
        </w:rPr>
      </w:pPr>
      <w:r w:rsidRPr="008F4C50">
        <w:rPr>
          <w:rFonts w:ascii="Gautami" w:hAnsi="Gautami" w:cs="Gautami"/>
          <w:sz w:val="28"/>
          <w:u w:val="single"/>
        </w:rPr>
        <w:t>Section 4</w:t>
      </w:r>
      <w:r>
        <w:rPr>
          <w:rFonts w:ascii="Gautami" w:hAnsi="Gautami" w:cs="Gautami"/>
          <w:sz w:val="28"/>
        </w:rPr>
        <w:t>:</w:t>
      </w:r>
      <w:r w:rsidR="00585C98">
        <w:rPr>
          <w:rFonts w:ascii="Gautami" w:hAnsi="Gautami" w:cs="Gautami"/>
          <w:sz w:val="28"/>
        </w:rPr>
        <w:t xml:space="preserve"> 1867</w:t>
      </w:r>
    </w:p>
    <w:p w:rsidR="00154220" w:rsidRPr="006765DB" w:rsidRDefault="00154220" w:rsidP="00A668F8">
      <w:pPr>
        <w:jc w:val="center"/>
        <w:rPr>
          <w:rFonts w:ascii="Gautami" w:hAnsi="Gautami" w:cs="Gautami"/>
          <w:sz w:val="28"/>
          <w:u w:val="single"/>
        </w:rPr>
      </w:pPr>
      <w:r w:rsidRPr="006765DB">
        <w:rPr>
          <w:rFonts w:ascii="Gautami" w:hAnsi="Gautami" w:cs="Gautami"/>
          <w:sz w:val="28"/>
          <w:u w:val="single"/>
        </w:rPr>
        <w:t>Bibliography</w:t>
      </w:r>
    </w:p>
    <w:p w:rsidR="001D69B8" w:rsidRPr="006765DB" w:rsidRDefault="001D69B8">
      <w:pPr>
        <w:rPr>
          <w:rFonts w:ascii="Gautami" w:hAnsi="Gautami" w:cs="Gautami"/>
          <w:sz w:val="28"/>
          <w:u w:val="single"/>
        </w:rPr>
      </w:pPr>
    </w:p>
    <w:p w:rsidR="00C0453F" w:rsidRPr="006765DB" w:rsidRDefault="00C0453F" w:rsidP="001D69B8">
      <w:pPr>
        <w:jc w:val="center"/>
        <w:rPr>
          <w:rFonts w:ascii="Gautami" w:hAnsi="Gautami" w:cs="Gautami"/>
          <w:b/>
          <w:i/>
          <w:sz w:val="24"/>
          <w:u w:val="single"/>
        </w:rPr>
      </w:pPr>
      <w:r w:rsidRPr="006765DB">
        <w:rPr>
          <w:rFonts w:ascii="Gautami" w:hAnsi="Gautami" w:cs="Gautami"/>
          <w:b/>
          <w:i/>
          <w:sz w:val="24"/>
          <w:u w:val="single"/>
        </w:rPr>
        <w:t>Primary Sources</w:t>
      </w:r>
    </w:p>
    <w:p w:rsidR="00D973B7" w:rsidRPr="006765DB" w:rsidRDefault="00EE2034">
      <w:pPr>
        <w:rPr>
          <w:rFonts w:ascii="Gautami" w:hAnsi="Gautami" w:cs="Gautami"/>
          <w:sz w:val="24"/>
        </w:rPr>
      </w:pPr>
      <w:r w:rsidRPr="006765DB">
        <w:rPr>
          <w:rFonts w:ascii="Gautami" w:hAnsi="Gautami" w:cs="Gautami"/>
          <w:sz w:val="24"/>
        </w:rPr>
        <w:t xml:space="preserve">Adam of </w:t>
      </w:r>
      <w:proofErr w:type="spellStart"/>
      <w:r w:rsidRPr="006765DB">
        <w:rPr>
          <w:rFonts w:ascii="Gautami" w:hAnsi="Gautami" w:cs="Gautami"/>
          <w:sz w:val="24"/>
        </w:rPr>
        <w:t>Eynsham</w:t>
      </w:r>
      <w:proofErr w:type="spellEnd"/>
      <w:r w:rsidRPr="006765DB">
        <w:rPr>
          <w:rFonts w:ascii="Gautami" w:hAnsi="Gautami" w:cs="Gautami"/>
          <w:sz w:val="24"/>
        </w:rPr>
        <w:t xml:space="preserve">, </w:t>
      </w:r>
      <w:r w:rsidRPr="006765DB">
        <w:rPr>
          <w:rFonts w:ascii="Gautami" w:hAnsi="Gautami" w:cs="Gautami"/>
          <w:i/>
          <w:sz w:val="24"/>
        </w:rPr>
        <w:t xml:space="preserve">Sancta Vita S </w:t>
      </w:r>
      <w:proofErr w:type="spellStart"/>
      <w:r w:rsidRPr="006765DB">
        <w:rPr>
          <w:rFonts w:ascii="Gautami" w:hAnsi="Gautami" w:cs="Gautami"/>
          <w:i/>
          <w:sz w:val="24"/>
        </w:rPr>
        <w:t>Hugonis</w:t>
      </w:r>
      <w:proofErr w:type="spellEnd"/>
      <w:r w:rsidRPr="006765DB">
        <w:rPr>
          <w:rFonts w:ascii="Gautami" w:hAnsi="Gautami" w:cs="Gautami"/>
          <w:sz w:val="24"/>
        </w:rPr>
        <w:t xml:space="preserve">, cited in </w:t>
      </w:r>
      <w:proofErr w:type="spellStart"/>
      <w:r w:rsidR="00FD3422" w:rsidRPr="006765DB">
        <w:rPr>
          <w:rFonts w:ascii="Gautami" w:hAnsi="Gautami" w:cs="Gautami"/>
          <w:sz w:val="24"/>
        </w:rPr>
        <w:t>Giraldi</w:t>
      </w:r>
      <w:proofErr w:type="spellEnd"/>
      <w:r w:rsidR="00FD3422" w:rsidRPr="006765DB">
        <w:rPr>
          <w:rFonts w:ascii="Gautami" w:hAnsi="Gautami" w:cs="Gautami"/>
          <w:sz w:val="24"/>
        </w:rPr>
        <w:t xml:space="preserve"> </w:t>
      </w:r>
      <w:proofErr w:type="spellStart"/>
      <w:r w:rsidR="00FD3422" w:rsidRPr="006765DB">
        <w:rPr>
          <w:rFonts w:ascii="Gautami" w:hAnsi="Gautami" w:cs="Gautami"/>
          <w:sz w:val="24"/>
        </w:rPr>
        <w:t>Cambrensis</w:t>
      </w:r>
      <w:proofErr w:type="spellEnd"/>
      <w:r w:rsidR="00FD3422" w:rsidRPr="006765DB">
        <w:rPr>
          <w:rFonts w:ascii="Gautami" w:hAnsi="Gautami" w:cs="Gautami"/>
          <w:sz w:val="24"/>
        </w:rPr>
        <w:t xml:space="preserve"> </w:t>
      </w:r>
      <w:r w:rsidR="00FD3422" w:rsidRPr="006765DB">
        <w:rPr>
          <w:rFonts w:ascii="Gautami" w:hAnsi="Gautami" w:cs="Gautami"/>
          <w:i/>
          <w:sz w:val="24"/>
        </w:rPr>
        <w:t xml:space="preserve">Opera </w:t>
      </w:r>
      <w:r w:rsidR="00FD3422" w:rsidRPr="006765DB">
        <w:rPr>
          <w:rFonts w:ascii="Gautami" w:hAnsi="Gautami" w:cs="Gautami"/>
          <w:sz w:val="24"/>
        </w:rPr>
        <w:t xml:space="preserve">(London: Longman and Company, 1877), p. 39. </w:t>
      </w:r>
    </w:p>
    <w:p w:rsidR="00E428C8" w:rsidRPr="006765DB" w:rsidRDefault="00E428C8">
      <w:pPr>
        <w:rPr>
          <w:rFonts w:ascii="Gautami" w:hAnsi="Gautami" w:cs="Gautami"/>
          <w:sz w:val="24"/>
        </w:rPr>
      </w:pPr>
      <w:r w:rsidRPr="006765DB">
        <w:rPr>
          <w:rFonts w:ascii="Gautami" w:hAnsi="Gautami" w:cs="Gautami"/>
          <w:sz w:val="24"/>
        </w:rPr>
        <w:t xml:space="preserve">Gerald of Wales, </w:t>
      </w:r>
      <w:r w:rsidRPr="006765DB">
        <w:rPr>
          <w:rFonts w:ascii="Gautami" w:hAnsi="Gautami" w:cs="Gautami"/>
          <w:i/>
          <w:sz w:val="24"/>
        </w:rPr>
        <w:t xml:space="preserve">The Life of St Hugh of Avalon, </w:t>
      </w:r>
      <w:r w:rsidRPr="006765DB">
        <w:rPr>
          <w:rFonts w:ascii="Gautami" w:hAnsi="Gautami" w:cs="Gautami"/>
          <w:sz w:val="24"/>
        </w:rPr>
        <w:t xml:space="preserve">cited in Kenneth Baxter Wolf, </w:t>
      </w:r>
      <w:r w:rsidRPr="006765DB">
        <w:rPr>
          <w:rFonts w:ascii="Gautami" w:hAnsi="Gautami" w:cs="Gautami"/>
          <w:i/>
          <w:sz w:val="24"/>
        </w:rPr>
        <w:t xml:space="preserve">The Poverty of Riches: St Francis of Assisi Reconsidered </w:t>
      </w:r>
      <w:r w:rsidRPr="006765DB">
        <w:rPr>
          <w:rFonts w:ascii="Gautami" w:hAnsi="Gautami" w:cs="Gautami"/>
          <w:sz w:val="24"/>
        </w:rPr>
        <w:t>(Oxford: Oxford University Press, 2005)</w:t>
      </w:r>
      <w:r w:rsidR="006804AC" w:rsidRPr="006765DB">
        <w:rPr>
          <w:rFonts w:ascii="Gautami" w:hAnsi="Gautami" w:cs="Gautami"/>
          <w:sz w:val="24"/>
        </w:rPr>
        <w:t>, p. 114</w:t>
      </w:r>
      <w:r w:rsidRPr="006765DB">
        <w:rPr>
          <w:rFonts w:ascii="Gautami" w:hAnsi="Gautami" w:cs="Gautami"/>
          <w:sz w:val="24"/>
        </w:rPr>
        <w:t>.</w:t>
      </w:r>
    </w:p>
    <w:p w:rsidR="00C0453F" w:rsidRPr="006765DB" w:rsidRDefault="005256EE">
      <w:pPr>
        <w:rPr>
          <w:rFonts w:ascii="Gautami" w:hAnsi="Gautami" w:cs="Gautami"/>
          <w:sz w:val="24"/>
        </w:rPr>
      </w:pPr>
      <w:r w:rsidRPr="006765DB">
        <w:rPr>
          <w:rFonts w:ascii="Gautami" w:hAnsi="Gautami" w:cs="Gautami"/>
          <w:sz w:val="24"/>
        </w:rPr>
        <w:t xml:space="preserve">Ralph of </w:t>
      </w:r>
      <w:proofErr w:type="spellStart"/>
      <w:r w:rsidRPr="006765DB">
        <w:rPr>
          <w:rFonts w:ascii="Gautami" w:hAnsi="Gautami" w:cs="Gautami"/>
          <w:sz w:val="24"/>
        </w:rPr>
        <w:t>Coggeshall</w:t>
      </w:r>
      <w:proofErr w:type="spellEnd"/>
      <w:r w:rsidRPr="006765DB">
        <w:rPr>
          <w:rFonts w:ascii="Gautami" w:hAnsi="Gautami" w:cs="Gautami"/>
          <w:sz w:val="24"/>
        </w:rPr>
        <w:t xml:space="preserve">, </w:t>
      </w:r>
      <w:proofErr w:type="spellStart"/>
      <w:r w:rsidRPr="006765DB">
        <w:rPr>
          <w:rFonts w:ascii="Gautami" w:hAnsi="Gautami" w:cs="Gautami"/>
          <w:i/>
          <w:sz w:val="24"/>
        </w:rPr>
        <w:t>Chronicon</w:t>
      </w:r>
      <w:proofErr w:type="spellEnd"/>
      <w:r w:rsidRPr="006765DB">
        <w:rPr>
          <w:rFonts w:ascii="Gautami" w:hAnsi="Gautami" w:cs="Gautami"/>
          <w:i/>
          <w:sz w:val="24"/>
        </w:rPr>
        <w:t xml:space="preserve"> </w:t>
      </w:r>
      <w:proofErr w:type="spellStart"/>
      <w:r w:rsidRPr="006765DB">
        <w:rPr>
          <w:rFonts w:ascii="Gautami" w:hAnsi="Gautami" w:cs="Gautami"/>
          <w:i/>
          <w:sz w:val="24"/>
        </w:rPr>
        <w:t>Anglicanum</w:t>
      </w:r>
      <w:proofErr w:type="spellEnd"/>
      <w:r w:rsidR="009E2A0D" w:rsidRPr="006765DB">
        <w:rPr>
          <w:rFonts w:ascii="Gautami" w:hAnsi="Gautami" w:cs="Gautami"/>
          <w:sz w:val="24"/>
        </w:rPr>
        <w:t xml:space="preserve">, ed. and trans. H Webster (unpublished translation), cited in British Library, </w:t>
      </w:r>
      <w:proofErr w:type="spellStart"/>
      <w:r w:rsidR="009E2A0D" w:rsidRPr="006765DB">
        <w:rPr>
          <w:rFonts w:ascii="Gautami" w:hAnsi="Gautami" w:cs="Gautami"/>
          <w:i/>
          <w:sz w:val="24"/>
        </w:rPr>
        <w:t>Chronicon</w:t>
      </w:r>
      <w:proofErr w:type="spellEnd"/>
      <w:r w:rsidR="009E2A0D" w:rsidRPr="006765DB">
        <w:rPr>
          <w:rFonts w:ascii="Gautami" w:hAnsi="Gautami" w:cs="Gautami"/>
          <w:i/>
          <w:sz w:val="24"/>
        </w:rPr>
        <w:t xml:space="preserve"> </w:t>
      </w:r>
      <w:proofErr w:type="spellStart"/>
      <w:r w:rsidR="009E2A0D" w:rsidRPr="006765DB">
        <w:rPr>
          <w:rFonts w:ascii="Gautami" w:hAnsi="Gautami" w:cs="Gautami"/>
          <w:i/>
          <w:sz w:val="24"/>
        </w:rPr>
        <w:t>Anglicanum</w:t>
      </w:r>
      <w:proofErr w:type="spellEnd"/>
      <w:r w:rsidR="009E2A0D" w:rsidRPr="006765DB">
        <w:rPr>
          <w:rFonts w:ascii="Gautami" w:hAnsi="Gautami" w:cs="Gautami"/>
          <w:sz w:val="24"/>
        </w:rPr>
        <w:t xml:space="preserve"> [online]. Available:  </w:t>
      </w:r>
      <w:hyperlink r:id="rId12" w:history="1">
        <w:r w:rsidR="00676026" w:rsidRPr="006765DB">
          <w:rPr>
            <w:rStyle w:val="Hyperlink"/>
            <w:rFonts w:ascii="Gautami" w:hAnsi="Gautami" w:cs="Gautami"/>
            <w:sz w:val="24"/>
          </w:rPr>
          <w:t>https://www.bl.uk/collection-items/chronicon-anglicanum</w:t>
        </w:r>
      </w:hyperlink>
      <w:r w:rsidR="009E2A0D" w:rsidRPr="006765DB">
        <w:rPr>
          <w:rFonts w:ascii="Gautami" w:hAnsi="Gautami" w:cs="Gautami"/>
          <w:sz w:val="24"/>
        </w:rPr>
        <w:t xml:space="preserve"> [accessed 10 April 2019]. </w:t>
      </w:r>
    </w:p>
    <w:p w:rsidR="00676026" w:rsidRPr="006765DB" w:rsidRDefault="00676026">
      <w:pPr>
        <w:rPr>
          <w:rFonts w:ascii="Gautami" w:hAnsi="Gautami" w:cs="Gautami"/>
          <w:sz w:val="24"/>
        </w:rPr>
      </w:pPr>
      <w:r w:rsidRPr="006765DB">
        <w:rPr>
          <w:rFonts w:ascii="Gautami" w:hAnsi="Gautami" w:cs="Gautami"/>
          <w:sz w:val="24"/>
        </w:rPr>
        <w:t xml:space="preserve">Roger of Wendover, </w:t>
      </w:r>
      <w:r w:rsidRPr="006765DB">
        <w:rPr>
          <w:rFonts w:ascii="Gautami" w:hAnsi="Gautami" w:cs="Gautami"/>
          <w:i/>
          <w:sz w:val="24"/>
        </w:rPr>
        <w:t xml:space="preserve">Flores </w:t>
      </w:r>
      <w:proofErr w:type="spellStart"/>
      <w:r w:rsidRPr="006765DB">
        <w:rPr>
          <w:rFonts w:ascii="Gautami" w:hAnsi="Gautami" w:cs="Gautami"/>
          <w:i/>
          <w:sz w:val="24"/>
        </w:rPr>
        <w:t>Historiorum</w:t>
      </w:r>
      <w:proofErr w:type="spellEnd"/>
      <w:r w:rsidRPr="006765DB">
        <w:rPr>
          <w:rFonts w:ascii="Gautami" w:hAnsi="Gautami" w:cs="Gautami"/>
          <w:i/>
          <w:sz w:val="24"/>
        </w:rPr>
        <w:t>, Comprising the History of England from the Descent of the Saxons to A.D. 1235</w:t>
      </w:r>
      <w:r w:rsidR="006D6B83" w:rsidRPr="006765DB">
        <w:rPr>
          <w:rFonts w:ascii="Gautami" w:hAnsi="Gautami" w:cs="Gautami"/>
          <w:i/>
          <w:sz w:val="24"/>
        </w:rPr>
        <w:t xml:space="preserve">, </w:t>
      </w:r>
      <w:r w:rsidR="006D6B83" w:rsidRPr="006765DB">
        <w:rPr>
          <w:rFonts w:ascii="Gautami" w:hAnsi="Gautami" w:cs="Gautami"/>
          <w:sz w:val="24"/>
        </w:rPr>
        <w:t xml:space="preserve">cited in Martha Carlin, </w:t>
      </w:r>
      <w:r w:rsidR="006D6B83" w:rsidRPr="006765DB">
        <w:rPr>
          <w:rFonts w:ascii="Gautami" w:hAnsi="Gautami" w:cs="Gautami"/>
          <w:i/>
          <w:sz w:val="24"/>
        </w:rPr>
        <w:t>The Instant Cult of St Hugh</w:t>
      </w:r>
      <w:r w:rsidR="006D6B83" w:rsidRPr="006765DB">
        <w:rPr>
          <w:rFonts w:ascii="Gautami" w:hAnsi="Gautami" w:cs="Gautami"/>
          <w:sz w:val="24"/>
        </w:rPr>
        <w:t xml:space="preserve"> [online]. Available at: </w:t>
      </w:r>
      <w:hyperlink r:id="rId13" w:history="1">
        <w:r w:rsidRPr="006765DB">
          <w:rPr>
            <w:rStyle w:val="Hyperlink"/>
            <w:rFonts w:ascii="Gautami" w:hAnsi="Gautami" w:cs="Gautami"/>
            <w:sz w:val="24"/>
          </w:rPr>
          <w:t>https://people.uwm.edu/carlin/the-instant-cult-of-st-hugh-of-lincoln/</w:t>
        </w:r>
      </w:hyperlink>
      <w:r w:rsidR="006D6B83" w:rsidRPr="006765DB">
        <w:rPr>
          <w:rFonts w:ascii="Gautami" w:hAnsi="Gautami" w:cs="Gautami"/>
          <w:sz w:val="24"/>
        </w:rPr>
        <w:t xml:space="preserve"> [accessed 5 April 2019]. </w:t>
      </w:r>
    </w:p>
    <w:p w:rsidR="009C2EF2" w:rsidRPr="006765DB" w:rsidRDefault="009C2EF2">
      <w:pPr>
        <w:rPr>
          <w:rFonts w:ascii="Gautami" w:hAnsi="Gautami" w:cs="Gautami"/>
          <w:sz w:val="24"/>
        </w:rPr>
      </w:pPr>
      <w:r w:rsidRPr="006765DB">
        <w:rPr>
          <w:rFonts w:ascii="Gautami" w:hAnsi="Gautami" w:cs="Gautami"/>
          <w:sz w:val="24"/>
        </w:rPr>
        <w:t xml:space="preserve">William </w:t>
      </w:r>
      <w:proofErr w:type="spellStart"/>
      <w:r w:rsidRPr="006765DB">
        <w:rPr>
          <w:rFonts w:ascii="Gautami" w:hAnsi="Gautami" w:cs="Gautami"/>
          <w:sz w:val="24"/>
        </w:rPr>
        <w:t>Dugda</w:t>
      </w:r>
      <w:r w:rsidR="00EE5EDE" w:rsidRPr="006765DB">
        <w:rPr>
          <w:rFonts w:ascii="Gautami" w:hAnsi="Gautami" w:cs="Gautami"/>
          <w:sz w:val="24"/>
        </w:rPr>
        <w:t>le</w:t>
      </w:r>
      <w:proofErr w:type="spellEnd"/>
      <w:r w:rsidR="00EE5EDE" w:rsidRPr="006765DB">
        <w:rPr>
          <w:rFonts w:ascii="Gautami" w:hAnsi="Gautami" w:cs="Gautami"/>
          <w:sz w:val="24"/>
        </w:rPr>
        <w:t>,</w:t>
      </w:r>
      <w:r w:rsidRPr="006765DB">
        <w:rPr>
          <w:rFonts w:ascii="Gautami" w:hAnsi="Gautami" w:cs="Gautami"/>
          <w:i/>
          <w:sz w:val="24"/>
        </w:rPr>
        <w:t xml:space="preserve"> </w:t>
      </w:r>
      <w:proofErr w:type="spellStart"/>
      <w:r w:rsidRPr="006765DB">
        <w:rPr>
          <w:rFonts w:ascii="Gautami" w:hAnsi="Gautami" w:cs="Gautami"/>
          <w:i/>
          <w:sz w:val="24"/>
        </w:rPr>
        <w:t>Monasticon</w:t>
      </w:r>
      <w:proofErr w:type="spellEnd"/>
      <w:r w:rsidRPr="006765DB">
        <w:rPr>
          <w:rFonts w:ascii="Gautami" w:hAnsi="Gautami" w:cs="Gautami"/>
          <w:i/>
          <w:sz w:val="24"/>
        </w:rPr>
        <w:t xml:space="preserve"> </w:t>
      </w:r>
      <w:proofErr w:type="spellStart"/>
      <w:r w:rsidRPr="006765DB">
        <w:rPr>
          <w:rFonts w:ascii="Gautami" w:hAnsi="Gautami" w:cs="Gautami"/>
          <w:i/>
          <w:sz w:val="24"/>
        </w:rPr>
        <w:t>Anglicanum</w:t>
      </w:r>
      <w:proofErr w:type="spellEnd"/>
      <w:r w:rsidRPr="006765DB">
        <w:rPr>
          <w:rFonts w:ascii="Gautami" w:hAnsi="Gautami" w:cs="Gautami"/>
          <w:sz w:val="24"/>
        </w:rPr>
        <w:t xml:space="preserve">, cited in </w:t>
      </w:r>
      <w:r w:rsidR="002D3429" w:rsidRPr="006765DB">
        <w:rPr>
          <w:rFonts w:ascii="Gautami" w:hAnsi="Gautami" w:cs="Gautami"/>
          <w:sz w:val="24"/>
        </w:rPr>
        <w:t xml:space="preserve">Francis Hill, </w:t>
      </w:r>
      <w:r w:rsidR="002D3429" w:rsidRPr="006765DB">
        <w:rPr>
          <w:rFonts w:ascii="Gautami" w:hAnsi="Gautami" w:cs="Gautami"/>
          <w:i/>
          <w:sz w:val="24"/>
        </w:rPr>
        <w:t>Tudor and Stuart Lincoln</w:t>
      </w:r>
      <w:r w:rsidR="002D3429" w:rsidRPr="006765DB">
        <w:rPr>
          <w:rFonts w:ascii="Gautami" w:hAnsi="Gautami" w:cs="Gautami"/>
          <w:sz w:val="24"/>
        </w:rPr>
        <w:t xml:space="preserve"> (Lincoln: CUP Archive, 1996), p.50. </w:t>
      </w:r>
    </w:p>
    <w:p w:rsidR="00493E62" w:rsidRPr="006765DB" w:rsidRDefault="00493E62">
      <w:pPr>
        <w:rPr>
          <w:rFonts w:ascii="Gautami" w:hAnsi="Gautami" w:cs="Gautami"/>
          <w:sz w:val="24"/>
        </w:rPr>
      </w:pPr>
      <w:r w:rsidRPr="006765DB">
        <w:rPr>
          <w:rFonts w:ascii="Gautami" w:hAnsi="Gautami" w:cs="Gautami"/>
          <w:sz w:val="24"/>
        </w:rPr>
        <w:t xml:space="preserve">Jacobus da </w:t>
      </w:r>
      <w:proofErr w:type="spellStart"/>
      <w:r w:rsidRPr="006765DB">
        <w:rPr>
          <w:rFonts w:ascii="Gautami" w:hAnsi="Gautami" w:cs="Gautami"/>
          <w:sz w:val="24"/>
        </w:rPr>
        <w:t>Varagine</w:t>
      </w:r>
      <w:proofErr w:type="spellEnd"/>
      <w:r w:rsidRPr="006765DB">
        <w:rPr>
          <w:rFonts w:ascii="Gautami" w:hAnsi="Gautami" w:cs="Gautami"/>
          <w:sz w:val="24"/>
        </w:rPr>
        <w:t xml:space="preserve">, </w:t>
      </w:r>
      <w:r w:rsidRPr="006765DB">
        <w:rPr>
          <w:rFonts w:ascii="Gautami" w:hAnsi="Gautami" w:cs="Gautami"/>
          <w:i/>
          <w:sz w:val="24"/>
        </w:rPr>
        <w:t>The Golden Legend</w:t>
      </w:r>
      <w:r w:rsidRPr="006765DB">
        <w:rPr>
          <w:rFonts w:ascii="Gautami" w:hAnsi="Gautami" w:cs="Gautami"/>
          <w:sz w:val="24"/>
        </w:rPr>
        <w:t xml:space="preserve">, cited in Internet History Sourcebook, </w:t>
      </w:r>
      <w:r w:rsidRPr="006765DB">
        <w:rPr>
          <w:rFonts w:ascii="Gautami" w:hAnsi="Gautami" w:cs="Gautami"/>
          <w:i/>
          <w:sz w:val="24"/>
        </w:rPr>
        <w:t xml:space="preserve">The Golden Legend Volume: 6 - Life of S. Hugh, Bishop and Confessor </w:t>
      </w:r>
      <w:r w:rsidRPr="006765DB">
        <w:rPr>
          <w:rFonts w:ascii="Gautami" w:hAnsi="Gautami" w:cs="Gautami"/>
          <w:sz w:val="24"/>
        </w:rPr>
        <w:t xml:space="preserve">[online]. Available: </w:t>
      </w:r>
      <w:hyperlink r:id="rId14" w:anchor="Hugh" w:history="1">
        <w:r w:rsidRPr="006765DB">
          <w:rPr>
            <w:rStyle w:val="Hyperlink"/>
            <w:rFonts w:ascii="Gautami" w:hAnsi="Gautami" w:cs="Gautami"/>
            <w:sz w:val="24"/>
          </w:rPr>
          <w:t>https://sourcebooks.fordham.edu/basis/goldenlegend/GoldenLegend-Volume6.asp#Hugh</w:t>
        </w:r>
      </w:hyperlink>
      <w:r w:rsidRPr="006765DB">
        <w:rPr>
          <w:rFonts w:ascii="Gautami" w:hAnsi="Gautami" w:cs="Gautami"/>
          <w:sz w:val="24"/>
        </w:rPr>
        <w:t xml:space="preserve"> [accessed 7 April 2019].</w:t>
      </w:r>
    </w:p>
    <w:p w:rsidR="006802FC" w:rsidRPr="006765DB" w:rsidRDefault="006802FC">
      <w:pPr>
        <w:rPr>
          <w:rFonts w:ascii="Gautami" w:hAnsi="Gautami" w:cs="Gautami"/>
          <w:sz w:val="24"/>
        </w:rPr>
      </w:pPr>
    </w:p>
    <w:p w:rsidR="00C0453F" w:rsidRPr="006765DB" w:rsidRDefault="00C0453F" w:rsidP="001D69B8">
      <w:pPr>
        <w:jc w:val="center"/>
        <w:rPr>
          <w:rFonts w:ascii="Gautami" w:hAnsi="Gautami" w:cs="Gautami"/>
          <w:b/>
          <w:sz w:val="24"/>
        </w:rPr>
      </w:pPr>
      <w:r w:rsidRPr="006765DB">
        <w:rPr>
          <w:rFonts w:ascii="Gautami" w:hAnsi="Gautami" w:cs="Gautami"/>
          <w:b/>
          <w:i/>
          <w:sz w:val="24"/>
          <w:u w:val="single"/>
        </w:rPr>
        <w:t>Secondary Sources</w:t>
      </w:r>
    </w:p>
    <w:p w:rsidR="007D6B0C" w:rsidRPr="007D6B0C" w:rsidRDefault="007D6B0C">
      <w:pPr>
        <w:rPr>
          <w:rFonts w:ascii="Gautami" w:hAnsi="Gautami" w:cs="Gautami"/>
          <w:sz w:val="24"/>
        </w:rPr>
      </w:pPr>
      <w:r>
        <w:rPr>
          <w:rFonts w:ascii="Gautami" w:hAnsi="Gautami" w:cs="Gautami"/>
          <w:sz w:val="24"/>
        </w:rPr>
        <w:t xml:space="preserve">Antonia </w:t>
      </w:r>
      <w:proofErr w:type="spellStart"/>
      <w:r>
        <w:rPr>
          <w:rFonts w:ascii="Gautami" w:hAnsi="Gautami" w:cs="Gautami"/>
          <w:sz w:val="24"/>
        </w:rPr>
        <w:t>Gransden</w:t>
      </w:r>
      <w:proofErr w:type="spellEnd"/>
      <w:r>
        <w:rPr>
          <w:rFonts w:ascii="Gautami" w:hAnsi="Gautami" w:cs="Gautami"/>
          <w:sz w:val="24"/>
        </w:rPr>
        <w:t xml:space="preserve">, </w:t>
      </w:r>
      <w:proofErr w:type="spellStart"/>
      <w:r>
        <w:rPr>
          <w:rFonts w:ascii="Gautami" w:hAnsi="Gautami" w:cs="Gautami"/>
          <w:i/>
          <w:sz w:val="24"/>
        </w:rPr>
        <w:t>Historial</w:t>
      </w:r>
      <w:proofErr w:type="spellEnd"/>
      <w:r>
        <w:rPr>
          <w:rFonts w:ascii="Gautami" w:hAnsi="Gautami" w:cs="Gautami"/>
          <w:i/>
          <w:sz w:val="24"/>
        </w:rPr>
        <w:t xml:space="preserve"> Writing in England: c. 500 to c. 1307</w:t>
      </w:r>
      <w:r>
        <w:rPr>
          <w:rFonts w:ascii="Gautami" w:hAnsi="Gautami" w:cs="Gautami"/>
          <w:sz w:val="24"/>
        </w:rPr>
        <w:t xml:space="preserve"> (London: Psychology Press, 1996). </w:t>
      </w:r>
    </w:p>
    <w:p w:rsidR="00C360F1" w:rsidRPr="00FF5994" w:rsidRDefault="00C360F1">
      <w:pPr>
        <w:rPr>
          <w:rFonts w:ascii="Gautami" w:hAnsi="Gautami" w:cs="Gautami"/>
          <w:sz w:val="24"/>
        </w:rPr>
      </w:pPr>
      <w:proofErr w:type="spellStart"/>
      <w:r>
        <w:rPr>
          <w:rFonts w:ascii="Gautami" w:hAnsi="Gautami" w:cs="Gautami"/>
          <w:sz w:val="24"/>
        </w:rPr>
        <w:t>Bj</w:t>
      </w:r>
      <w:r>
        <w:rPr>
          <w:rFonts w:ascii="Georgia" w:hAnsi="Georgia" w:cs="Gautami"/>
          <w:sz w:val="24"/>
        </w:rPr>
        <w:t>ö</w:t>
      </w:r>
      <w:r>
        <w:rPr>
          <w:rFonts w:ascii="Gautami" w:hAnsi="Gautami" w:cs="Gautami"/>
          <w:sz w:val="24"/>
        </w:rPr>
        <w:t>rn</w:t>
      </w:r>
      <w:proofErr w:type="spellEnd"/>
      <w:r>
        <w:rPr>
          <w:rFonts w:ascii="Gautami" w:hAnsi="Gautami" w:cs="Gautami"/>
          <w:sz w:val="24"/>
        </w:rPr>
        <w:t xml:space="preserve"> </w:t>
      </w:r>
      <w:proofErr w:type="spellStart"/>
      <w:r>
        <w:rPr>
          <w:rFonts w:ascii="Gautami" w:hAnsi="Gautami" w:cs="Gautami"/>
          <w:sz w:val="24"/>
        </w:rPr>
        <w:t>Weiler</w:t>
      </w:r>
      <w:proofErr w:type="spellEnd"/>
      <w:r w:rsidR="00FF5994">
        <w:rPr>
          <w:rFonts w:ascii="Gautami" w:hAnsi="Gautami" w:cs="Gautami"/>
          <w:sz w:val="24"/>
        </w:rPr>
        <w:t xml:space="preserve">, </w:t>
      </w:r>
      <w:r w:rsidR="00FF5994" w:rsidRPr="00FF5994">
        <w:rPr>
          <w:rFonts w:ascii="Gautami" w:hAnsi="Gautami" w:cs="Gautami"/>
          <w:i/>
          <w:sz w:val="24"/>
        </w:rPr>
        <w:t xml:space="preserve">Religion and Politics in the </w:t>
      </w:r>
      <w:proofErr w:type="gramStart"/>
      <w:r w:rsidR="00FF5994" w:rsidRPr="00FF5994">
        <w:rPr>
          <w:rFonts w:ascii="Gautami" w:hAnsi="Gautami" w:cs="Gautami"/>
          <w:i/>
          <w:sz w:val="24"/>
        </w:rPr>
        <w:t>Middle</w:t>
      </w:r>
      <w:proofErr w:type="gramEnd"/>
      <w:r w:rsidR="00FF5994" w:rsidRPr="00FF5994">
        <w:rPr>
          <w:rFonts w:ascii="Gautami" w:hAnsi="Gautami" w:cs="Gautami"/>
          <w:i/>
          <w:sz w:val="24"/>
        </w:rPr>
        <w:t xml:space="preserve"> Ages: Germany and England by Comparison</w:t>
      </w:r>
      <w:r w:rsidR="00FF5994">
        <w:rPr>
          <w:rFonts w:ascii="Gautami" w:hAnsi="Gautami" w:cs="Gautami"/>
          <w:sz w:val="24"/>
        </w:rPr>
        <w:t xml:space="preserve"> (</w:t>
      </w:r>
      <w:r w:rsidR="00FF5994" w:rsidRPr="00FF5994">
        <w:rPr>
          <w:rFonts w:ascii="Gautami" w:hAnsi="Gautami" w:cs="Gautami"/>
          <w:sz w:val="24"/>
        </w:rPr>
        <w:t xml:space="preserve">Walter de </w:t>
      </w:r>
      <w:proofErr w:type="spellStart"/>
      <w:r w:rsidR="00FF5994" w:rsidRPr="00FF5994">
        <w:rPr>
          <w:rFonts w:ascii="Gautami" w:hAnsi="Gautami" w:cs="Gautami"/>
          <w:sz w:val="24"/>
        </w:rPr>
        <w:t>Gruyter</w:t>
      </w:r>
      <w:proofErr w:type="spellEnd"/>
      <w:r w:rsidR="00FF5994">
        <w:rPr>
          <w:rFonts w:ascii="Gautami" w:hAnsi="Gautami" w:cs="Gautami"/>
          <w:sz w:val="24"/>
        </w:rPr>
        <w:t>: 2013).</w:t>
      </w:r>
    </w:p>
    <w:p w:rsidR="00154220" w:rsidRPr="006765DB" w:rsidRDefault="00BA3B7A">
      <w:pPr>
        <w:rPr>
          <w:rFonts w:ascii="Gautami" w:hAnsi="Gautami" w:cs="Gautami"/>
          <w:sz w:val="24"/>
        </w:rPr>
      </w:pPr>
      <w:r w:rsidRPr="006765DB">
        <w:rPr>
          <w:rFonts w:ascii="Gautami" w:hAnsi="Gautami" w:cs="Gautami"/>
          <w:sz w:val="24"/>
        </w:rPr>
        <w:lastRenderedPageBreak/>
        <w:t xml:space="preserve">Brookes, and </w:t>
      </w:r>
      <w:proofErr w:type="spellStart"/>
      <w:r w:rsidRPr="006765DB">
        <w:rPr>
          <w:rFonts w:ascii="Gautami" w:hAnsi="Gautami" w:cs="Gautami"/>
          <w:sz w:val="24"/>
        </w:rPr>
        <w:t>Vibert</w:t>
      </w:r>
      <w:proofErr w:type="spellEnd"/>
      <w:r w:rsidRPr="006765DB">
        <w:rPr>
          <w:rFonts w:ascii="Gautami" w:hAnsi="Gautami" w:cs="Gautami"/>
          <w:sz w:val="24"/>
        </w:rPr>
        <w:t xml:space="preserve">, </w:t>
      </w:r>
      <w:r w:rsidRPr="006765DB">
        <w:rPr>
          <w:rFonts w:ascii="Gautami" w:hAnsi="Gautami" w:cs="Gautami"/>
          <w:i/>
          <w:sz w:val="24"/>
        </w:rPr>
        <w:t>History and Antiquity of Lincoln: Lincoln Cathedral</w:t>
      </w:r>
      <w:r w:rsidRPr="006765DB">
        <w:rPr>
          <w:rFonts w:ascii="Gautami" w:hAnsi="Gautami" w:cs="Gautami"/>
          <w:sz w:val="24"/>
        </w:rPr>
        <w:t xml:space="preserve"> (</w:t>
      </w:r>
      <w:r w:rsidR="00C0453F" w:rsidRPr="006765DB">
        <w:rPr>
          <w:rFonts w:ascii="Gautami" w:hAnsi="Gautami" w:cs="Gautami"/>
          <w:sz w:val="24"/>
        </w:rPr>
        <w:t xml:space="preserve">London: </w:t>
      </w:r>
      <w:proofErr w:type="spellStart"/>
      <w:r w:rsidR="00C0453F" w:rsidRPr="006765DB">
        <w:rPr>
          <w:rFonts w:ascii="Gautami" w:hAnsi="Gautami" w:cs="Gautami"/>
          <w:sz w:val="24"/>
        </w:rPr>
        <w:t>Kessinger</w:t>
      </w:r>
      <w:proofErr w:type="spellEnd"/>
      <w:r w:rsidR="00C0453F" w:rsidRPr="006765DB">
        <w:rPr>
          <w:rFonts w:ascii="Gautami" w:hAnsi="Gautami" w:cs="Gautami"/>
          <w:sz w:val="24"/>
        </w:rPr>
        <w:t xml:space="preserve"> Publishing, </w:t>
      </w:r>
      <w:r w:rsidRPr="006765DB">
        <w:rPr>
          <w:rFonts w:ascii="Gautami" w:hAnsi="Gautami" w:cs="Gautami"/>
          <w:sz w:val="24"/>
        </w:rPr>
        <w:t>1865).</w:t>
      </w:r>
    </w:p>
    <w:p w:rsidR="00D2002E" w:rsidRPr="006765DB" w:rsidRDefault="00D2002E">
      <w:pPr>
        <w:rPr>
          <w:rFonts w:ascii="Gautami" w:hAnsi="Gautami" w:cs="Gautami"/>
          <w:sz w:val="24"/>
        </w:rPr>
      </w:pPr>
      <w:r w:rsidRPr="006765DB">
        <w:rPr>
          <w:rFonts w:ascii="Gautami" w:hAnsi="Gautami" w:cs="Gautami"/>
          <w:sz w:val="24"/>
        </w:rPr>
        <w:t xml:space="preserve">Carole Rawcliffe, </w:t>
      </w:r>
      <w:r w:rsidRPr="006765DB">
        <w:rPr>
          <w:rFonts w:ascii="Gautami" w:hAnsi="Gautami" w:cs="Gautami"/>
          <w:i/>
          <w:sz w:val="24"/>
        </w:rPr>
        <w:t xml:space="preserve">Medicine &amp; Society </w:t>
      </w:r>
      <w:proofErr w:type="gramStart"/>
      <w:r w:rsidRPr="006765DB">
        <w:rPr>
          <w:rFonts w:ascii="Gautami" w:hAnsi="Gautami" w:cs="Gautami"/>
          <w:i/>
          <w:sz w:val="24"/>
        </w:rPr>
        <w:t>In</w:t>
      </w:r>
      <w:proofErr w:type="gramEnd"/>
      <w:r w:rsidRPr="006765DB">
        <w:rPr>
          <w:rFonts w:ascii="Gautami" w:hAnsi="Gautami" w:cs="Gautami"/>
          <w:i/>
          <w:sz w:val="24"/>
        </w:rPr>
        <w:t xml:space="preserve"> Later Medieval England</w:t>
      </w:r>
      <w:r w:rsidRPr="006765DB">
        <w:rPr>
          <w:rFonts w:ascii="Gautami" w:hAnsi="Gautami" w:cs="Gautami"/>
          <w:sz w:val="24"/>
        </w:rPr>
        <w:t xml:space="preserve"> (London: Alan Sutton Publishing Ltd, 1995)</w:t>
      </w:r>
      <w:r w:rsidR="002D06BF">
        <w:rPr>
          <w:rFonts w:ascii="Gautami" w:hAnsi="Gautami" w:cs="Gautami"/>
          <w:sz w:val="24"/>
        </w:rPr>
        <w:t>.</w:t>
      </w:r>
    </w:p>
    <w:p w:rsidR="00706E90" w:rsidRPr="006765DB" w:rsidRDefault="00D370E9">
      <w:pPr>
        <w:rPr>
          <w:rFonts w:ascii="Gautami" w:hAnsi="Gautami" w:cs="Gautami"/>
          <w:sz w:val="24"/>
        </w:rPr>
      </w:pPr>
      <w:r>
        <w:rPr>
          <w:rFonts w:ascii="Gautami" w:hAnsi="Gautami" w:cs="Gautami"/>
          <w:sz w:val="24"/>
        </w:rPr>
        <w:t>Christine Quig</w:t>
      </w:r>
      <w:r w:rsidR="00706E90" w:rsidRPr="006765DB">
        <w:rPr>
          <w:rFonts w:ascii="Gautami" w:hAnsi="Gautami" w:cs="Gautami"/>
          <w:sz w:val="24"/>
        </w:rPr>
        <w:t xml:space="preserve">ley, </w:t>
      </w:r>
      <w:proofErr w:type="gramStart"/>
      <w:r w:rsidR="00706E90" w:rsidRPr="006765DB">
        <w:rPr>
          <w:rFonts w:ascii="Gautami" w:hAnsi="Gautami" w:cs="Gautami"/>
          <w:i/>
          <w:sz w:val="24"/>
        </w:rPr>
        <w:t>The</w:t>
      </w:r>
      <w:proofErr w:type="gramEnd"/>
      <w:r w:rsidR="00706E90" w:rsidRPr="006765DB">
        <w:rPr>
          <w:rFonts w:ascii="Gautami" w:hAnsi="Gautami" w:cs="Gautami"/>
          <w:i/>
          <w:sz w:val="24"/>
        </w:rPr>
        <w:t xml:space="preserve"> Corpse: A History</w:t>
      </w:r>
      <w:r w:rsidR="00706E90" w:rsidRPr="006765DB">
        <w:rPr>
          <w:rFonts w:ascii="Gautami" w:hAnsi="Gautami" w:cs="Gautami"/>
          <w:sz w:val="24"/>
        </w:rPr>
        <w:t xml:space="preserve"> (North Carolina: McFarland, 2005</w:t>
      </w:r>
      <w:r w:rsidR="002D06BF">
        <w:rPr>
          <w:rFonts w:ascii="Gautami" w:hAnsi="Gautami" w:cs="Gautami"/>
          <w:sz w:val="24"/>
        </w:rPr>
        <w:t>).</w:t>
      </w:r>
    </w:p>
    <w:p w:rsidR="002D06BF" w:rsidRDefault="0077246D">
      <w:pPr>
        <w:rPr>
          <w:rFonts w:ascii="Gautami" w:hAnsi="Gautami" w:cs="Gautami"/>
          <w:sz w:val="24"/>
        </w:rPr>
      </w:pPr>
      <w:r w:rsidRPr="006765DB">
        <w:rPr>
          <w:rFonts w:ascii="Gautami" w:hAnsi="Gautami" w:cs="Gautami"/>
          <w:sz w:val="24"/>
        </w:rPr>
        <w:t xml:space="preserve">Elina </w:t>
      </w:r>
      <w:proofErr w:type="spellStart"/>
      <w:r w:rsidRPr="006765DB">
        <w:rPr>
          <w:rFonts w:ascii="Gautami" w:hAnsi="Gautami" w:cs="Gautami"/>
          <w:sz w:val="24"/>
        </w:rPr>
        <w:t>Gertsman</w:t>
      </w:r>
      <w:proofErr w:type="spellEnd"/>
      <w:r w:rsidRPr="006765DB">
        <w:rPr>
          <w:rFonts w:ascii="Gautami" w:hAnsi="Gautami" w:cs="Gautami"/>
          <w:sz w:val="24"/>
        </w:rPr>
        <w:t xml:space="preserve">, </w:t>
      </w:r>
      <w:r w:rsidRPr="006765DB">
        <w:rPr>
          <w:rFonts w:ascii="Gautami" w:hAnsi="Gautami" w:cs="Gautami"/>
          <w:i/>
          <w:sz w:val="24"/>
        </w:rPr>
        <w:t xml:space="preserve">Feeling Things: Objects and Emotions </w:t>
      </w:r>
      <w:proofErr w:type="gramStart"/>
      <w:r w:rsidRPr="006765DB">
        <w:rPr>
          <w:rFonts w:ascii="Gautami" w:hAnsi="Gautami" w:cs="Gautami"/>
          <w:i/>
          <w:sz w:val="24"/>
        </w:rPr>
        <w:t>Through</w:t>
      </w:r>
      <w:proofErr w:type="gramEnd"/>
      <w:r w:rsidRPr="006765DB">
        <w:rPr>
          <w:rFonts w:ascii="Gautami" w:hAnsi="Gautami" w:cs="Gautami"/>
          <w:i/>
          <w:sz w:val="24"/>
        </w:rPr>
        <w:t xml:space="preserve"> History</w:t>
      </w:r>
      <w:r w:rsidRPr="006765DB">
        <w:rPr>
          <w:rFonts w:ascii="Gautami" w:hAnsi="Gautami" w:cs="Gautami"/>
          <w:sz w:val="24"/>
        </w:rPr>
        <w:t xml:space="preserve">, ed. </w:t>
      </w:r>
      <w:r w:rsidR="00A713F4" w:rsidRPr="006765DB">
        <w:rPr>
          <w:rFonts w:ascii="Gautami" w:hAnsi="Gautami" w:cs="Gautami"/>
          <w:sz w:val="24"/>
        </w:rPr>
        <w:t xml:space="preserve">S. </w:t>
      </w:r>
      <w:proofErr w:type="spellStart"/>
      <w:r w:rsidR="00A713F4" w:rsidRPr="006765DB">
        <w:rPr>
          <w:rFonts w:ascii="Gautami" w:hAnsi="Gautami" w:cs="Gautami"/>
          <w:sz w:val="24"/>
        </w:rPr>
        <w:t>Downes</w:t>
      </w:r>
      <w:proofErr w:type="spellEnd"/>
      <w:r w:rsidRPr="006765DB">
        <w:rPr>
          <w:rFonts w:ascii="Gautami" w:hAnsi="Gautami" w:cs="Gautami"/>
          <w:sz w:val="24"/>
        </w:rPr>
        <w:t xml:space="preserve"> (Oxford: Oxford University Press: 2018)</w:t>
      </w:r>
      <w:r w:rsidR="002D06BF">
        <w:rPr>
          <w:rFonts w:ascii="Gautami" w:hAnsi="Gautami" w:cs="Gautami"/>
          <w:sz w:val="24"/>
        </w:rPr>
        <w:t>.</w:t>
      </w:r>
    </w:p>
    <w:p w:rsidR="00023DAC" w:rsidRDefault="00023DAC">
      <w:pPr>
        <w:rPr>
          <w:rFonts w:ascii="Gautami" w:hAnsi="Gautami" w:cs="Gautami"/>
          <w:b/>
          <w:sz w:val="24"/>
        </w:rPr>
      </w:pPr>
      <w:proofErr w:type="gramStart"/>
      <w:r w:rsidRPr="006765DB">
        <w:rPr>
          <w:rFonts w:ascii="Gautami" w:hAnsi="Gautami" w:cs="Gautami"/>
          <w:sz w:val="24"/>
        </w:rPr>
        <w:t xml:space="preserve">Francis Hill, </w:t>
      </w:r>
      <w:r w:rsidRPr="006765DB">
        <w:rPr>
          <w:rFonts w:ascii="Gautami" w:hAnsi="Gautami" w:cs="Gautami"/>
          <w:i/>
          <w:sz w:val="24"/>
        </w:rPr>
        <w:t>Tudor and Stuart Lincoln</w:t>
      </w:r>
      <w:r w:rsidR="00F54797">
        <w:rPr>
          <w:rFonts w:ascii="Gautami" w:hAnsi="Gautami" w:cs="Gautami"/>
          <w:sz w:val="24"/>
        </w:rPr>
        <w:t xml:space="preserve"> (Lincoln: CUP Archive, 1996).</w:t>
      </w:r>
      <w:proofErr w:type="gramEnd"/>
    </w:p>
    <w:p w:rsidR="00FF6713" w:rsidRPr="00FF6713" w:rsidRDefault="00FF6713">
      <w:pPr>
        <w:rPr>
          <w:rFonts w:ascii="Gautami" w:hAnsi="Gautami" w:cs="Gautami"/>
          <w:sz w:val="24"/>
        </w:rPr>
      </w:pPr>
      <w:r>
        <w:rPr>
          <w:rFonts w:ascii="Gautami" w:hAnsi="Gautami" w:cs="Gautami"/>
          <w:sz w:val="24"/>
        </w:rPr>
        <w:t xml:space="preserve">George </w:t>
      </w:r>
      <w:proofErr w:type="spellStart"/>
      <w:r>
        <w:rPr>
          <w:rFonts w:ascii="Gautami" w:hAnsi="Gautami" w:cs="Gautami"/>
          <w:sz w:val="24"/>
        </w:rPr>
        <w:t>Gresley</w:t>
      </w:r>
      <w:proofErr w:type="spellEnd"/>
      <w:r>
        <w:rPr>
          <w:rFonts w:ascii="Gautami" w:hAnsi="Gautami" w:cs="Gautami"/>
          <w:sz w:val="24"/>
        </w:rPr>
        <w:t xml:space="preserve"> Perry, </w:t>
      </w:r>
      <w:proofErr w:type="gramStart"/>
      <w:r w:rsidRPr="00FF6713">
        <w:rPr>
          <w:rFonts w:ascii="Gautami" w:hAnsi="Gautami" w:cs="Gautami"/>
          <w:i/>
          <w:sz w:val="24"/>
        </w:rPr>
        <w:t>The</w:t>
      </w:r>
      <w:proofErr w:type="gramEnd"/>
      <w:r w:rsidRPr="00FF6713">
        <w:rPr>
          <w:rFonts w:ascii="Gautami" w:hAnsi="Gautami" w:cs="Gautami"/>
          <w:i/>
          <w:sz w:val="24"/>
        </w:rPr>
        <w:t xml:space="preserve"> Life of St. Hugh of Avalon, Bishop of Lincoln: With Some Account of His Predecessors in the See of Lincoln</w:t>
      </w:r>
      <w:r>
        <w:rPr>
          <w:rFonts w:ascii="Gautami" w:hAnsi="Gautami" w:cs="Gautami"/>
          <w:sz w:val="24"/>
        </w:rPr>
        <w:t xml:space="preserve"> (London: J Murray Publishers, 1879). </w:t>
      </w:r>
    </w:p>
    <w:p w:rsidR="00533A00" w:rsidRDefault="00533A00">
      <w:pPr>
        <w:rPr>
          <w:rFonts w:ascii="Gautami" w:hAnsi="Gautami" w:cs="Gautami"/>
          <w:sz w:val="24"/>
        </w:rPr>
      </w:pPr>
      <w:r>
        <w:rPr>
          <w:rFonts w:ascii="Gautami" w:hAnsi="Gautami" w:cs="Gautami"/>
          <w:sz w:val="24"/>
        </w:rPr>
        <w:t xml:space="preserve">Herbert Thurston, </w:t>
      </w:r>
      <w:proofErr w:type="gramStart"/>
      <w:r>
        <w:rPr>
          <w:rFonts w:ascii="Gautami" w:hAnsi="Gautami" w:cs="Gautami"/>
          <w:i/>
          <w:sz w:val="24"/>
        </w:rPr>
        <w:t>The</w:t>
      </w:r>
      <w:proofErr w:type="gramEnd"/>
      <w:r>
        <w:rPr>
          <w:rFonts w:ascii="Gautami" w:hAnsi="Gautami" w:cs="Gautami"/>
          <w:i/>
          <w:sz w:val="24"/>
        </w:rPr>
        <w:t xml:space="preserve"> Life of Saint Hugh of Lincoln</w:t>
      </w:r>
      <w:r w:rsidR="00F019E7">
        <w:rPr>
          <w:rFonts w:ascii="Gautami" w:hAnsi="Gautami" w:cs="Gautami"/>
          <w:sz w:val="24"/>
        </w:rPr>
        <w:t xml:space="preserve"> (Lon</w:t>
      </w:r>
      <w:r w:rsidR="002D06BF">
        <w:rPr>
          <w:rFonts w:ascii="Gautami" w:hAnsi="Gautami" w:cs="Gautami"/>
          <w:sz w:val="24"/>
        </w:rPr>
        <w:t>don: Burns and Oates, 1898).</w:t>
      </w:r>
    </w:p>
    <w:p w:rsidR="00C824AA" w:rsidRPr="00572936" w:rsidRDefault="00C824AA">
      <w:pPr>
        <w:rPr>
          <w:rFonts w:ascii="Gautami" w:hAnsi="Gautami" w:cs="Gautami"/>
          <w:sz w:val="24"/>
        </w:rPr>
      </w:pPr>
      <w:r>
        <w:rPr>
          <w:rFonts w:ascii="Gautami" w:hAnsi="Gautami" w:cs="Gautami"/>
          <w:sz w:val="24"/>
        </w:rPr>
        <w:t xml:space="preserve">Jane Schulenburg, </w:t>
      </w:r>
      <w:r w:rsidRPr="00C824AA">
        <w:rPr>
          <w:rFonts w:ascii="Gautami" w:hAnsi="Gautami" w:cs="Gautami"/>
          <w:i/>
          <w:sz w:val="24"/>
        </w:rPr>
        <w:t>Where Heaven and Earth Meet: Essays on Medieval Europe</w:t>
      </w:r>
      <w:r>
        <w:rPr>
          <w:rFonts w:ascii="Gautami" w:hAnsi="Gautami" w:cs="Gautami"/>
          <w:sz w:val="24"/>
        </w:rPr>
        <w:t xml:space="preserve">, ed. M. </w:t>
      </w:r>
      <w:proofErr w:type="spellStart"/>
      <w:r>
        <w:rPr>
          <w:rFonts w:ascii="Gautami" w:hAnsi="Gautami" w:cs="Gautami"/>
          <w:sz w:val="24"/>
        </w:rPr>
        <w:t>Frassetto</w:t>
      </w:r>
      <w:proofErr w:type="spellEnd"/>
      <w:r>
        <w:rPr>
          <w:rFonts w:ascii="Gautami" w:hAnsi="Gautami" w:cs="Gautami"/>
          <w:i/>
          <w:sz w:val="24"/>
        </w:rPr>
        <w:t xml:space="preserve"> </w:t>
      </w:r>
      <w:r>
        <w:rPr>
          <w:rFonts w:ascii="Gautami" w:hAnsi="Gautami" w:cs="Gautami"/>
          <w:sz w:val="24"/>
        </w:rPr>
        <w:t xml:space="preserve">(Boston: BRILL, 2014). </w:t>
      </w:r>
    </w:p>
    <w:p w:rsidR="009221D2" w:rsidRPr="009221D2" w:rsidRDefault="009221D2">
      <w:pPr>
        <w:rPr>
          <w:rFonts w:ascii="Gautami" w:hAnsi="Gautami" w:cs="Gautami"/>
          <w:sz w:val="24"/>
        </w:rPr>
      </w:pPr>
      <w:r>
        <w:rPr>
          <w:rFonts w:ascii="Gautami" w:hAnsi="Gautami" w:cs="Gautami"/>
          <w:sz w:val="24"/>
        </w:rPr>
        <w:t xml:space="preserve">Janet Burton, </w:t>
      </w:r>
      <w:r>
        <w:rPr>
          <w:rFonts w:ascii="Gautami" w:hAnsi="Gautami" w:cs="Gautami"/>
          <w:i/>
          <w:sz w:val="24"/>
        </w:rPr>
        <w:t xml:space="preserve">All Fingers, </w:t>
      </w:r>
      <w:proofErr w:type="gramStart"/>
      <w:r>
        <w:rPr>
          <w:rFonts w:ascii="Gautami" w:hAnsi="Gautami" w:cs="Gautami"/>
          <w:i/>
          <w:sz w:val="24"/>
        </w:rPr>
        <w:t>No</w:t>
      </w:r>
      <w:proofErr w:type="gramEnd"/>
      <w:r>
        <w:rPr>
          <w:rFonts w:ascii="Gautami" w:hAnsi="Gautami" w:cs="Gautami"/>
          <w:i/>
          <w:sz w:val="24"/>
        </w:rPr>
        <w:t xml:space="preserve"> Thumbs: The Materiality of a Medieval Reli</w:t>
      </w:r>
      <w:r w:rsidR="007615F8">
        <w:rPr>
          <w:rFonts w:ascii="Gautami" w:hAnsi="Gautami" w:cs="Gautami"/>
          <w:i/>
          <w:sz w:val="24"/>
        </w:rPr>
        <w:t>c</w:t>
      </w:r>
      <w:r>
        <w:rPr>
          <w:rFonts w:ascii="Gautami" w:hAnsi="Gautami" w:cs="Gautami"/>
          <w:i/>
          <w:sz w:val="24"/>
        </w:rPr>
        <w:t xml:space="preserve">, ed. L. </w:t>
      </w:r>
      <w:proofErr w:type="spellStart"/>
      <w:r>
        <w:rPr>
          <w:rFonts w:ascii="Gautami" w:hAnsi="Gautami" w:cs="Gautami"/>
          <w:i/>
          <w:sz w:val="24"/>
        </w:rPr>
        <w:t>Attala</w:t>
      </w:r>
      <w:proofErr w:type="spellEnd"/>
      <w:r>
        <w:rPr>
          <w:rFonts w:ascii="Gautami" w:hAnsi="Gautami" w:cs="Gautami"/>
          <w:i/>
          <w:sz w:val="24"/>
        </w:rPr>
        <w:t xml:space="preserve"> and L. Steele </w:t>
      </w:r>
      <w:r>
        <w:rPr>
          <w:rFonts w:ascii="Gautami" w:hAnsi="Gautami" w:cs="Gautami"/>
          <w:sz w:val="24"/>
        </w:rPr>
        <w:t>(Cardiff: Uni</w:t>
      </w:r>
      <w:r w:rsidR="002D06BF">
        <w:rPr>
          <w:rFonts w:ascii="Gautami" w:hAnsi="Gautami" w:cs="Gautami"/>
          <w:sz w:val="24"/>
        </w:rPr>
        <w:t>versity of Wales Press, 2019).</w:t>
      </w:r>
    </w:p>
    <w:p w:rsidR="008B3F7F" w:rsidRPr="006765DB" w:rsidRDefault="008B3F7F">
      <w:pPr>
        <w:rPr>
          <w:rFonts w:ascii="Gautami" w:hAnsi="Gautami" w:cs="Gautami"/>
          <w:sz w:val="24"/>
        </w:rPr>
      </w:pPr>
      <w:r w:rsidRPr="006765DB">
        <w:rPr>
          <w:rFonts w:ascii="Gautami" w:hAnsi="Gautami" w:cs="Gautami"/>
          <w:sz w:val="24"/>
        </w:rPr>
        <w:t xml:space="preserve">Madeline Harrison </w:t>
      </w:r>
      <w:proofErr w:type="spellStart"/>
      <w:r w:rsidRPr="006765DB">
        <w:rPr>
          <w:rFonts w:ascii="Gautami" w:hAnsi="Gautami" w:cs="Gautami"/>
          <w:sz w:val="24"/>
        </w:rPr>
        <w:t>Caviness</w:t>
      </w:r>
      <w:proofErr w:type="spellEnd"/>
      <w:r w:rsidRPr="006765DB">
        <w:rPr>
          <w:rFonts w:ascii="Gautami" w:hAnsi="Gautami" w:cs="Gautami"/>
          <w:sz w:val="24"/>
        </w:rPr>
        <w:t xml:space="preserve">, </w:t>
      </w:r>
      <w:proofErr w:type="gramStart"/>
      <w:r w:rsidRPr="006765DB">
        <w:rPr>
          <w:rFonts w:ascii="Gautami" w:hAnsi="Gautami" w:cs="Gautami"/>
          <w:i/>
          <w:sz w:val="24"/>
        </w:rPr>
        <w:t>A</w:t>
      </w:r>
      <w:proofErr w:type="gramEnd"/>
      <w:r w:rsidRPr="006765DB">
        <w:rPr>
          <w:rFonts w:ascii="Gautami" w:hAnsi="Gautami" w:cs="Gautami"/>
          <w:i/>
          <w:sz w:val="24"/>
        </w:rPr>
        <w:t xml:space="preserve"> Companion to Medieval Art: Romanesque and Gothic in Northern Europe</w:t>
      </w:r>
      <w:r w:rsidRPr="006765DB">
        <w:rPr>
          <w:rFonts w:ascii="Gautami" w:hAnsi="Gautami" w:cs="Gautami"/>
          <w:sz w:val="24"/>
        </w:rPr>
        <w:t xml:space="preserve"> (Chiche</w:t>
      </w:r>
      <w:r w:rsidR="002D06BF">
        <w:rPr>
          <w:rFonts w:ascii="Gautami" w:hAnsi="Gautami" w:cs="Gautami"/>
          <w:sz w:val="24"/>
        </w:rPr>
        <w:t>ster: John Wiley &amp; Sons, 2019).</w:t>
      </w:r>
    </w:p>
    <w:p w:rsidR="00D055AC" w:rsidRPr="006765DB" w:rsidRDefault="00D055AC">
      <w:pPr>
        <w:rPr>
          <w:rFonts w:ascii="Gautami" w:hAnsi="Gautami" w:cs="Gautami"/>
          <w:sz w:val="24"/>
        </w:rPr>
      </w:pPr>
      <w:proofErr w:type="gramStart"/>
      <w:r w:rsidRPr="006765DB">
        <w:rPr>
          <w:rFonts w:ascii="Gautami" w:hAnsi="Gautami" w:cs="Gautami"/>
          <w:sz w:val="24"/>
        </w:rPr>
        <w:t xml:space="preserve">New Advent Catholic Encyclopaedia, </w:t>
      </w:r>
      <w:r w:rsidRPr="006765DB">
        <w:rPr>
          <w:rFonts w:ascii="Gautami" w:hAnsi="Gautami" w:cs="Gautami"/>
          <w:i/>
          <w:sz w:val="24"/>
        </w:rPr>
        <w:t xml:space="preserve">St. Hugh of Lincoln </w:t>
      </w:r>
      <w:r w:rsidRPr="006765DB">
        <w:rPr>
          <w:rFonts w:ascii="Gautami" w:hAnsi="Gautami" w:cs="Gautami"/>
          <w:sz w:val="24"/>
        </w:rPr>
        <w:t>[online].</w:t>
      </w:r>
      <w:proofErr w:type="gramEnd"/>
      <w:r w:rsidRPr="006765DB">
        <w:rPr>
          <w:rFonts w:ascii="Gautami" w:hAnsi="Gautami" w:cs="Gautami"/>
          <w:sz w:val="24"/>
        </w:rPr>
        <w:t xml:space="preserve"> Available: </w:t>
      </w:r>
      <w:hyperlink r:id="rId15" w:history="1">
        <w:r w:rsidRPr="006765DB">
          <w:rPr>
            <w:rStyle w:val="Hyperlink"/>
            <w:rFonts w:ascii="Gautami" w:hAnsi="Gautami" w:cs="Gautami"/>
            <w:sz w:val="24"/>
          </w:rPr>
          <w:t>http://www.newadvent.org/cathen/07519c.htm</w:t>
        </w:r>
      </w:hyperlink>
      <w:r w:rsidRPr="006765DB">
        <w:rPr>
          <w:rFonts w:ascii="Gautami" w:hAnsi="Gautami" w:cs="Gautami"/>
          <w:sz w:val="24"/>
        </w:rPr>
        <w:t xml:space="preserve"> [accessed 5 </w:t>
      </w:r>
      <w:r w:rsidR="00C9368B" w:rsidRPr="006765DB">
        <w:rPr>
          <w:rFonts w:ascii="Gautami" w:hAnsi="Gautami" w:cs="Gautami"/>
          <w:sz w:val="24"/>
        </w:rPr>
        <w:t>April</w:t>
      </w:r>
      <w:r w:rsidRPr="006765DB">
        <w:rPr>
          <w:rFonts w:ascii="Gautami" w:hAnsi="Gautami" w:cs="Gautami"/>
          <w:sz w:val="24"/>
        </w:rPr>
        <w:t xml:space="preserve"> 2019].</w:t>
      </w:r>
    </w:p>
    <w:p w:rsidR="00027FA4" w:rsidRPr="00027FA4" w:rsidRDefault="00027FA4">
      <w:pPr>
        <w:rPr>
          <w:rFonts w:ascii="Gautami" w:hAnsi="Gautami" w:cs="Gautami"/>
          <w:sz w:val="24"/>
        </w:rPr>
      </w:pPr>
      <w:r>
        <w:rPr>
          <w:rFonts w:ascii="Gautami" w:hAnsi="Gautami" w:cs="Gautami"/>
          <w:sz w:val="24"/>
        </w:rPr>
        <w:t xml:space="preserve">Reginald Wooley, </w:t>
      </w:r>
      <w:r>
        <w:rPr>
          <w:rFonts w:ascii="Gautami" w:hAnsi="Gautami" w:cs="Gautami"/>
          <w:i/>
          <w:sz w:val="24"/>
        </w:rPr>
        <w:t>St. Hugh of Lincoln</w:t>
      </w:r>
      <w:r>
        <w:rPr>
          <w:rFonts w:ascii="Gautami" w:hAnsi="Gautami" w:cs="Gautami"/>
          <w:sz w:val="24"/>
        </w:rPr>
        <w:t xml:space="preserve"> (London: Society for Christian Knowledge, 1927).</w:t>
      </w:r>
    </w:p>
    <w:p w:rsidR="00AC14C8" w:rsidRPr="00AC14C8" w:rsidRDefault="00AC14C8">
      <w:pPr>
        <w:rPr>
          <w:rFonts w:ascii="Gautami" w:hAnsi="Gautami" w:cs="Gautami"/>
          <w:sz w:val="24"/>
        </w:rPr>
      </w:pPr>
      <w:r>
        <w:rPr>
          <w:rFonts w:ascii="Gautami" w:hAnsi="Gautami" w:cs="Gautami"/>
          <w:sz w:val="24"/>
        </w:rPr>
        <w:t xml:space="preserve">Richard Morgan Loomis, </w:t>
      </w:r>
      <w:r w:rsidRPr="00AC14C8">
        <w:rPr>
          <w:rFonts w:ascii="Gautami" w:hAnsi="Gautami" w:cs="Gautami"/>
          <w:i/>
          <w:sz w:val="24"/>
        </w:rPr>
        <w:t>The life of St. Hugh of Avalon, Bishop of Lincoln 1186-1200</w:t>
      </w:r>
      <w:r>
        <w:rPr>
          <w:rFonts w:ascii="Gautami" w:hAnsi="Gautami" w:cs="Gautami"/>
          <w:sz w:val="24"/>
        </w:rPr>
        <w:t xml:space="preserve"> (Lon</w:t>
      </w:r>
      <w:r w:rsidR="00083E3E">
        <w:rPr>
          <w:rFonts w:ascii="Gautami" w:hAnsi="Gautami" w:cs="Gautami"/>
          <w:sz w:val="24"/>
        </w:rPr>
        <w:t>don: Garland Pub., 1985).</w:t>
      </w:r>
    </w:p>
    <w:p w:rsidR="007C2585" w:rsidRPr="006765DB" w:rsidRDefault="007C2585">
      <w:pPr>
        <w:rPr>
          <w:rFonts w:ascii="Gautami" w:hAnsi="Gautami" w:cs="Gautami"/>
          <w:sz w:val="24"/>
        </w:rPr>
      </w:pPr>
      <w:r w:rsidRPr="006765DB">
        <w:rPr>
          <w:rFonts w:ascii="Gautami" w:hAnsi="Gautami" w:cs="Gautami"/>
          <w:sz w:val="24"/>
        </w:rPr>
        <w:t xml:space="preserve">Susan Haskins, </w:t>
      </w:r>
      <w:r w:rsidRPr="006765DB">
        <w:rPr>
          <w:rFonts w:ascii="Gautami" w:hAnsi="Gautami" w:cs="Gautami"/>
          <w:i/>
          <w:sz w:val="24"/>
        </w:rPr>
        <w:t xml:space="preserve">Mary Magdalen: Myth and Metaphor </w:t>
      </w:r>
      <w:r w:rsidRPr="006765DB">
        <w:rPr>
          <w:rFonts w:ascii="Gautami" w:hAnsi="Gautami" w:cs="Gautami"/>
          <w:sz w:val="24"/>
        </w:rPr>
        <w:t>(New York: Harcourt, Brace &amp; Co., 1993)</w:t>
      </w:r>
      <w:r w:rsidR="00083E3E">
        <w:rPr>
          <w:rFonts w:ascii="Gautami" w:hAnsi="Gautami" w:cs="Gautami"/>
          <w:sz w:val="24"/>
        </w:rPr>
        <w:t>.</w:t>
      </w:r>
      <w:r w:rsidRPr="006765DB">
        <w:rPr>
          <w:rFonts w:ascii="Gautami" w:hAnsi="Gautami" w:cs="Gautami"/>
          <w:sz w:val="24"/>
        </w:rPr>
        <w:t xml:space="preserve"> </w:t>
      </w:r>
    </w:p>
    <w:p w:rsidR="007830AE" w:rsidRPr="006765DB" w:rsidRDefault="007830AE">
      <w:pPr>
        <w:rPr>
          <w:rFonts w:ascii="Gautami" w:hAnsi="Gautami" w:cs="Gautami"/>
          <w:sz w:val="24"/>
        </w:rPr>
      </w:pPr>
    </w:p>
    <w:p w:rsidR="007C19EB" w:rsidRPr="006765DB" w:rsidRDefault="007C19EB" w:rsidP="001D69B8">
      <w:pPr>
        <w:jc w:val="center"/>
        <w:rPr>
          <w:rFonts w:ascii="Gautami" w:hAnsi="Gautami" w:cs="Gautami"/>
          <w:b/>
          <w:i/>
          <w:sz w:val="24"/>
          <w:u w:val="single"/>
        </w:rPr>
      </w:pPr>
      <w:r w:rsidRPr="006765DB">
        <w:rPr>
          <w:rFonts w:ascii="Gautami" w:hAnsi="Gautami" w:cs="Gautami"/>
          <w:b/>
          <w:i/>
          <w:sz w:val="24"/>
          <w:u w:val="single"/>
        </w:rPr>
        <w:t>Image References</w:t>
      </w:r>
    </w:p>
    <w:p w:rsidR="00455BF2" w:rsidRPr="006765DB" w:rsidRDefault="008066AA">
      <w:pPr>
        <w:rPr>
          <w:rFonts w:ascii="Gautami" w:hAnsi="Gautami" w:cs="Gautami"/>
        </w:rPr>
      </w:pPr>
      <w:r w:rsidRPr="006765DB">
        <w:rPr>
          <w:rFonts w:ascii="Gautami" w:hAnsi="Gautami" w:cs="Gautami"/>
        </w:rPr>
        <w:t xml:space="preserve">[Figures 1 and 2] </w:t>
      </w:r>
      <w:r w:rsidR="007853C1" w:rsidRPr="006765DB">
        <w:rPr>
          <w:rFonts w:ascii="Gautami" w:hAnsi="Gautami" w:cs="Gautami"/>
        </w:rPr>
        <w:t xml:space="preserve">The Rose Window, </w:t>
      </w:r>
      <w:r w:rsidR="007853C1" w:rsidRPr="006765DB">
        <w:rPr>
          <w:rFonts w:ascii="Gautami" w:hAnsi="Gautami" w:cs="Gautami"/>
          <w:i/>
        </w:rPr>
        <w:t>St Hugh, St Peter, other fragmentary saints</w:t>
      </w:r>
      <w:r w:rsidR="007853C1" w:rsidRPr="006765DB">
        <w:rPr>
          <w:rFonts w:ascii="Gautami" w:hAnsi="Gautami" w:cs="Gautami"/>
        </w:rPr>
        <w:t xml:space="preserve"> [online]. Available: </w:t>
      </w:r>
      <w:hyperlink r:id="rId16" w:history="1">
        <w:r w:rsidR="007853C1" w:rsidRPr="006765DB">
          <w:rPr>
            <w:rStyle w:val="Hyperlink"/>
            <w:rFonts w:ascii="Gautami" w:hAnsi="Gautami" w:cs="Gautami"/>
          </w:rPr>
          <w:t>http://www.therosewindow.com/pilot/York-St-Michael/s3.htm</w:t>
        </w:r>
      </w:hyperlink>
      <w:r w:rsidR="007853C1" w:rsidRPr="006765DB">
        <w:rPr>
          <w:rFonts w:ascii="Gautami" w:hAnsi="Gautami" w:cs="Gautami"/>
        </w:rPr>
        <w:t xml:space="preserve"> [accessed 5 </w:t>
      </w:r>
      <w:r w:rsidR="00C9368B" w:rsidRPr="006765DB">
        <w:rPr>
          <w:rFonts w:ascii="Gautami" w:hAnsi="Gautami" w:cs="Gautami"/>
        </w:rPr>
        <w:t>April</w:t>
      </w:r>
      <w:r w:rsidR="007853C1" w:rsidRPr="006765DB">
        <w:rPr>
          <w:rFonts w:ascii="Gautami" w:hAnsi="Gautami" w:cs="Gautami"/>
        </w:rPr>
        <w:t xml:space="preserve"> 2019].</w:t>
      </w:r>
    </w:p>
    <w:p w:rsidR="00DC0EFF" w:rsidRPr="006765DB" w:rsidRDefault="008066AA">
      <w:pPr>
        <w:rPr>
          <w:rFonts w:ascii="Gautami" w:hAnsi="Gautami" w:cs="Gautami"/>
        </w:rPr>
      </w:pPr>
      <w:r w:rsidRPr="006765DB">
        <w:rPr>
          <w:rFonts w:ascii="Gautami" w:hAnsi="Gautami" w:cs="Gautami"/>
        </w:rPr>
        <w:lastRenderedPageBreak/>
        <w:t xml:space="preserve">[Figure 3] </w:t>
      </w:r>
      <w:r w:rsidR="005C05AA" w:rsidRPr="006765DB">
        <w:rPr>
          <w:rFonts w:ascii="Gautami" w:hAnsi="Gautami" w:cs="Gautami"/>
        </w:rPr>
        <w:t>Art Institu</w:t>
      </w:r>
      <w:r w:rsidR="00DC0EFF" w:rsidRPr="006765DB">
        <w:rPr>
          <w:rFonts w:ascii="Gautami" w:hAnsi="Gautami" w:cs="Gautami"/>
        </w:rPr>
        <w:t xml:space="preserve">te Chicago, </w:t>
      </w:r>
      <w:r w:rsidR="00DC0EFF" w:rsidRPr="006765DB">
        <w:rPr>
          <w:rFonts w:ascii="Gautami" w:hAnsi="Gautami" w:cs="Gautami"/>
          <w:i/>
        </w:rPr>
        <w:t xml:space="preserve">Altarpiece from </w:t>
      </w:r>
      <w:proofErr w:type="spellStart"/>
      <w:r w:rsidR="00DC0EFF" w:rsidRPr="006765DB">
        <w:rPr>
          <w:rFonts w:ascii="Gautami" w:hAnsi="Gautami" w:cs="Gautami"/>
          <w:i/>
        </w:rPr>
        <w:t>Thuison</w:t>
      </w:r>
      <w:proofErr w:type="spellEnd"/>
      <w:r w:rsidR="00DC0EFF" w:rsidRPr="006765DB">
        <w:rPr>
          <w:rFonts w:ascii="Gautami" w:hAnsi="Gautami" w:cs="Gautami"/>
          <w:i/>
        </w:rPr>
        <w:t>-les-Abbeville: Saint Hugh of Lincoln</w:t>
      </w:r>
      <w:r w:rsidR="00DC0EFF" w:rsidRPr="006765DB">
        <w:rPr>
          <w:rFonts w:ascii="Gautami" w:hAnsi="Gautami" w:cs="Gautami"/>
        </w:rPr>
        <w:t xml:space="preserve"> [online]. Available: https://www.artic.edu/artworks/16321/altarpiece-from-thuison-les-abbeville-saint-hugh-of-lincoln [accessed 5 April 2019].</w:t>
      </w:r>
    </w:p>
    <w:p w:rsidR="006624E3" w:rsidRPr="004B2230" w:rsidRDefault="008066AA">
      <w:pPr>
        <w:rPr>
          <w:rFonts w:ascii="Gautami" w:hAnsi="Gautami" w:cs="Gautami"/>
        </w:rPr>
      </w:pPr>
      <w:r w:rsidRPr="006765DB">
        <w:rPr>
          <w:rFonts w:ascii="Gautami" w:hAnsi="Gautami" w:cs="Gautami"/>
        </w:rPr>
        <w:t xml:space="preserve">[Figure 4] </w:t>
      </w:r>
      <w:r w:rsidR="004B2230" w:rsidRPr="006765DB">
        <w:rPr>
          <w:rFonts w:ascii="Gautami" w:hAnsi="Gautami" w:cs="Gautami"/>
        </w:rPr>
        <w:t xml:space="preserve">Stained Glass in Wales, </w:t>
      </w:r>
      <w:r w:rsidR="004B2230" w:rsidRPr="006765DB">
        <w:rPr>
          <w:rFonts w:ascii="Gautami" w:hAnsi="Gautami" w:cs="Gautami"/>
          <w:i/>
        </w:rPr>
        <w:t xml:space="preserve">St Hugh of Lincoln </w:t>
      </w:r>
      <w:r w:rsidR="004B2230" w:rsidRPr="006765DB">
        <w:rPr>
          <w:rFonts w:ascii="Gautami" w:hAnsi="Gautami" w:cs="Gautami"/>
        </w:rPr>
        <w:t xml:space="preserve">[online]. Available at: </w:t>
      </w:r>
      <w:hyperlink r:id="rId17" w:history="1">
        <w:r w:rsidR="004B2230" w:rsidRPr="006765DB">
          <w:rPr>
            <w:rStyle w:val="Hyperlink"/>
            <w:rFonts w:ascii="Gautami" w:hAnsi="Gautami" w:cs="Gautami"/>
          </w:rPr>
          <w:t>http://stainedglass.llgc.org.uk/image/7733</w:t>
        </w:r>
      </w:hyperlink>
      <w:r w:rsidR="004B2230">
        <w:rPr>
          <w:rFonts w:ascii="Gautami" w:hAnsi="Gautami" w:cs="Gautami"/>
        </w:rPr>
        <w:t xml:space="preserve"> [accessed 7 April 2019]. </w:t>
      </w:r>
    </w:p>
    <w:sectPr w:rsidR="006624E3" w:rsidRPr="004B2230">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50E23" w:rsidRDefault="00350E23" w:rsidP="00350E23">
      <w:pPr>
        <w:spacing w:after="0" w:line="240" w:lineRule="auto"/>
      </w:pPr>
      <w:r>
        <w:separator/>
      </w:r>
    </w:p>
  </w:endnote>
  <w:endnote w:type="continuationSeparator" w:id="0">
    <w:p w:rsidR="00350E23" w:rsidRDefault="00350E23" w:rsidP="00350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Gautami">
    <w:panose1 w:val="02000500000000000000"/>
    <w:charset w:val="00"/>
    <w:family w:val="auto"/>
    <w:pitch w:val="variable"/>
    <w:sig w:usb0="002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50E23" w:rsidRDefault="00350E23" w:rsidP="00350E23">
      <w:pPr>
        <w:spacing w:after="0" w:line="240" w:lineRule="auto"/>
      </w:pPr>
      <w:r>
        <w:separator/>
      </w:r>
    </w:p>
  </w:footnote>
  <w:footnote w:type="continuationSeparator" w:id="0">
    <w:p w:rsidR="00350E23" w:rsidRDefault="00350E23" w:rsidP="00350E23">
      <w:pPr>
        <w:spacing w:after="0" w:line="240" w:lineRule="auto"/>
      </w:pPr>
      <w:r>
        <w:continuationSeparator/>
      </w:r>
    </w:p>
  </w:footnote>
  <w:footnote w:id="1">
    <w:p w:rsidR="006765DB" w:rsidRPr="00804082" w:rsidRDefault="006765DB" w:rsidP="006765DB">
      <w:pPr>
        <w:pStyle w:val="FootnoteText"/>
        <w:rPr>
          <w:rFonts w:ascii="Franklin Gothic Book" w:hAnsi="Franklin Gothic Book"/>
        </w:rPr>
      </w:pPr>
      <w:r w:rsidRPr="00804082">
        <w:rPr>
          <w:rStyle w:val="FootnoteReference"/>
          <w:rFonts w:ascii="Franklin Gothic Book" w:hAnsi="Franklin Gothic Book"/>
        </w:rPr>
        <w:footnoteRef/>
      </w:r>
      <w:r w:rsidRPr="00804082">
        <w:rPr>
          <w:rFonts w:ascii="Franklin Gothic Book" w:hAnsi="Franklin Gothic Book"/>
        </w:rPr>
        <w:t xml:space="preserve"> The Rose Window, </w:t>
      </w:r>
      <w:r w:rsidRPr="00804082">
        <w:rPr>
          <w:rFonts w:ascii="Franklin Gothic Book" w:hAnsi="Franklin Gothic Book"/>
          <w:i/>
        </w:rPr>
        <w:t>St Hugh, St Peter, oth</w:t>
      </w:r>
      <w:r w:rsidR="00BD77BB" w:rsidRPr="00804082">
        <w:rPr>
          <w:rFonts w:ascii="Franklin Gothic Book" w:hAnsi="Franklin Gothic Book"/>
          <w:i/>
        </w:rPr>
        <w:t>er fragmentary saints</w:t>
      </w:r>
      <w:r w:rsidR="00BD77BB" w:rsidRPr="00804082">
        <w:rPr>
          <w:rFonts w:ascii="Franklin Gothic Book" w:hAnsi="Franklin Gothic Book"/>
        </w:rPr>
        <w:t xml:space="preserve"> [online].</w:t>
      </w:r>
    </w:p>
  </w:footnote>
  <w:footnote w:id="2">
    <w:p w:rsidR="006765DB" w:rsidRPr="00804082" w:rsidRDefault="006765DB" w:rsidP="006765DB">
      <w:pPr>
        <w:pStyle w:val="FootnoteText"/>
        <w:rPr>
          <w:rFonts w:ascii="Franklin Gothic Book" w:hAnsi="Franklin Gothic Book"/>
        </w:rPr>
      </w:pPr>
      <w:r w:rsidRPr="00804082">
        <w:rPr>
          <w:rStyle w:val="FootnoteReference"/>
          <w:rFonts w:ascii="Franklin Gothic Book" w:hAnsi="Franklin Gothic Book"/>
        </w:rPr>
        <w:footnoteRef/>
      </w:r>
      <w:r w:rsidRPr="00804082">
        <w:rPr>
          <w:rFonts w:ascii="Franklin Gothic Book" w:hAnsi="Franklin Gothic Book"/>
        </w:rPr>
        <w:t xml:space="preserve"> Jacobus da </w:t>
      </w:r>
      <w:proofErr w:type="spellStart"/>
      <w:r w:rsidRPr="00804082">
        <w:rPr>
          <w:rFonts w:ascii="Franklin Gothic Book" w:hAnsi="Franklin Gothic Book"/>
        </w:rPr>
        <w:t>Varagine</w:t>
      </w:r>
      <w:proofErr w:type="spellEnd"/>
      <w:r w:rsidRPr="00804082">
        <w:rPr>
          <w:rFonts w:ascii="Franklin Gothic Book" w:hAnsi="Franklin Gothic Book"/>
        </w:rPr>
        <w:t xml:space="preserve">, </w:t>
      </w:r>
      <w:r w:rsidRPr="00804082">
        <w:rPr>
          <w:rFonts w:ascii="Franklin Gothic Book" w:hAnsi="Franklin Gothic Book"/>
          <w:i/>
        </w:rPr>
        <w:t>The Golden Legend</w:t>
      </w:r>
      <w:r w:rsidRPr="00804082">
        <w:rPr>
          <w:rFonts w:ascii="Franklin Gothic Book" w:hAnsi="Franklin Gothic Book"/>
        </w:rPr>
        <w:t xml:space="preserve">, cited in Internet History Sourcebook, </w:t>
      </w:r>
      <w:r w:rsidRPr="00804082">
        <w:rPr>
          <w:rFonts w:ascii="Franklin Gothic Book" w:hAnsi="Franklin Gothic Book"/>
          <w:i/>
        </w:rPr>
        <w:t>The Golden Legend Volume: 6 - Life of S. Hugh, Bishop and Confessor</w:t>
      </w:r>
      <w:r w:rsidRPr="00804082">
        <w:rPr>
          <w:rFonts w:ascii="Franklin Gothic Book" w:hAnsi="Franklin Gothic Book"/>
        </w:rPr>
        <w:t xml:space="preserve"> [online].</w:t>
      </w:r>
    </w:p>
  </w:footnote>
  <w:footnote w:id="3">
    <w:p w:rsidR="006765DB" w:rsidRDefault="006765DB" w:rsidP="006765DB">
      <w:pPr>
        <w:pStyle w:val="FootnoteText"/>
      </w:pPr>
      <w:r w:rsidRPr="00804082">
        <w:rPr>
          <w:rStyle w:val="FootnoteReference"/>
          <w:rFonts w:ascii="Franklin Gothic Book" w:hAnsi="Franklin Gothic Book"/>
        </w:rPr>
        <w:footnoteRef/>
      </w:r>
      <w:r w:rsidRPr="00804082">
        <w:rPr>
          <w:rFonts w:ascii="Franklin Gothic Book" w:hAnsi="Franklin Gothic Book"/>
        </w:rPr>
        <w:t xml:space="preserve"> The Rose Window, </w:t>
      </w:r>
      <w:r w:rsidRPr="00804082">
        <w:rPr>
          <w:rFonts w:ascii="Franklin Gothic Book" w:hAnsi="Franklin Gothic Book"/>
          <w:i/>
        </w:rPr>
        <w:t>St Hugh, St Peter, other fragmentary saints</w:t>
      </w:r>
      <w:r w:rsidRPr="00804082">
        <w:rPr>
          <w:rFonts w:ascii="Franklin Gothic Book" w:hAnsi="Franklin Gothic Book"/>
        </w:rPr>
        <w:t xml:space="preserve"> [online].</w:t>
      </w:r>
      <w:r w:rsidRPr="00AD29DE">
        <w:t xml:space="preserve"> </w:t>
      </w:r>
    </w:p>
  </w:footnote>
  <w:footnote w:id="4">
    <w:p w:rsidR="006765DB" w:rsidRPr="00804082" w:rsidRDefault="006765DB" w:rsidP="006765DB">
      <w:pPr>
        <w:pStyle w:val="FootnoteText"/>
        <w:rPr>
          <w:rFonts w:ascii="Franklin Gothic Book" w:hAnsi="Franklin Gothic Book"/>
        </w:rPr>
      </w:pPr>
      <w:r w:rsidRPr="00804082">
        <w:rPr>
          <w:rStyle w:val="FootnoteReference"/>
          <w:rFonts w:ascii="Franklin Gothic Book" w:hAnsi="Franklin Gothic Book"/>
        </w:rPr>
        <w:footnoteRef/>
      </w:r>
      <w:r w:rsidRPr="00804082">
        <w:rPr>
          <w:rFonts w:ascii="Franklin Gothic Book" w:hAnsi="Franklin Gothic Book"/>
        </w:rPr>
        <w:t xml:space="preserve"> Art Institute Chicago, </w:t>
      </w:r>
      <w:r w:rsidRPr="00804082">
        <w:rPr>
          <w:rFonts w:ascii="Franklin Gothic Book" w:hAnsi="Franklin Gothic Book"/>
          <w:i/>
        </w:rPr>
        <w:t xml:space="preserve">Altarpiece from </w:t>
      </w:r>
      <w:proofErr w:type="spellStart"/>
      <w:r w:rsidRPr="00804082">
        <w:rPr>
          <w:rFonts w:ascii="Franklin Gothic Book" w:hAnsi="Franklin Gothic Book"/>
          <w:i/>
        </w:rPr>
        <w:t>Thuison</w:t>
      </w:r>
      <w:proofErr w:type="spellEnd"/>
      <w:r w:rsidRPr="00804082">
        <w:rPr>
          <w:rFonts w:ascii="Franklin Gothic Book" w:hAnsi="Franklin Gothic Book"/>
          <w:i/>
        </w:rPr>
        <w:t>-les-Abbeville: Saint Hugh of Lincoln</w:t>
      </w:r>
      <w:r w:rsidRPr="00804082">
        <w:rPr>
          <w:rFonts w:ascii="Franklin Gothic Book" w:hAnsi="Franklin Gothic Book"/>
        </w:rPr>
        <w:t xml:space="preserve"> [online]. </w:t>
      </w:r>
    </w:p>
  </w:footnote>
  <w:footnote w:id="5">
    <w:p w:rsidR="006765DB" w:rsidRPr="00804082" w:rsidRDefault="006765DB" w:rsidP="006765DB">
      <w:pPr>
        <w:pStyle w:val="FootnoteText"/>
        <w:rPr>
          <w:rFonts w:ascii="Franklin Gothic Book" w:hAnsi="Franklin Gothic Book"/>
        </w:rPr>
      </w:pPr>
      <w:r w:rsidRPr="00804082">
        <w:rPr>
          <w:rStyle w:val="FootnoteReference"/>
          <w:rFonts w:ascii="Franklin Gothic Book" w:hAnsi="Franklin Gothic Book"/>
        </w:rPr>
        <w:footnoteRef/>
      </w:r>
      <w:r w:rsidRPr="00804082">
        <w:rPr>
          <w:rFonts w:ascii="Franklin Gothic Book" w:hAnsi="Franklin Gothic Book"/>
        </w:rPr>
        <w:t xml:space="preserve"> </w:t>
      </w:r>
      <w:proofErr w:type="gramStart"/>
      <w:r w:rsidRPr="00804082">
        <w:rPr>
          <w:rFonts w:ascii="Franklin Gothic Book" w:hAnsi="Franklin Gothic Book"/>
        </w:rPr>
        <w:t>Ibid.</w:t>
      </w:r>
      <w:proofErr w:type="gramEnd"/>
      <w:r w:rsidRPr="00804082">
        <w:rPr>
          <w:rFonts w:ascii="Franklin Gothic Book" w:hAnsi="Franklin Gothic Book"/>
        </w:rPr>
        <w:t xml:space="preserve"> </w:t>
      </w:r>
    </w:p>
  </w:footnote>
  <w:footnote w:id="6">
    <w:p w:rsidR="006765DB" w:rsidRPr="00804082" w:rsidRDefault="006765DB" w:rsidP="006765DB">
      <w:pPr>
        <w:pStyle w:val="FootnoteText"/>
        <w:rPr>
          <w:rFonts w:ascii="Franklin Gothic Book" w:hAnsi="Franklin Gothic Book"/>
        </w:rPr>
      </w:pPr>
      <w:r w:rsidRPr="00804082">
        <w:rPr>
          <w:rStyle w:val="FootnoteReference"/>
          <w:rFonts w:ascii="Franklin Gothic Book" w:hAnsi="Franklin Gothic Book"/>
        </w:rPr>
        <w:footnoteRef/>
      </w:r>
      <w:r w:rsidRPr="00804082">
        <w:rPr>
          <w:rFonts w:ascii="Franklin Gothic Book" w:hAnsi="Franklin Gothic Book"/>
        </w:rPr>
        <w:t xml:space="preserve"> Madeline Harrison </w:t>
      </w:r>
      <w:proofErr w:type="spellStart"/>
      <w:r w:rsidRPr="00804082">
        <w:rPr>
          <w:rFonts w:ascii="Franklin Gothic Book" w:hAnsi="Franklin Gothic Book"/>
        </w:rPr>
        <w:t>Caviness</w:t>
      </w:r>
      <w:proofErr w:type="spellEnd"/>
      <w:r w:rsidRPr="00804082">
        <w:rPr>
          <w:rFonts w:ascii="Franklin Gothic Book" w:hAnsi="Franklin Gothic Book"/>
        </w:rPr>
        <w:t xml:space="preserve">, </w:t>
      </w:r>
      <w:r w:rsidR="00116DEB" w:rsidRPr="00804082">
        <w:rPr>
          <w:rFonts w:ascii="Franklin Gothic Book" w:hAnsi="Franklin Gothic Book"/>
        </w:rPr>
        <w:t xml:space="preserve">‘Reception of Images by Medieval Viewers’ in </w:t>
      </w:r>
      <w:r w:rsidRPr="00804082">
        <w:rPr>
          <w:rFonts w:ascii="Franklin Gothic Book" w:hAnsi="Franklin Gothic Book"/>
          <w:i/>
        </w:rPr>
        <w:t xml:space="preserve">A Companion to Medieval Art: Romanesque and Gothic in Northern Europe </w:t>
      </w:r>
      <w:r w:rsidRPr="00804082">
        <w:rPr>
          <w:rFonts w:ascii="Franklin Gothic Book" w:hAnsi="Franklin Gothic Book"/>
        </w:rPr>
        <w:t>(Chichester: John Wi</w:t>
      </w:r>
      <w:r w:rsidR="00116DEB" w:rsidRPr="00804082">
        <w:rPr>
          <w:rFonts w:ascii="Franklin Gothic Book" w:hAnsi="Franklin Gothic Book"/>
        </w:rPr>
        <w:t>ley &amp; Sons, 2019), p. 132.</w:t>
      </w:r>
    </w:p>
  </w:footnote>
  <w:footnote w:id="7">
    <w:p w:rsidR="006765DB" w:rsidRDefault="006765DB" w:rsidP="006765DB">
      <w:pPr>
        <w:pStyle w:val="FootnoteText"/>
      </w:pPr>
      <w:r w:rsidRPr="00804082">
        <w:rPr>
          <w:rStyle w:val="FootnoteReference"/>
          <w:rFonts w:ascii="Franklin Gothic Book" w:hAnsi="Franklin Gothic Book"/>
        </w:rPr>
        <w:footnoteRef/>
      </w:r>
      <w:r w:rsidRPr="00804082">
        <w:rPr>
          <w:rFonts w:ascii="Franklin Gothic Book" w:hAnsi="Franklin Gothic Book"/>
        </w:rPr>
        <w:t xml:space="preserve"> </w:t>
      </w:r>
      <w:proofErr w:type="gramStart"/>
      <w:r w:rsidRPr="00804082">
        <w:rPr>
          <w:rFonts w:ascii="Franklin Gothic Book" w:hAnsi="Franklin Gothic Book"/>
        </w:rPr>
        <w:t xml:space="preserve">New Advent Catholic Encyclopaedia, </w:t>
      </w:r>
      <w:r w:rsidRPr="00804082">
        <w:rPr>
          <w:rFonts w:ascii="Franklin Gothic Book" w:hAnsi="Franklin Gothic Book"/>
          <w:i/>
        </w:rPr>
        <w:t>St. Hugh of Lincoln</w:t>
      </w:r>
      <w:r w:rsidRPr="00804082">
        <w:rPr>
          <w:rFonts w:ascii="Franklin Gothic Book" w:hAnsi="Franklin Gothic Book"/>
        </w:rPr>
        <w:t xml:space="preserve"> [online].</w:t>
      </w:r>
      <w:proofErr w:type="gramEnd"/>
      <w:r w:rsidRPr="00CF2FD2">
        <w:t xml:space="preserve"> </w:t>
      </w:r>
    </w:p>
  </w:footnote>
  <w:footnote w:id="8">
    <w:p w:rsidR="00D020AE" w:rsidRPr="00804082" w:rsidRDefault="00D020AE" w:rsidP="00D020AE">
      <w:pPr>
        <w:pStyle w:val="FootnoteText"/>
        <w:rPr>
          <w:rFonts w:ascii="Franklin Gothic Book" w:hAnsi="Franklin Gothic Book"/>
        </w:rPr>
      </w:pPr>
      <w:r w:rsidRPr="00804082">
        <w:rPr>
          <w:rStyle w:val="FootnoteReference"/>
          <w:rFonts w:ascii="Franklin Gothic Book" w:hAnsi="Franklin Gothic Book"/>
        </w:rPr>
        <w:footnoteRef/>
      </w:r>
      <w:r w:rsidRPr="00804082">
        <w:rPr>
          <w:rFonts w:ascii="Franklin Gothic Book" w:hAnsi="Franklin Gothic Book"/>
        </w:rPr>
        <w:t xml:space="preserve"> Roger of Wendover, F</w:t>
      </w:r>
      <w:r w:rsidRPr="00804082">
        <w:rPr>
          <w:rFonts w:ascii="Franklin Gothic Book" w:hAnsi="Franklin Gothic Book"/>
          <w:i/>
        </w:rPr>
        <w:t xml:space="preserve">lores </w:t>
      </w:r>
      <w:proofErr w:type="spellStart"/>
      <w:r w:rsidRPr="00804082">
        <w:rPr>
          <w:rFonts w:ascii="Franklin Gothic Book" w:hAnsi="Franklin Gothic Book"/>
          <w:i/>
        </w:rPr>
        <w:t>Historiorum</w:t>
      </w:r>
      <w:proofErr w:type="spellEnd"/>
      <w:r w:rsidRPr="00804082">
        <w:rPr>
          <w:rFonts w:ascii="Franklin Gothic Book" w:hAnsi="Franklin Gothic Book"/>
          <w:i/>
        </w:rPr>
        <w:t>, Comprising the History of England from the Descent of the Saxons to A.D. 1235</w:t>
      </w:r>
      <w:r w:rsidRPr="00804082">
        <w:rPr>
          <w:rFonts w:ascii="Franklin Gothic Book" w:hAnsi="Franklin Gothic Book"/>
        </w:rPr>
        <w:t xml:space="preserve">, cited in Martha Carlin, </w:t>
      </w:r>
      <w:r w:rsidRPr="00804082">
        <w:rPr>
          <w:rFonts w:ascii="Franklin Gothic Book" w:hAnsi="Franklin Gothic Book"/>
          <w:i/>
        </w:rPr>
        <w:t>The Instant Cult of St Hugh</w:t>
      </w:r>
      <w:r w:rsidRPr="00804082">
        <w:rPr>
          <w:rFonts w:ascii="Franklin Gothic Book" w:hAnsi="Franklin Gothic Book"/>
        </w:rPr>
        <w:t xml:space="preserve"> [online]. </w:t>
      </w:r>
    </w:p>
  </w:footnote>
  <w:footnote w:id="9">
    <w:p w:rsidR="00D020AE" w:rsidRPr="00804082" w:rsidRDefault="00D020AE" w:rsidP="00D020AE">
      <w:pPr>
        <w:pStyle w:val="FootnoteText"/>
        <w:rPr>
          <w:rFonts w:ascii="Franklin Gothic Book" w:hAnsi="Franklin Gothic Book"/>
        </w:rPr>
      </w:pPr>
      <w:r w:rsidRPr="00804082">
        <w:rPr>
          <w:rStyle w:val="FootnoteReference"/>
          <w:rFonts w:ascii="Franklin Gothic Book" w:hAnsi="Franklin Gothic Book"/>
        </w:rPr>
        <w:footnoteRef/>
      </w:r>
      <w:r w:rsidRPr="00804082">
        <w:rPr>
          <w:rFonts w:ascii="Franklin Gothic Book" w:hAnsi="Franklin Gothic Book"/>
        </w:rPr>
        <w:t xml:space="preserve"> Gerald of Wales, </w:t>
      </w:r>
      <w:r w:rsidRPr="00804082">
        <w:rPr>
          <w:rFonts w:ascii="Franklin Gothic Book" w:hAnsi="Franklin Gothic Book"/>
          <w:i/>
        </w:rPr>
        <w:t>The Life of St Hugh of Avalon</w:t>
      </w:r>
      <w:r w:rsidRPr="00804082">
        <w:rPr>
          <w:rFonts w:ascii="Franklin Gothic Book" w:hAnsi="Franklin Gothic Book"/>
        </w:rPr>
        <w:t xml:space="preserve">, cited in Kenneth Baxter Wolf, </w:t>
      </w:r>
      <w:r w:rsidRPr="00804082">
        <w:rPr>
          <w:rFonts w:ascii="Franklin Gothic Book" w:hAnsi="Franklin Gothic Book"/>
          <w:i/>
        </w:rPr>
        <w:t>The Poverty of Riches: St Francis of Assisi Reconsidered</w:t>
      </w:r>
      <w:r w:rsidRPr="00804082">
        <w:rPr>
          <w:rFonts w:ascii="Franklin Gothic Book" w:hAnsi="Franklin Gothic Book"/>
        </w:rPr>
        <w:t xml:space="preserve"> (Oxford: Oxford University Press, 2005), p. 114.</w:t>
      </w:r>
    </w:p>
  </w:footnote>
  <w:footnote w:id="10">
    <w:p w:rsidR="00D020AE" w:rsidRDefault="00D020AE" w:rsidP="00D020AE">
      <w:pPr>
        <w:pStyle w:val="FootnoteText"/>
      </w:pPr>
      <w:r w:rsidRPr="00804082">
        <w:rPr>
          <w:rStyle w:val="FootnoteReference"/>
          <w:rFonts w:ascii="Franklin Gothic Book" w:hAnsi="Franklin Gothic Book"/>
        </w:rPr>
        <w:footnoteRef/>
      </w:r>
      <w:r w:rsidRPr="00804082">
        <w:rPr>
          <w:rFonts w:ascii="Franklin Gothic Book" w:hAnsi="Franklin Gothic Book"/>
        </w:rPr>
        <w:t xml:space="preserve"> Brookes, and </w:t>
      </w:r>
      <w:proofErr w:type="spellStart"/>
      <w:r w:rsidRPr="00804082">
        <w:rPr>
          <w:rFonts w:ascii="Franklin Gothic Book" w:hAnsi="Franklin Gothic Book"/>
        </w:rPr>
        <w:t>Vibert</w:t>
      </w:r>
      <w:proofErr w:type="spellEnd"/>
      <w:r w:rsidRPr="00804082">
        <w:rPr>
          <w:rFonts w:ascii="Franklin Gothic Book" w:hAnsi="Franklin Gothic Book"/>
        </w:rPr>
        <w:t xml:space="preserve">, </w:t>
      </w:r>
      <w:r w:rsidRPr="00804082">
        <w:rPr>
          <w:rFonts w:ascii="Franklin Gothic Book" w:hAnsi="Franklin Gothic Book"/>
          <w:i/>
        </w:rPr>
        <w:t xml:space="preserve">History and Antiquity of Lincoln: Lincoln Cathedral </w:t>
      </w:r>
      <w:r w:rsidRPr="00804082">
        <w:rPr>
          <w:rFonts w:ascii="Franklin Gothic Book" w:hAnsi="Franklin Gothic Book"/>
        </w:rPr>
        <w:t xml:space="preserve">(London: </w:t>
      </w:r>
      <w:proofErr w:type="spellStart"/>
      <w:r w:rsidRPr="00804082">
        <w:rPr>
          <w:rFonts w:ascii="Franklin Gothic Book" w:hAnsi="Franklin Gothic Book"/>
        </w:rPr>
        <w:t>Kessinger</w:t>
      </w:r>
      <w:proofErr w:type="spellEnd"/>
      <w:r w:rsidRPr="00804082">
        <w:rPr>
          <w:rFonts w:ascii="Franklin Gothic Book" w:hAnsi="Franklin Gothic Book"/>
        </w:rPr>
        <w:t xml:space="preserve"> Publishing, 1865).</w:t>
      </w:r>
    </w:p>
  </w:footnote>
  <w:footnote w:id="11">
    <w:p w:rsidR="00D020AE" w:rsidRPr="00804082" w:rsidRDefault="00D020AE" w:rsidP="00D020AE">
      <w:pPr>
        <w:pStyle w:val="FootnoteText"/>
        <w:rPr>
          <w:rFonts w:ascii="Franklin Gothic Book" w:hAnsi="Franklin Gothic Book"/>
        </w:rPr>
      </w:pPr>
      <w:r w:rsidRPr="00804082">
        <w:rPr>
          <w:rStyle w:val="FootnoteReference"/>
          <w:rFonts w:ascii="Franklin Gothic Book" w:hAnsi="Franklin Gothic Book"/>
        </w:rPr>
        <w:footnoteRef/>
      </w:r>
      <w:r w:rsidRPr="00804082">
        <w:rPr>
          <w:rFonts w:ascii="Franklin Gothic Book" w:hAnsi="Franklin Gothic Book"/>
        </w:rPr>
        <w:t xml:space="preserve"> </w:t>
      </w:r>
      <w:proofErr w:type="gramStart"/>
      <w:r w:rsidRPr="00804082">
        <w:rPr>
          <w:rFonts w:ascii="Franklin Gothic Book" w:hAnsi="Franklin Gothic Book"/>
        </w:rPr>
        <w:t xml:space="preserve">Adam of </w:t>
      </w:r>
      <w:proofErr w:type="spellStart"/>
      <w:r w:rsidRPr="00804082">
        <w:rPr>
          <w:rFonts w:ascii="Franklin Gothic Book" w:hAnsi="Franklin Gothic Book"/>
        </w:rPr>
        <w:t>Eynsham</w:t>
      </w:r>
      <w:proofErr w:type="spellEnd"/>
      <w:r w:rsidRPr="00804082">
        <w:rPr>
          <w:rFonts w:ascii="Franklin Gothic Book" w:hAnsi="Franklin Gothic Book"/>
        </w:rPr>
        <w:t xml:space="preserve">, </w:t>
      </w:r>
      <w:r w:rsidRPr="00804082">
        <w:rPr>
          <w:rFonts w:ascii="Franklin Gothic Book" w:hAnsi="Franklin Gothic Book"/>
          <w:i/>
        </w:rPr>
        <w:t xml:space="preserve">Sancta Vita S </w:t>
      </w:r>
      <w:proofErr w:type="spellStart"/>
      <w:r w:rsidRPr="00804082">
        <w:rPr>
          <w:rFonts w:ascii="Franklin Gothic Book" w:hAnsi="Franklin Gothic Book"/>
          <w:i/>
        </w:rPr>
        <w:t>Hugonis</w:t>
      </w:r>
      <w:proofErr w:type="spellEnd"/>
      <w:r w:rsidRPr="00804082">
        <w:rPr>
          <w:rFonts w:ascii="Franklin Gothic Book" w:hAnsi="Franklin Gothic Book"/>
        </w:rPr>
        <w:t xml:space="preserve">, cited in </w:t>
      </w:r>
      <w:proofErr w:type="spellStart"/>
      <w:r w:rsidRPr="00804082">
        <w:rPr>
          <w:rFonts w:ascii="Franklin Gothic Book" w:hAnsi="Franklin Gothic Book"/>
        </w:rPr>
        <w:t>Giraldi</w:t>
      </w:r>
      <w:proofErr w:type="spellEnd"/>
      <w:r w:rsidRPr="00804082">
        <w:rPr>
          <w:rFonts w:ascii="Franklin Gothic Book" w:hAnsi="Franklin Gothic Book"/>
        </w:rPr>
        <w:t xml:space="preserve"> </w:t>
      </w:r>
      <w:proofErr w:type="spellStart"/>
      <w:r w:rsidRPr="00804082">
        <w:rPr>
          <w:rFonts w:ascii="Franklin Gothic Book" w:hAnsi="Franklin Gothic Book"/>
        </w:rPr>
        <w:t>Cambrensis</w:t>
      </w:r>
      <w:proofErr w:type="spellEnd"/>
      <w:r w:rsidRPr="00804082">
        <w:rPr>
          <w:rFonts w:ascii="Franklin Gothic Book" w:hAnsi="Franklin Gothic Book"/>
        </w:rPr>
        <w:t xml:space="preserve"> </w:t>
      </w:r>
      <w:r w:rsidRPr="00804082">
        <w:rPr>
          <w:rFonts w:ascii="Franklin Gothic Book" w:hAnsi="Franklin Gothic Book"/>
          <w:i/>
        </w:rPr>
        <w:t>Opera</w:t>
      </w:r>
      <w:r w:rsidRPr="00804082">
        <w:rPr>
          <w:rFonts w:ascii="Franklin Gothic Book" w:hAnsi="Franklin Gothic Book"/>
        </w:rPr>
        <w:t xml:space="preserve"> (London: Longman and Company, 1877), p. 39.</w:t>
      </w:r>
      <w:proofErr w:type="gramEnd"/>
    </w:p>
  </w:footnote>
  <w:footnote w:id="12">
    <w:p w:rsidR="00D020AE" w:rsidRDefault="00D020AE" w:rsidP="00D020AE">
      <w:pPr>
        <w:pStyle w:val="FootnoteText"/>
      </w:pPr>
      <w:r w:rsidRPr="00804082">
        <w:rPr>
          <w:rStyle w:val="FootnoteReference"/>
          <w:rFonts w:ascii="Franklin Gothic Book" w:hAnsi="Franklin Gothic Book"/>
        </w:rPr>
        <w:footnoteRef/>
      </w:r>
      <w:r w:rsidRPr="00804082">
        <w:rPr>
          <w:rFonts w:ascii="Franklin Gothic Book" w:hAnsi="Franklin Gothic Book"/>
        </w:rPr>
        <w:t xml:space="preserve"> Ralph of </w:t>
      </w:r>
      <w:proofErr w:type="spellStart"/>
      <w:r w:rsidRPr="00804082">
        <w:rPr>
          <w:rFonts w:ascii="Franklin Gothic Book" w:hAnsi="Franklin Gothic Book"/>
        </w:rPr>
        <w:t>Coggeshall</w:t>
      </w:r>
      <w:proofErr w:type="spellEnd"/>
      <w:r w:rsidRPr="00804082">
        <w:rPr>
          <w:rFonts w:ascii="Franklin Gothic Book" w:hAnsi="Franklin Gothic Book"/>
        </w:rPr>
        <w:t xml:space="preserve">, </w:t>
      </w:r>
      <w:proofErr w:type="spellStart"/>
      <w:r w:rsidRPr="00804082">
        <w:rPr>
          <w:rFonts w:ascii="Franklin Gothic Book" w:hAnsi="Franklin Gothic Book"/>
          <w:i/>
        </w:rPr>
        <w:t>Chronicon</w:t>
      </w:r>
      <w:proofErr w:type="spellEnd"/>
      <w:r w:rsidRPr="00804082">
        <w:rPr>
          <w:rFonts w:ascii="Franklin Gothic Book" w:hAnsi="Franklin Gothic Book"/>
          <w:i/>
        </w:rPr>
        <w:t xml:space="preserve"> </w:t>
      </w:r>
      <w:proofErr w:type="spellStart"/>
      <w:r w:rsidRPr="00804082">
        <w:rPr>
          <w:rFonts w:ascii="Franklin Gothic Book" w:hAnsi="Franklin Gothic Book"/>
          <w:i/>
        </w:rPr>
        <w:t>Anglicanum</w:t>
      </w:r>
      <w:proofErr w:type="spellEnd"/>
      <w:r w:rsidRPr="00804082">
        <w:rPr>
          <w:rFonts w:ascii="Franklin Gothic Book" w:hAnsi="Franklin Gothic Book"/>
        </w:rPr>
        <w:t>, ed. and trans. H We</w:t>
      </w:r>
      <w:r w:rsidR="00804082">
        <w:rPr>
          <w:rFonts w:ascii="Franklin Gothic Book" w:hAnsi="Franklin Gothic Book"/>
        </w:rPr>
        <w:t>bster (unpublished translation).</w:t>
      </w:r>
    </w:p>
  </w:footnote>
  <w:footnote w:id="13">
    <w:p w:rsidR="0007460E" w:rsidRPr="006405A5" w:rsidRDefault="0007460E" w:rsidP="0007460E">
      <w:pPr>
        <w:pStyle w:val="FootnoteText"/>
        <w:rPr>
          <w:rFonts w:ascii="Franklin Gothic Book" w:hAnsi="Franklin Gothic Book"/>
        </w:rPr>
      </w:pPr>
      <w:r w:rsidRPr="006405A5">
        <w:rPr>
          <w:rStyle w:val="FootnoteReference"/>
          <w:rFonts w:ascii="Franklin Gothic Book" w:hAnsi="Franklin Gothic Book"/>
        </w:rPr>
        <w:footnoteRef/>
      </w:r>
      <w:r w:rsidRPr="006405A5">
        <w:rPr>
          <w:rFonts w:ascii="Franklin Gothic Book" w:hAnsi="Franklin Gothic Book"/>
        </w:rPr>
        <w:t xml:space="preserve"> Elina </w:t>
      </w:r>
      <w:proofErr w:type="spellStart"/>
      <w:r w:rsidRPr="006405A5">
        <w:rPr>
          <w:rFonts w:ascii="Franklin Gothic Book" w:hAnsi="Franklin Gothic Book"/>
        </w:rPr>
        <w:t>Gertsman</w:t>
      </w:r>
      <w:proofErr w:type="spellEnd"/>
      <w:r w:rsidRPr="006405A5">
        <w:rPr>
          <w:rFonts w:ascii="Franklin Gothic Book" w:hAnsi="Franklin Gothic Book"/>
        </w:rPr>
        <w:t xml:space="preserve">, </w:t>
      </w:r>
      <w:r w:rsidR="006405A5">
        <w:rPr>
          <w:rFonts w:ascii="Franklin Gothic Book" w:hAnsi="Franklin Gothic Book"/>
        </w:rPr>
        <w:t xml:space="preserve">‘Matter Matters’ in </w:t>
      </w:r>
      <w:r w:rsidRPr="006405A5">
        <w:rPr>
          <w:rFonts w:ascii="Franklin Gothic Book" w:hAnsi="Franklin Gothic Book"/>
          <w:i/>
        </w:rPr>
        <w:t xml:space="preserve">Feeling Things: Objects and Emotions </w:t>
      </w:r>
      <w:proofErr w:type="gramStart"/>
      <w:r w:rsidRPr="006405A5">
        <w:rPr>
          <w:rFonts w:ascii="Franklin Gothic Book" w:hAnsi="Franklin Gothic Book"/>
          <w:i/>
        </w:rPr>
        <w:t>Through</w:t>
      </w:r>
      <w:proofErr w:type="gramEnd"/>
      <w:r w:rsidRPr="006405A5">
        <w:rPr>
          <w:rFonts w:ascii="Franklin Gothic Book" w:hAnsi="Franklin Gothic Book"/>
          <w:i/>
        </w:rPr>
        <w:t xml:space="preserve"> History</w:t>
      </w:r>
      <w:r w:rsidRPr="006405A5">
        <w:rPr>
          <w:rFonts w:ascii="Franklin Gothic Book" w:hAnsi="Franklin Gothic Book"/>
        </w:rPr>
        <w:t xml:space="preserve">, ed. S. </w:t>
      </w:r>
      <w:proofErr w:type="spellStart"/>
      <w:r w:rsidRPr="006405A5">
        <w:rPr>
          <w:rFonts w:ascii="Franklin Gothic Book" w:hAnsi="Franklin Gothic Book"/>
        </w:rPr>
        <w:t>Downes</w:t>
      </w:r>
      <w:proofErr w:type="spellEnd"/>
      <w:r w:rsidRPr="006405A5">
        <w:rPr>
          <w:rFonts w:ascii="Franklin Gothic Book" w:hAnsi="Franklin Gothic Book"/>
        </w:rPr>
        <w:t xml:space="preserve"> (Oxford: Oxford Unive</w:t>
      </w:r>
      <w:r w:rsidR="006405A5">
        <w:rPr>
          <w:rFonts w:ascii="Franklin Gothic Book" w:hAnsi="Franklin Gothic Book"/>
        </w:rPr>
        <w:t xml:space="preserve">rsity Press: 2018), p. 27. </w:t>
      </w:r>
    </w:p>
  </w:footnote>
  <w:footnote w:id="14">
    <w:p w:rsidR="0007460E" w:rsidRPr="006405A5" w:rsidRDefault="0007460E" w:rsidP="0007460E">
      <w:pPr>
        <w:pStyle w:val="FootnoteText"/>
        <w:rPr>
          <w:rFonts w:ascii="Franklin Gothic Book" w:hAnsi="Franklin Gothic Book"/>
        </w:rPr>
      </w:pPr>
      <w:r w:rsidRPr="006405A5">
        <w:rPr>
          <w:rStyle w:val="FootnoteReference"/>
          <w:rFonts w:ascii="Franklin Gothic Book" w:hAnsi="Franklin Gothic Book"/>
        </w:rPr>
        <w:footnoteRef/>
      </w:r>
      <w:r w:rsidRPr="006405A5">
        <w:rPr>
          <w:rFonts w:ascii="Franklin Gothic Book" w:hAnsi="Franklin Gothic Book"/>
        </w:rPr>
        <w:t xml:space="preserve"> Carole Rawcliffe, </w:t>
      </w:r>
      <w:r w:rsidR="00D7774B">
        <w:rPr>
          <w:rFonts w:ascii="Franklin Gothic Book" w:hAnsi="Franklin Gothic Book"/>
        </w:rPr>
        <w:t xml:space="preserve">‘Diseases of the Soul’ in </w:t>
      </w:r>
      <w:r w:rsidRPr="00D7774B">
        <w:rPr>
          <w:rFonts w:ascii="Franklin Gothic Book" w:hAnsi="Franklin Gothic Book"/>
          <w:i/>
        </w:rPr>
        <w:t xml:space="preserve">Medicine &amp; Society </w:t>
      </w:r>
      <w:proofErr w:type="gramStart"/>
      <w:r w:rsidRPr="00D7774B">
        <w:rPr>
          <w:rFonts w:ascii="Franklin Gothic Book" w:hAnsi="Franklin Gothic Book"/>
          <w:i/>
        </w:rPr>
        <w:t>In</w:t>
      </w:r>
      <w:proofErr w:type="gramEnd"/>
      <w:r w:rsidRPr="00D7774B">
        <w:rPr>
          <w:rFonts w:ascii="Franklin Gothic Book" w:hAnsi="Franklin Gothic Book"/>
          <w:i/>
        </w:rPr>
        <w:t xml:space="preserve"> Later Medieval England</w:t>
      </w:r>
      <w:r w:rsidRPr="006405A5">
        <w:rPr>
          <w:rFonts w:ascii="Franklin Gothic Book" w:hAnsi="Franklin Gothic Book"/>
        </w:rPr>
        <w:t xml:space="preserve"> (London: Alan Sutton Publ</w:t>
      </w:r>
      <w:r w:rsidR="00AE04FE">
        <w:rPr>
          <w:rFonts w:ascii="Franklin Gothic Book" w:hAnsi="Franklin Gothic Book"/>
        </w:rPr>
        <w:t>ishing Ltd, 1995).</w:t>
      </w:r>
    </w:p>
  </w:footnote>
  <w:footnote w:id="15">
    <w:p w:rsidR="0007460E" w:rsidRPr="006405A5" w:rsidRDefault="0007460E" w:rsidP="0007460E">
      <w:pPr>
        <w:pStyle w:val="FootnoteText"/>
        <w:rPr>
          <w:rFonts w:ascii="Franklin Gothic Book" w:hAnsi="Franklin Gothic Book"/>
        </w:rPr>
      </w:pPr>
      <w:r w:rsidRPr="006405A5">
        <w:rPr>
          <w:rStyle w:val="FootnoteReference"/>
          <w:rFonts w:ascii="Franklin Gothic Book" w:hAnsi="Franklin Gothic Book"/>
        </w:rPr>
        <w:footnoteRef/>
      </w:r>
      <w:r w:rsidRPr="006405A5">
        <w:rPr>
          <w:rFonts w:ascii="Franklin Gothic Book" w:hAnsi="Franklin Gothic Book"/>
        </w:rPr>
        <w:t xml:space="preserve"> Janet Burton, </w:t>
      </w:r>
      <w:r w:rsidRPr="002077BD">
        <w:rPr>
          <w:rFonts w:ascii="Franklin Gothic Book" w:hAnsi="Franklin Gothic Book"/>
          <w:i/>
        </w:rPr>
        <w:t>All Fingers, No Thumbs: The Materiality of a Medieval Relic</w:t>
      </w:r>
      <w:r w:rsidRPr="006405A5">
        <w:rPr>
          <w:rFonts w:ascii="Franklin Gothic Book" w:hAnsi="Franklin Gothic Book"/>
        </w:rPr>
        <w:t xml:space="preserve">, ed. L. </w:t>
      </w:r>
      <w:proofErr w:type="spellStart"/>
      <w:r w:rsidRPr="006405A5">
        <w:rPr>
          <w:rFonts w:ascii="Franklin Gothic Book" w:hAnsi="Franklin Gothic Book"/>
        </w:rPr>
        <w:t>Attala</w:t>
      </w:r>
      <w:proofErr w:type="spellEnd"/>
      <w:r w:rsidRPr="006405A5">
        <w:rPr>
          <w:rFonts w:ascii="Franklin Gothic Book" w:hAnsi="Franklin Gothic Book"/>
        </w:rPr>
        <w:t xml:space="preserve"> and L. Steele (Cardiff: University of Wales Press, 2019), p. 211.</w:t>
      </w:r>
    </w:p>
  </w:footnote>
  <w:footnote w:id="16">
    <w:p w:rsidR="0007460E" w:rsidRPr="006405A5" w:rsidRDefault="0007460E" w:rsidP="0007460E">
      <w:pPr>
        <w:pStyle w:val="FootnoteText"/>
        <w:rPr>
          <w:rFonts w:ascii="Franklin Gothic Book" w:hAnsi="Franklin Gothic Book"/>
        </w:rPr>
      </w:pPr>
      <w:r w:rsidRPr="006405A5">
        <w:rPr>
          <w:rStyle w:val="FootnoteReference"/>
          <w:rFonts w:ascii="Franklin Gothic Book" w:hAnsi="Franklin Gothic Book"/>
        </w:rPr>
        <w:footnoteRef/>
      </w:r>
      <w:r w:rsidRPr="006405A5">
        <w:rPr>
          <w:rFonts w:ascii="Franklin Gothic Book" w:hAnsi="Franklin Gothic Book"/>
        </w:rPr>
        <w:t xml:space="preserve"> Christine Quigley, </w:t>
      </w:r>
      <w:r w:rsidR="00CC2DF7">
        <w:rPr>
          <w:rFonts w:ascii="Franklin Gothic Book" w:hAnsi="Franklin Gothic Book"/>
        </w:rPr>
        <w:t xml:space="preserve">‘The Veneration’ in </w:t>
      </w:r>
      <w:proofErr w:type="gramStart"/>
      <w:r w:rsidRPr="00CC2DF7">
        <w:rPr>
          <w:rFonts w:ascii="Franklin Gothic Book" w:hAnsi="Franklin Gothic Book"/>
          <w:i/>
        </w:rPr>
        <w:t>The</w:t>
      </w:r>
      <w:proofErr w:type="gramEnd"/>
      <w:r w:rsidRPr="00CC2DF7">
        <w:rPr>
          <w:rFonts w:ascii="Franklin Gothic Book" w:hAnsi="Franklin Gothic Book"/>
          <w:i/>
        </w:rPr>
        <w:t xml:space="preserve"> Corpse: A History</w:t>
      </w:r>
      <w:r w:rsidRPr="006405A5">
        <w:rPr>
          <w:rFonts w:ascii="Franklin Gothic Book" w:hAnsi="Franklin Gothic Book"/>
        </w:rPr>
        <w:t xml:space="preserve"> (North Carolina: McFarland, 2005), p. 262</w:t>
      </w:r>
      <w:r w:rsidR="00CC2DF7">
        <w:rPr>
          <w:rFonts w:ascii="Franklin Gothic Book" w:hAnsi="Franklin Gothic Book"/>
        </w:rPr>
        <w:t>.</w:t>
      </w:r>
    </w:p>
  </w:footnote>
  <w:footnote w:id="17">
    <w:p w:rsidR="0007460E" w:rsidRDefault="0007460E" w:rsidP="0007460E">
      <w:pPr>
        <w:pStyle w:val="FootnoteText"/>
      </w:pPr>
      <w:r w:rsidRPr="006405A5">
        <w:rPr>
          <w:rStyle w:val="FootnoteReference"/>
          <w:rFonts w:ascii="Franklin Gothic Book" w:hAnsi="Franklin Gothic Book"/>
        </w:rPr>
        <w:footnoteRef/>
      </w:r>
      <w:r w:rsidRPr="006405A5">
        <w:rPr>
          <w:rFonts w:ascii="Franklin Gothic Book" w:hAnsi="Franklin Gothic Book"/>
        </w:rPr>
        <w:t xml:space="preserve"> Janet Burton, </w:t>
      </w:r>
      <w:r w:rsidRPr="00FA4B3D">
        <w:rPr>
          <w:rFonts w:ascii="Franklin Gothic Book" w:hAnsi="Franklin Gothic Book"/>
          <w:i/>
        </w:rPr>
        <w:t>All Fingers, No Thumbs: The Materiality of a Medieval Relic</w:t>
      </w:r>
      <w:r w:rsidRPr="006405A5">
        <w:rPr>
          <w:rFonts w:ascii="Franklin Gothic Book" w:hAnsi="Franklin Gothic Book"/>
        </w:rPr>
        <w:t xml:space="preserve">, ed. L. </w:t>
      </w:r>
      <w:proofErr w:type="spellStart"/>
      <w:r w:rsidRPr="006405A5">
        <w:rPr>
          <w:rFonts w:ascii="Franklin Gothic Book" w:hAnsi="Franklin Gothic Book"/>
        </w:rPr>
        <w:t>Attala</w:t>
      </w:r>
      <w:proofErr w:type="spellEnd"/>
      <w:r w:rsidRPr="006405A5">
        <w:rPr>
          <w:rFonts w:ascii="Franklin Gothic Book" w:hAnsi="Franklin Gothic Book"/>
        </w:rPr>
        <w:t xml:space="preserve"> and L. Steele (Cardiff: University of Wales Press, 2019), p. 211.</w:t>
      </w:r>
    </w:p>
  </w:footnote>
  <w:footnote w:id="18">
    <w:p w:rsidR="0007460E" w:rsidRPr="005D2DCF" w:rsidRDefault="0007460E" w:rsidP="0007460E">
      <w:pPr>
        <w:pStyle w:val="FootnoteText"/>
        <w:rPr>
          <w:rFonts w:ascii="Franklin Gothic Book" w:hAnsi="Franklin Gothic Book"/>
        </w:rPr>
      </w:pPr>
      <w:r w:rsidRPr="005D2DCF">
        <w:rPr>
          <w:rStyle w:val="FootnoteReference"/>
          <w:rFonts w:ascii="Franklin Gothic Book" w:hAnsi="Franklin Gothic Book"/>
        </w:rPr>
        <w:footnoteRef/>
      </w:r>
      <w:r w:rsidRPr="005D2DCF">
        <w:rPr>
          <w:rFonts w:ascii="Franklin Gothic Book" w:hAnsi="Franklin Gothic Book"/>
        </w:rPr>
        <w:t xml:space="preserve"> </w:t>
      </w:r>
      <w:proofErr w:type="gramStart"/>
      <w:r w:rsidRPr="005D2DCF">
        <w:rPr>
          <w:rFonts w:ascii="Franklin Gothic Book" w:hAnsi="Franklin Gothic Book"/>
        </w:rPr>
        <w:t>Ibid</w:t>
      </w:r>
      <w:r w:rsidR="001339B8" w:rsidRPr="005D2DCF">
        <w:rPr>
          <w:rFonts w:ascii="Franklin Gothic Book" w:hAnsi="Franklin Gothic Book"/>
        </w:rPr>
        <w:t>.</w:t>
      </w:r>
      <w:r w:rsidRPr="005D2DCF">
        <w:rPr>
          <w:rFonts w:ascii="Franklin Gothic Book" w:hAnsi="Franklin Gothic Book"/>
        </w:rPr>
        <w:t>,</w:t>
      </w:r>
      <w:proofErr w:type="gramEnd"/>
      <w:r w:rsidRPr="005D2DCF">
        <w:rPr>
          <w:rFonts w:ascii="Franklin Gothic Book" w:hAnsi="Franklin Gothic Book"/>
        </w:rPr>
        <w:t xml:space="preserve"> p. 211. </w:t>
      </w:r>
    </w:p>
  </w:footnote>
  <w:footnote w:id="19">
    <w:p w:rsidR="0007460E" w:rsidRPr="005D2DCF" w:rsidRDefault="0007460E" w:rsidP="0007460E">
      <w:pPr>
        <w:pStyle w:val="FootnoteText"/>
        <w:rPr>
          <w:rFonts w:ascii="Franklin Gothic Book" w:hAnsi="Franklin Gothic Book"/>
        </w:rPr>
      </w:pPr>
      <w:r w:rsidRPr="005D2DCF">
        <w:rPr>
          <w:rStyle w:val="FootnoteReference"/>
          <w:rFonts w:ascii="Franklin Gothic Book" w:hAnsi="Franklin Gothic Book"/>
        </w:rPr>
        <w:footnoteRef/>
      </w:r>
      <w:r w:rsidRPr="005D2DCF">
        <w:rPr>
          <w:rFonts w:ascii="Franklin Gothic Book" w:hAnsi="Franklin Gothic Book"/>
        </w:rPr>
        <w:t xml:space="preserve"> Elina </w:t>
      </w:r>
      <w:proofErr w:type="spellStart"/>
      <w:r w:rsidRPr="005D2DCF">
        <w:rPr>
          <w:rFonts w:ascii="Franklin Gothic Book" w:hAnsi="Franklin Gothic Book"/>
        </w:rPr>
        <w:t>Gertsman</w:t>
      </w:r>
      <w:proofErr w:type="spellEnd"/>
      <w:r w:rsidRPr="005D2DCF">
        <w:rPr>
          <w:rFonts w:ascii="Franklin Gothic Book" w:hAnsi="Franklin Gothic Book"/>
        </w:rPr>
        <w:t xml:space="preserve">, </w:t>
      </w:r>
      <w:r w:rsidR="00211173" w:rsidRPr="005D2DCF">
        <w:rPr>
          <w:rFonts w:ascii="Franklin Gothic Book" w:hAnsi="Franklin Gothic Book"/>
        </w:rPr>
        <w:t xml:space="preserve">‘Matter Matters’ in </w:t>
      </w:r>
      <w:r w:rsidRPr="005D2DCF">
        <w:rPr>
          <w:rFonts w:ascii="Franklin Gothic Book" w:hAnsi="Franklin Gothic Book"/>
          <w:i/>
        </w:rPr>
        <w:t xml:space="preserve">Feeling Things: Objects and Emotions </w:t>
      </w:r>
      <w:proofErr w:type="gramStart"/>
      <w:r w:rsidRPr="005D2DCF">
        <w:rPr>
          <w:rFonts w:ascii="Franklin Gothic Book" w:hAnsi="Franklin Gothic Book"/>
          <w:i/>
        </w:rPr>
        <w:t>Through</w:t>
      </w:r>
      <w:proofErr w:type="gramEnd"/>
      <w:r w:rsidRPr="005D2DCF">
        <w:rPr>
          <w:rFonts w:ascii="Franklin Gothic Book" w:hAnsi="Franklin Gothic Book"/>
          <w:i/>
        </w:rPr>
        <w:t xml:space="preserve"> History</w:t>
      </w:r>
      <w:r w:rsidRPr="005D2DCF">
        <w:rPr>
          <w:rFonts w:ascii="Franklin Gothic Book" w:hAnsi="Franklin Gothic Book"/>
        </w:rPr>
        <w:t xml:space="preserve">, ed. S. </w:t>
      </w:r>
      <w:proofErr w:type="spellStart"/>
      <w:r w:rsidRPr="005D2DCF">
        <w:rPr>
          <w:rFonts w:ascii="Franklin Gothic Book" w:hAnsi="Franklin Gothic Book"/>
        </w:rPr>
        <w:t>Downes</w:t>
      </w:r>
      <w:proofErr w:type="spellEnd"/>
      <w:r w:rsidRPr="005D2DCF">
        <w:rPr>
          <w:rFonts w:ascii="Franklin Gothic Book" w:hAnsi="Franklin Gothic Book"/>
        </w:rPr>
        <w:t xml:space="preserve"> (Oxford: Oxford U</w:t>
      </w:r>
      <w:r w:rsidR="00211173" w:rsidRPr="005D2DCF">
        <w:rPr>
          <w:rFonts w:ascii="Franklin Gothic Book" w:hAnsi="Franklin Gothic Book"/>
        </w:rPr>
        <w:t>niversity Press: 2018), p. 27.</w:t>
      </w:r>
    </w:p>
  </w:footnote>
  <w:footnote w:id="20">
    <w:p w:rsidR="0007460E" w:rsidRPr="005D2DCF" w:rsidRDefault="0007460E" w:rsidP="0007460E">
      <w:pPr>
        <w:pStyle w:val="FootnoteText"/>
        <w:rPr>
          <w:rFonts w:ascii="Franklin Gothic Book" w:hAnsi="Franklin Gothic Book"/>
        </w:rPr>
      </w:pPr>
      <w:r w:rsidRPr="005D2DCF">
        <w:rPr>
          <w:rStyle w:val="FootnoteReference"/>
          <w:rFonts w:ascii="Franklin Gothic Book" w:hAnsi="Franklin Gothic Book"/>
        </w:rPr>
        <w:footnoteRef/>
      </w:r>
      <w:r w:rsidRPr="005D2DCF">
        <w:rPr>
          <w:rFonts w:ascii="Franklin Gothic Book" w:hAnsi="Franklin Gothic Book"/>
        </w:rPr>
        <w:t xml:space="preserve"> Herbert Thurston, </w:t>
      </w:r>
      <w:proofErr w:type="gramStart"/>
      <w:r w:rsidRPr="005D2DCF">
        <w:rPr>
          <w:rFonts w:ascii="Franklin Gothic Book" w:hAnsi="Franklin Gothic Book"/>
          <w:i/>
        </w:rPr>
        <w:t>The</w:t>
      </w:r>
      <w:proofErr w:type="gramEnd"/>
      <w:r w:rsidRPr="005D2DCF">
        <w:rPr>
          <w:rFonts w:ascii="Franklin Gothic Book" w:hAnsi="Franklin Gothic Book"/>
          <w:i/>
        </w:rPr>
        <w:t xml:space="preserve"> Life of Saint Hugh of Lincoln</w:t>
      </w:r>
      <w:r w:rsidRPr="005D2DCF">
        <w:rPr>
          <w:rFonts w:ascii="Franklin Gothic Book" w:hAnsi="Franklin Gothic Book"/>
        </w:rPr>
        <w:t xml:space="preserve"> (London: Burns and Oates, 1898), p. 612.</w:t>
      </w:r>
    </w:p>
  </w:footnote>
  <w:footnote w:id="21">
    <w:p w:rsidR="0007460E" w:rsidRPr="005D2DCF" w:rsidRDefault="0007460E" w:rsidP="0007460E">
      <w:pPr>
        <w:pStyle w:val="FootnoteText"/>
        <w:rPr>
          <w:rFonts w:ascii="Franklin Gothic Book" w:hAnsi="Franklin Gothic Book"/>
        </w:rPr>
      </w:pPr>
      <w:r w:rsidRPr="005D2DCF">
        <w:rPr>
          <w:rStyle w:val="FootnoteReference"/>
          <w:rFonts w:ascii="Franklin Gothic Book" w:hAnsi="Franklin Gothic Book"/>
        </w:rPr>
        <w:footnoteRef/>
      </w:r>
      <w:r w:rsidRPr="005D2DCF">
        <w:rPr>
          <w:rFonts w:ascii="Franklin Gothic Book" w:hAnsi="Franklin Gothic Book"/>
        </w:rPr>
        <w:t xml:space="preserve"> Richard Morgan Loomis, </w:t>
      </w:r>
      <w:r w:rsidRPr="005D2DCF">
        <w:rPr>
          <w:rFonts w:ascii="Franklin Gothic Book" w:hAnsi="Franklin Gothic Book"/>
          <w:i/>
        </w:rPr>
        <w:t>The life of St. Hugh of Avalon, Bishop of Lincoln 1186-1200</w:t>
      </w:r>
      <w:r w:rsidRPr="005D2DCF">
        <w:rPr>
          <w:rFonts w:ascii="Franklin Gothic Book" w:hAnsi="Franklin Gothic Book"/>
        </w:rPr>
        <w:t xml:space="preserve"> (London: Garland Pub., 1985), p. 31.</w:t>
      </w:r>
    </w:p>
  </w:footnote>
  <w:footnote w:id="22">
    <w:p w:rsidR="0007460E" w:rsidRDefault="0007460E" w:rsidP="0007460E">
      <w:pPr>
        <w:pStyle w:val="FootnoteText"/>
      </w:pPr>
      <w:r w:rsidRPr="005D2DCF">
        <w:rPr>
          <w:rStyle w:val="FootnoteReference"/>
          <w:rFonts w:ascii="Franklin Gothic Book" w:hAnsi="Franklin Gothic Book"/>
        </w:rPr>
        <w:footnoteRef/>
      </w:r>
      <w:r w:rsidRPr="005D2DCF">
        <w:rPr>
          <w:rFonts w:ascii="Franklin Gothic Book" w:hAnsi="Franklin Gothic Book"/>
        </w:rPr>
        <w:t xml:space="preserve"> </w:t>
      </w:r>
      <w:proofErr w:type="gramStart"/>
      <w:r w:rsidR="001339B8" w:rsidRPr="005D2DCF">
        <w:rPr>
          <w:rFonts w:ascii="Franklin Gothic Book" w:hAnsi="Franklin Gothic Book"/>
        </w:rPr>
        <w:t>Ibid.,</w:t>
      </w:r>
      <w:proofErr w:type="gramEnd"/>
      <w:r w:rsidRPr="005D2DCF">
        <w:rPr>
          <w:rFonts w:ascii="Franklin Gothic Book" w:hAnsi="Franklin Gothic Book"/>
        </w:rPr>
        <w:t xml:space="preserve"> p. xlviii.</w:t>
      </w:r>
    </w:p>
  </w:footnote>
  <w:footnote w:id="23">
    <w:p w:rsidR="00A75408" w:rsidRDefault="00A75408">
      <w:pPr>
        <w:pStyle w:val="FootnoteText"/>
      </w:pPr>
      <w:r>
        <w:rPr>
          <w:rStyle w:val="FootnoteReference"/>
        </w:rPr>
        <w:footnoteRef/>
      </w:r>
      <w:r>
        <w:t xml:space="preserve"> </w:t>
      </w:r>
      <w:r w:rsidRPr="00A75408">
        <w:t xml:space="preserve">Carole Rawcliffe, ‘Diseases of the Soul’ in Medicine &amp; Society </w:t>
      </w:r>
      <w:proofErr w:type="gramStart"/>
      <w:r w:rsidRPr="00A75408">
        <w:t>In</w:t>
      </w:r>
      <w:proofErr w:type="gramEnd"/>
      <w:r w:rsidRPr="00A75408">
        <w:t xml:space="preserve"> Later Medieval England (London: Alan Sutton Publishing Ltd, 1995)</w:t>
      </w:r>
      <w:r>
        <w:t>, p. 16</w:t>
      </w:r>
      <w:r w:rsidRPr="00A75408">
        <w:t>.</w:t>
      </w:r>
    </w:p>
  </w:footnote>
  <w:footnote w:id="24">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Richard Morgan Loomis, </w:t>
      </w:r>
      <w:r w:rsidRPr="00D7709D">
        <w:rPr>
          <w:rFonts w:ascii="Franklin Gothic Book" w:hAnsi="Franklin Gothic Book"/>
          <w:i/>
        </w:rPr>
        <w:t>The life of St. Hugh of Avalon, Bishop of Lincoln 1186-1200</w:t>
      </w:r>
      <w:r w:rsidRPr="00D7709D">
        <w:rPr>
          <w:rFonts w:ascii="Franklin Gothic Book" w:hAnsi="Franklin Gothic Book"/>
        </w:rPr>
        <w:t xml:space="preserve"> (London: Garland Pub., 1985).</w:t>
      </w:r>
    </w:p>
  </w:footnote>
  <w:footnote w:id="25">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Janet Burton, </w:t>
      </w:r>
      <w:r w:rsidRPr="00D7709D">
        <w:rPr>
          <w:rFonts w:ascii="Franklin Gothic Book" w:hAnsi="Franklin Gothic Book"/>
          <w:i/>
        </w:rPr>
        <w:t>All Fingers, No Thumbs: The Materiality of a Medieval Relic</w:t>
      </w:r>
      <w:r w:rsidRPr="00D7709D">
        <w:rPr>
          <w:rFonts w:ascii="Franklin Gothic Book" w:hAnsi="Franklin Gothic Book"/>
        </w:rPr>
        <w:t xml:space="preserve">, ed. L. </w:t>
      </w:r>
      <w:proofErr w:type="spellStart"/>
      <w:r w:rsidRPr="00D7709D">
        <w:rPr>
          <w:rFonts w:ascii="Franklin Gothic Book" w:hAnsi="Franklin Gothic Book"/>
        </w:rPr>
        <w:t>Attala</w:t>
      </w:r>
      <w:proofErr w:type="spellEnd"/>
      <w:r w:rsidRPr="00D7709D">
        <w:rPr>
          <w:rFonts w:ascii="Franklin Gothic Book" w:hAnsi="Franklin Gothic Book"/>
        </w:rPr>
        <w:t xml:space="preserve"> and L. Steele (Cardiff: University of Wales Press, 2019), p. 211.</w:t>
      </w:r>
    </w:p>
  </w:footnote>
  <w:footnote w:id="26">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Brookes, and </w:t>
      </w:r>
      <w:proofErr w:type="spellStart"/>
      <w:r w:rsidRPr="00D7709D">
        <w:rPr>
          <w:rFonts w:ascii="Franklin Gothic Book" w:hAnsi="Franklin Gothic Book"/>
        </w:rPr>
        <w:t>Vibert</w:t>
      </w:r>
      <w:proofErr w:type="spellEnd"/>
      <w:r w:rsidRPr="00D7709D">
        <w:rPr>
          <w:rFonts w:ascii="Franklin Gothic Book" w:hAnsi="Franklin Gothic Book"/>
        </w:rPr>
        <w:t xml:space="preserve">, </w:t>
      </w:r>
      <w:r w:rsidRPr="00D7709D">
        <w:rPr>
          <w:rFonts w:ascii="Franklin Gothic Book" w:hAnsi="Franklin Gothic Book"/>
          <w:i/>
        </w:rPr>
        <w:t>History and Antiquity of Lincoln: Lincoln Cathedral</w:t>
      </w:r>
      <w:r w:rsidRPr="00D7709D">
        <w:rPr>
          <w:rFonts w:ascii="Franklin Gothic Book" w:hAnsi="Franklin Gothic Book"/>
        </w:rPr>
        <w:t xml:space="preserve"> (London: </w:t>
      </w:r>
      <w:proofErr w:type="spellStart"/>
      <w:r w:rsidRPr="00D7709D">
        <w:rPr>
          <w:rFonts w:ascii="Franklin Gothic Book" w:hAnsi="Franklin Gothic Book"/>
        </w:rPr>
        <w:t>Kessinger</w:t>
      </w:r>
      <w:proofErr w:type="spellEnd"/>
      <w:r w:rsidRPr="00D7709D">
        <w:rPr>
          <w:rFonts w:ascii="Franklin Gothic Book" w:hAnsi="Franklin Gothic Book"/>
        </w:rPr>
        <w:t xml:space="preserve"> Publishing, 1865).</w:t>
      </w:r>
    </w:p>
  </w:footnote>
  <w:footnote w:id="27">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Jane Schulenburg, </w:t>
      </w:r>
      <w:r>
        <w:rPr>
          <w:rFonts w:ascii="Franklin Gothic Book" w:hAnsi="Franklin Gothic Book"/>
        </w:rPr>
        <w:t xml:space="preserve">‘Female Religious as Collectors of Relics: Finding </w:t>
      </w:r>
      <w:proofErr w:type="spellStart"/>
      <w:r>
        <w:rPr>
          <w:rFonts w:ascii="Franklin Gothic Book" w:hAnsi="Franklin Gothic Book"/>
        </w:rPr>
        <w:t>Sacrality</w:t>
      </w:r>
      <w:proofErr w:type="spellEnd"/>
      <w:r>
        <w:rPr>
          <w:rFonts w:ascii="Franklin Gothic Book" w:hAnsi="Franklin Gothic Book"/>
        </w:rPr>
        <w:t xml:space="preserve"> and Power in the “Ordinary” in </w:t>
      </w:r>
      <w:r w:rsidRPr="00D7709D">
        <w:rPr>
          <w:rFonts w:ascii="Franklin Gothic Book" w:hAnsi="Franklin Gothic Book"/>
          <w:i/>
        </w:rPr>
        <w:t>Where Heaven and Earth Meet: Essays on Medieval Europe</w:t>
      </w:r>
      <w:r w:rsidRPr="00D7709D">
        <w:rPr>
          <w:rFonts w:ascii="Franklin Gothic Book" w:hAnsi="Franklin Gothic Book"/>
        </w:rPr>
        <w:t xml:space="preserve">, ed. M. </w:t>
      </w:r>
      <w:proofErr w:type="spellStart"/>
      <w:r w:rsidRPr="00D7709D">
        <w:rPr>
          <w:rFonts w:ascii="Franklin Gothic Book" w:hAnsi="Franklin Gothic Book"/>
        </w:rPr>
        <w:t>Frassetto</w:t>
      </w:r>
      <w:proofErr w:type="spellEnd"/>
      <w:r w:rsidRPr="00D7709D">
        <w:rPr>
          <w:rFonts w:ascii="Franklin Gothic Book" w:hAnsi="Franklin Gothic Book"/>
        </w:rPr>
        <w:t xml:space="preserve"> (Boston: BRILL, 2014), p. 160. </w:t>
      </w:r>
    </w:p>
  </w:footnote>
  <w:footnote w:id="28">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Christine Quigley, ‘The Veneration’ in </w:t>
      </w:r>
      <w:proofErr w:type="gramStart"/>
      <w:r w:rsidRPr="006871AA">
        <w:rPr>
          <w:rFonts w:ascii="Franklin Gothic Book" w:hAnsi="Franklin Gothic Book"/>
          <w:i/>
        </w:rPr>
        <w:t>The</w:t>
      </w:r>
      <w:proofErr w:type="gramEnd"/>
      <w:r w:rsidRPr="006871AA">
        <w:rPr>
          <w:rFonts w:ascii="Franklin Gothic Book" w:hAnsi="Franklin Gothic Book"/>
          <w:i/>
        </w:rPr>
        <w:t xml:space="preserve"> Corpse: A History</w:t>
      </w:r>
      <w:r w:rsidRPr="00D7709D">
        <w:rPr>
          <w:rFonts w:ascii="Franklin Gothic Book" w:hAnsi="Franklin Gothic Book"/>
        </w:rPr>
        <w:t xml:space="preserve"> (North Carolina: McFarland, 2005), p. 263.</w:t>
      </w:r>
    </w:p>
  </w:footnote>
  <w:footnote w:id="29">
    <w:p w:rsidR="009E2218" w:rsidRDefault="009E2218" w:rsidP="009E2218">
      <w:pPr>
        <w:pStyle w:val="FootnoteText"/>
      </w:pPr>
      <w:r w:rsidRPr="00D7709D">
        <w:rPr>
          <w:rStyle w:val="FootnoteReference"/>
          <w:rFonts w:ascii="Franklin Gothic Book" w:hAnsi="Franklin Gothic Book"/>
        </w:rPr>
        <w:footnoteRef/>
      </w:r>
      <w:r w:rsidRPr="00D7709D">
        <w:rPr>
          <w:rFonts w:ascii="Franklin Gothic Book" w:hAnsi="Franklin Gothic Book"/>
        </w:rPr>
        <w:t xml:space="preserve"> Susan Haskins, </w:t>
      </w:r>
      <w:r w:rsidRPr="006871AA">
        <w:rPr>
          <w:rFonts w:ascii="Franklin Gothic Book" w:hAnsi="Franklin Gothic Book"/>
          <w:i/>
        </w:rPr>
        <w:t>Mary Magdalen: Myth and Metaphor</w:t>
      </w:r>
      <w:r w:rsidRPr="00D7709D">
        <w:rPr>
          <w:rFonts w:ascii="Franklin Gothic Book" w:hAnsi="Franklin Gothic Book"/>
        </w:rPr>
        <w:t xml:space="preserve"> (New York: Harcourt, Brace &amp; Co., 1993).</w:t>
      </w:r>
    </w:p>
  </w:footnote>
  <w:footnote w:id="30">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Janet Burton, </w:t>
      </w:r>
      <w:r w:rsidRPr="006871AA">
        <w:rPr>
          <w:rFonts w:ascii="Franklin Gothic Book" w:hAnsi="Franklin Gothic Book"/>
          <w:i/>
        </w:rPr>
        <w:t>All Fingers, No Thumbs: The Materiality of a Medieval Relic</w:t>
      </w:r>
      <w:r w:rsidRPr="00D7709D">
        <w:rPr>
          <w:rFonts w:ascii="Franklin Gothic Book" w:hAnsi="Franklin Gothic Book"/>
        </w:rPr>
        <w:t xml:space="preserve">, ed. L. </w:t>
      </w:r>
      <w:proofErr w:type="spellStart"/>
      <w:r w:rsidRPr="00D7709D">
        <w:rPr>
          <w:rFonts w:ascii="Franklin Gothic Book" w:hAnsi="Franklin Gothic Book"/>
        </w:rPr>
        <w:t>Attala</w:t>
      </w:r>
      <w:proofErr w:type="spellEnd"/>
      <w:r w:rsidRPr="00D7709D">
        <w:rPr>
          <w:rFonts w:ascii="Franklin Gothic Book" w:hAnsi="Franklin Gothic Book"/>
        </w:rPr>
        <w:t xml:space="preserve"> and L. Steele (Cardiff: University of Wales Press, 2019), p. 211.</w:t>
      </w:r>
    </w:p>
  </w:footnote>
  <w:footnote w:id="31">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w:t>
      </w:r>
      <w:proofErr w:type="gramStart"/>
      <w:r w:rsidRPr="00D7709D">
        <w:rPr>
          <w:rFonts w:ascii="Franklin Gothic Book" w:hAnsi="Franklin Gothic Book"/>
        </w:rPr>
        <w:t xml:space="preserve">Adam of </w:t>
      </w:r>
      <w:proofErr w:type="spellStart"/>
      <w:r w:rsidRPr="00D7709D">
        <w:rPr>
          <w:rFonts w:ascii="Franklin Gothic Book" w:hAnsi="Franklin Gothic Book"/>
        </w:rPr>
        <w:t>Eynsham</w:t>
      </w:r>
      <w:proofErr w:type="spellEnd"/>
      <w:r w:rsidRPr="00D7709D">
        <w:rPr>
          <w:rFonts w:ascii="Franklin Gothic Book" w:hAnsi="Franklin Gothic Book"/>
        </w:rPr>
        <w:t xml:space="preserve">, </w:t>
      </w:r>
      <w:r w:rsidRPr="006871AA">
        <w:rPr>
          <w:rFonts w:ascii="Franklin Gothic Book" w:hAnsi="Franklin Gothic Book"/>
          <w:i/>
        </w:rPr>
        <w:t xml:space="preserve">Sancta Vita S </w:t>
      </w:r>
      <w:proofErr w:type="spellStart"/>
      <w:r w:rsidRPr="006871AA">
        <w:rPr>
          <w:rFonts w:ascii="Franklin Gothic Book" w:hAnsi="Franklin Gothic Book"/>
          <w:i/>
        </w:rPr>
        <w:t>Hugonis</w:t>
      </w:r>
      <w:proofErr w:type="spellEnd"/>
      <w:r w:rsidRPr="00D7709D">
        <w:rPr>
          <w:rFonts w:ascii="Franklin Gothic Book" w:hAnsi="Franklin Gothic Book"/>
        </w:rPr>
        <w:t xml:space="preserve">, cited in </w:t>
      </w:r>
      <w:proofErr w:type="spellStart"/>
      <w:r w:rsidRPr="00D7709D">
        <w:rPr>
          <w:rFonts w:ascii="Franklin Gothic Book" w:hAnsi="Franklin Gothic Book"/>
        </w:rPr>
        <w:t>Giraldi</w:t>
      </w:r>
      <w:proofErr w:type="spellEnd"/>
      <w:r w:rsidRPr="00D7709D">
        <w:rPr>
          <w:rFonts w:ascii="Franklin Gothic Book" w:hAnsi="Franklin Gothic Book"/>
        </w:rPr>
        <w:t xml:space="preserve"> </w:t>
      </w:r>
      <w:proofErr w:type="spellStart"/>
      <w:r w:rsidRPr="00D7709D">
        <w:rPr>
          <w:rFonts w:ascii="Franklin Gothic Book" w:hAnsi="Franklin Gothic Book"/>
        </w:rPr>
        <w:t>Cambrensis</w:t>
      </w:r>
      <w:proofErr w:type="spellEnd"/>
      <w:r w:rsidRPr="00D7709D">
        <w:rPr>
          <w:rFonts w:ascii="Franklin Gothic Book" w:hAnsi="Franklin Gothic Book"/>
        </w:rPr>
        <w:t xml:space="preserve"> </w:t>
      </w:r>
      <w:r w:rsidRPr="006871AA">
        <w:rPr>
          <w:rFonts w:ascii="Franklin Gothic Book" w:hAnsi="Franklin Gothic Book"/>
          <w:i/>
        </w:rPr>
        <w:t>Opera</w:t>
      </w:r>
      <w:r w:rsidRPr="00D7709D">
        <w:rPr>
          <w:rFonts w:ascii="Franklin Gothic Book" w:hAnsi="Franklin Gothic Book"/>
        </w:rPr>
        <w:t xml:space="preserve"> (London: Longman and Company, 1877), p. 39.</w:t>
      </w:r>
      <w:proofErr w:type="gramEnd"/>
    </w:p>
  </w:footnote>
  <w:footnote w:id="32">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w:t>
      </w:r>
      <w:proofErr w:type="gramStart"/>
      <w:r w:rsidRPr="00D7709D">
        <w:rPr>
          <w:rFonts w:ascii="Franklin Gothic Book" w:hAnsi="Franklin Gothic Book"/>
        </w:rPr>
        <w:t>Ibid.,</w:t>
      </w:r>
      <w:proofErr w:type="gramEnd"/>
      <w:r w:rsidRPr="00D7709D">
        <w:rPr>
          <w:rFonts w:ascii="Franklin Gothic Book" w:hAnsi="Franklin Gothic Book"/>
        </w:rPr>
        <w:t xml:space="preserve"> p. 39.</w:t>
      </w:r>
    </w:p>
  </w:footnote>
  <w:footnote w:id="33">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Herbert Thurston, </w:t>
      </w:r>
      <w:proofErr w:type="gramStart"/>
      <w:r w:rsidRPr="006871AA">
        <w:rPr>
          <w:rFonts w:ascii="Franklin Gothic Book" w:hAnsi="Franklin Gothic Book"/>
          <w:i/>
        </w:rPr>
        <w:t>The</w:t>
      </w:r>
      <w:proofErr w:type="gramEnd"/>
      <w:r w:rsidRPr="006871AA">
        <w:rPr>
          <w:rFonts w:ascii="Franklin Gothic Book" w:hAnsi="Franklin Gothic Book"/>
          <w:i/>
        </w:rPr>
        <w:t xml:space="preserve"> Life of Saint Hugh of Lincoln</w:t>
      </w:r>
      <w:r w:rsidRPr="00D7709D">
        <w:rPr>
          <w:rFonts w:ascii="Franklin Gothic Book" w:hAnsi="Franklin Gothic Book"/>
        </w:rPr>
        <w:t xml:space="preserve"> (London: Burns and Oates, 1898).</w:t>
      </w:r>
    </w:p>
  </w:footnote>
  <w:footnote w:id="34">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Gerald of Wales, </w:t>
      </w:r>
      <w:r w:rsidRPr="006871AA">
        <w:rPr>
          <w:rFonts w:ascii="Franklin Gothic Book" w:hAnsi="Franklin Gothic Book"/>
          <w:i/>
        </w:rPr>
        <w:t>The Life of St Hugh of Avalon</w:t>
      </w:r>
      <w:r w:rsidRPr="00D7709D">
        <w:rPr>
          <w:rFonts w:ascii="Franklin Gothic Book" w:hAnsi="Franklin Gothic Book"/>
        </w:rPr>
        <w:t xml:space="preserve">, cited in Kenneth Baxter Wolf, </w:t>
      </w:r>
      <w:r w:rsidRPr="006871AA">
        <w:rPr>
          <w:rFonts w:ascii="Franklin Gothic Book" w:hAnsi="Franklin Gothic Book"/>
          <w:i/>
        </w:rPr>
        <w:t>The Poverty of Riches: St Francis of Assisi Reconsidered</w:t>
      </w:r>
      <w:r w:rsidRPr="00D7709D">
        <w:rPr>
          <w:rFonts w:ascii="Franklin Gothic Book" w:hAnsi="Franklin Gothic Book"/>
        </w:rPr>
        <w:t xml:space="preserve"> (Oxford: Oxford University Press, 2005), p. 114.</w:t>
      </w:r>
    </w:p>
  </w:footnote>
  <w:footnote w:id="35">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Antonia </w:t>
      </w:r>
      <w:proofErr w:type="spellStart"/>
      <w:r w:rsidRPr="00D7709D">
        <w:rPr>
          <w:rFonts w:ascii="Franklin Gothic Book" w:hAnsi="Franklin Gothic Book"/>
        </w:rPr>
        <w:t>Gransden</w:t>
      </w:r>
      <w:proofErr w:type="spellEnd"/>
      <w:r w:rsidRPr="00D7709D">
        <w:rPr>
          <w:rFonts w:ascii="Franklin Gothic Book" w:hAnsi="Franklin Gothic Book"/>
        </w:rPr>
        <w:t xml:space="preserve">, ‘From Henry II to John’ in </w:t>
      </w:r>
      <w:r w:rsidRPr="00D7709D">
        <w:rPr>
          <w:rFonts w:ascii="Franklin Gothic Book" w:hAnsi="Franklin Gothic Book"/>
          <w:i/>
        </w:rPr>
        <w:t>Historical Writing in England: c. 500 to c. 1307</w:t>
      </w:r>
      <w:r w:rsidRPr="00D7709D">
        <w:rPr>
          <w:rFonts w:ascii="Franklin Gothic Book" w:hAnsi="Franklin Gothic Book"/>
        </w:rPr>
        <w:t xml:space="preserve"> (London: Psychology Press, 1996), p. 277. </w:t>
      </w:r>
    </w:p>
  </w:footnote>
  <w:footnote w:id="36">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St Hugh had established a hospital entirely dedicated to leprosy in Witham, as well as a flourishing Carthusian Charterhouse that bolstered his popularity in England. </w:t>
      </w:r>
    </w:p>
  </w:footnote>
  <w:footnote w:id="37">
    <w:p w:rsidR="009E2218" w:rsidRDefault="009E2218" w:rsidP="009E2218">
      <w:pPr>
        <w:pStyle w:val="FootnoteText"/>
      </w:pPr>
      <w:r w:rsidRPr="00D7709D">
        <w:rPr>
          <w:rStyle w:val="FootnoteReference"/>
          <w:rFonts w:ascii="Franklin Gothic Book" w:hAnsi="Franklin Gothic Book"/>
        </w:rPr>
        <w:footnoteRef/>
      </w:r>
      <w:r w:rsidRPr="00D7709D">
        <w:rPr>
          <w:rFonts w:ascii="Franklin Gothic Book" w:hAnsi="Franklin Gothic Book"/>
        </w:rPr>
        <w:t xml:space="preserve"> William </w:t>
      </w:r>
      <w:proofErr w:type="spellStart"/>
      <w:r w:rsidRPr="00D7709D">
        <w:rPr>
          <w:rFonts w:ascii="Franklin Gothic Book" w:hAnsi="Franklin Gothic Book"/>
        </w:rPr>
        <w:t>Dugdale</w:t>
      </w:r>
      <w:proofErr w:type="spellEnd"/>
      <w:r w:rsidRPr="00D7709D">
        <w:rPr>
          <w:rFonts w:ascii="Franklin Gothic Book" w:hAnsi="Franklin Gothic Book"/>
        </w:rPr>
        <w:t xml:space="preserve">, </w:t>
      </w:r>
      <w:proofErr w:type="spellStart"/>
      <w:r w:rsidRPr="006871AA">
        <w:rPr>
          <w:rFonts w:ascii="Franklin Gothic Book" w:hAnsi="Franklin Gothic Book"/>
          <w:i/>
        </w:rPr>
        <w:t>Monasticon</w:t>
      </w:r>
      <w:proofErr w:type="spellEnd"/>
      <w:r w:rsidRPr="006871AA">
        <w:rPr>
          <w:rFonts w:ascii="Franklin Gothic Book" w:hAnsi="Franklin Gothic Book"/>
          <w:i/>
        </w:rPr>
        <w:t xml:space="preserve"> </w:t>
      </w:r>
      <w:proofErr w:type="spellStart"/>
      <w:r w:rsidRPr="006871AA">
        <w:rPr>
          <w:rFonts w:ascii="Franklin Gothic Book" w:hAnsi="Franklin Gothic Book"/>
          <w:i/>
        </w:rPr>
        <w:t>Anglicanum</w:t>
      </w:r>
      <w:proofErr w:type="spellEnd"/>
      <w:r w:rsidRPr="00D7709D">
        <w:rPr>
          <w:rFonts w:ascii="Franklin Gothic Book" w:hAnsi="Franklin Gothic Book"/>
        </w:rPr>
        <w:t xml:space="preserve">, cited in Francis Hill, </w:t>
      </w:r>
      <w:r w:rsidRPr="006871AA">
        <w:rPr>
          <w:rFonts w:ascii="Franklin Gothic Book" w:hAnsi="Franklin Gothic Book"/>
          <w:i/>
        </w:rPr>
        <w:t>Tudor and Stuart Lincoln</w:t>
      </w:r>
      <w:r w:rsidRPr="00D7709D">
        <w:rPr>
          <w:rFonts w:ascii="Franklin Gothic Book" w:hAnsi="Franklin Gothic Book"/>
        </w:rPr>
        <w:t xml:space="preserve"> (Lincoln: CUP Archive, 1996), p.50.</w:t>
      </w:r>
    </w:p>
  </w:footnote>
  <w:footnote w:id="38">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George </w:t>
      </w:r>
      <w:proofErr w:type="spellStart"/>
      <w:r w:rsidRPr="00D7709D">
        <w:rPr>
          <w:rFonts w:ascii="Franklin Gothic Book" w:hAnsi="Franklin Gothic Book"/>
        </w:rPr>
        <w:t>Gresley</w:t>
      </w:r>
      <w:proofErr w:type="spellEnd"/>
      <w:r w:rsidRPr="00D7709D">
        <w:rPr>
          <w:rFonts w:ascii="Franklin Gothic Book" w:hAnsi="Franklin Gothic Book"/>
        </w:rPr>
        <w:t xml:space="preserve"> Perry, </w:t>
      </w:r>
      <w:proofErr w:type="gramStart"/>
      <w:r w:rsidRPr="006871AA">
        <w:rPr>
          <w:rFonts w:ascii="Franklin Gothic Book" w:hAnsi="Franklin Gothic Book"/>
          <w:i/>
        </w:rPr>
        <w:t>The</w:t>
      </w:r>
      <w:proofErr w:type="gramEnd"/>
      <w:r w:rsidRPr="006871AA">
        <w:rPr>
          <w:rFonts w:ascii="Franklin Gothic Book" w:hAnsi="Franklin Gothic Book"/>
          <w:i/>
        </w:rPr>
        <w:t xml:space="preserve"> Life of St. Hugh of Avalon, Bishop of Lincoln: With Some Account of His Predecessors in the See of Lincoln</w:t>
      </w:r>
      <w:r w:rsidRPr="00D7709D">
        <w:rPr>
          <w:rFonts w:ascii="Franklin Gothic Book" w:hAnsi="Franklin Gothic Book"/>
        </w:rPr>
        <w:t xml:space="preserve"> (London: J Murray Publishers, 1879).</w:t>
      </w:r>
    </w:p>
  </w:footnote>
  <w:footnote w:id="39">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Reginald Wooley, </w:t>
      </w:r>
      <w:r w:rsidRPr="006871AA">
        <w:rPr>
          <w:rFonts w:ascii="Franklin Gothic Book" w:hAnsi="Franklin Gothic Book"/>
          <w:i/>
        </w:rPr>
        <w:t>St. Hugh of Lincoln</w:t>
      </w:r>
      <w:r w:rsidRPr="00D7709D">
        <w:rPr>
          <w:rFonts w:ascii="Franklin Gothic Book" w:hAnsi="Franklin Gothic Book"/>
        </w:rPr>
        <w:t xml:space="preserve"> (London: Society for Christian Knowledge, 1927), p. 177.</w:t>
      </w:r>
    </w:p>
  </w:footnote>
  <w:footnote w:id="40">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William </w:t>
      </w:r>
      <w:proofErr w:type="spellStart"/>
      <w:r w:rsidRPr="00D7709D">
        <w:rPr>
          <w:rFonts w:ascii="Franklin Gothic Book" w:hAnsi="Franklin Gothic Book"/>
        </w:rPr>
        <w:t>Dugdale</w:t>
      </w:r>
      <w:proofErr w:type="spellEnd"/>
      <w:r w:rsidRPr="00D7709D">
        <w:rPr>
          <w:rFonts w:ascii="Franklin Gothic Book" w:hAnsi="Franklin Gothic Book"/>
        </w:rPr>
        <w:t xml:space="preserve">, </w:t>
      </w:r>
      <w:proofErr w:type="spellStart"/>
      <w:r w:rsidRPr="006871AA">
        <w:rPr>
          <w:rFonts w:ascii="Franklin Gothic Book" w:hAnsi="Franklin Gothic Book"/>
          <w:i/>
        </w:rPr>
        <w:t>Monasticon</w:t>
      </w:r>
      <w:proofErr w:type="spellEnd"/>
      <w:r w:rsidRPr="006871AA">
        <w:rPr>
          <w:rFonts w:ascii="Franklin Gothic Book" w:hAnsi="Franklin Gothic Book"/>
          <w:i/>
        </w:rPr>
        <w:t xml:space="preserve"> </w:t>
      </w:r>
      <w:proofErr w:type="spellStart"/>
      <w:r w:rsidRPr="006871AA">
        <w:rPr>
          <w:rFonts w:ascii="Franklin Gothic Book" w:hAnsi="Franklin Gothic Book"/>
          <w:i/>
        </w:rPr>
        <w:t>Anglicanum</w:t>
      </w:r>
      <w:proofErr w:type="spellEnd"/>
      <w:r w:rsidRPr="00D7709D">
        <w:rPr>
          <w:rFonts w:ascii="Franklin Gothic Book" w:hAnsi="Franklin Gothic Book"/>
        </w:rPr>
        <w:t xml:space="preserve">, cited in Francis Hill, </w:t>
      </w:r>
      <w:r w:rsidRPr="006871AA">
        <w:rPr>
          <w:rFonts w:ascii="Franklin Gothic Book" w:hAnsi="Franklin Gothic Book"/>
          <w:i/>
        </w:rPr>
        <w:t>Tudor and Stuart Lincoln</w:t>
      </w:r>
      <w:r w:rsidRPr="00D7709D">
        <w:rPr>
          <w:rFonts w:ascii="Franklin Gothic Book" w:hAnsi="Franklin Gothic Book"/>
        </w:rPr>
        <w:t xml:space="preserve"> (Lincoln: CUP Archive, 1996), p.50.</w:t>
      </w:r>
    </w:p>
  </w:footnote>
  <w:footnote w:id="41">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Brookes, and </w:t>
      </w:r>
      <w:proofErr w:type="spellStart"/>
      <w:r w:rsidRPr="00D7709D">
        <w:rPr>
          <w:rFonts w:ascii="Franklin Gothic Book" w:hAnsi="Franklin Gothic Book"/>
        </w:rPr>
        <w:t>Vibert</w:t>
      </w:r>
      <w:proofErr w:type="spellEnd"/>
      <w:r w:rsidRPr="00D7709D">
        <w:rPr>
          <w:rFonts w:ascii="Franklin Gothic Book" w:hAnsi="Franklin Gothic Book"/>
        </w:rPr>
        <w:t xml:space="preserve">, </w:t>
      </w:r>
      <w:r w:rsidRPr="006871AA">
        <w:rPr>
          <w:rFonts w:ascii="Franklin Gothic Book" w:hAnsi="Franklin Gothic Book"/>
          <w:i/>
        </w:rPr>
        <w:t>History and Antiquity of Lincoln: Lincoln Cathedral</w:t>
      </w:r>
      <w:r w:rsidRPr="00D7709D">
        <w:rPr>
          <w:rFonts w:ascii="Franklin Gothic Book" w:hAnsi="Franklin Gothic Book"/>
        </w:rPr>
        <w:t xml:space="preserve"> (London: </w:t>
      </w:r>
      <w:proofErr w:type="spellStart"/>
      <w:r w:rsidRPr="00D7709D">
        <w:rPr>
          <w:rFonts w:ascii="Franklin Gothic Book" w:hAnsi="Franklin Gothic Book"/>
        </w:rPr>
        <w:t>Kessinger</w:t>
      </w:r>
      <w:proofErr w:type="spellEnd"/>
      <w:r w:rsidRPr="00D7709D">
        <w:rPr>
          <w:rFonts w:ascii="Franklin Gothic Book" w:hAnsi="Franklin Gothic Book"/>
        </w:rPr>
        <w:t xml:space="preserve"> Publishing, 1865).</w:t>
      </w:r>
    </w:p>
  </w:footnote>
  <w:footnote w:id="42">
    <w:p w:rsidR="009E2218" w:rsidRPr="00D7709D" w:rsidRDefault="009E2218" w:rsidP="009E2218">
      <w:pPr>
        <w:pStyle w:val="FootnoteText"/>
        <w:rPr>
          <w:rFonts w:ascii="Franklin Gothic Book" w:hAnsi="Franklin Gothic Book"/>
        </w:rPr>
      </w:pPr>
      <w:r w:rsidRPr="00D7709D">
        <w:rPr>
          <w:rStyle w:val="FootnoteReference"/>
          <w:rFonts w:ascii="Franklin Gothic Book" w:hAnsi="Franklin Gothic Book"/>
        </w:rPr>
        <w:footnoteRef/>
      </w:r>
      <w:r w:rsidRPr="00D7709D">
        <w:rPr>
          <w:rFonts w:ascii="Franklin Gothic Book" w:hAnsi="Franklin Gothic Book"/>
        </w:rPr>
        <w:t xml:space="preserve"> </w:t>
      </w:r>
      <w:proofErr w:type="gramStart"/>
      <w:r w:rsidRPr="00D7709D">
        <w:rPr>
          <w:rFonts w:ascii="Franklin Gothic Book" w:hAnsi="Franklin Gothic Book"/>
        </w:rPr>
        <w:t xml:space="preserve">New Advent Catholic Encyclopaedia, </w:t>
      </w:r>
      <w:r w:rsidRPr="006871AA">
        <w:rPr>
          <w:rFonts w:ascii="Franklin Gothic Book" w:hAnsi="Franklin Gothic Book"/>
          <w:i/>
        </w:rPr>
        <w:t>St. Hugh of Lincoln</w:t>
      </w:r>
      <w:r w:rsidRPr="00D7709D">
        <w:rPr>
          <w:rFonts w:ascii="Franklin Gothic Book" w:hAnsi="Franklin Gothic Book"/>
        </w:rPr>
        <w:t xml:space="preserve"> [online].</w:t>
      </w:r>
      <w:proofErr w:type="gramEnd"/>
      <w:r w:rsidRPr="00D7709D">
        <w:rPr>
          <w:rFonts w:ascii="Franklin Gothic Book" w:hAnsi="Franklin Gothic Book"/>
        </w:rPr>
        <w:t xml:space="preserve"> </w:t>
      </w:r>
    </w:p>
  </w:footnote>
  <w:footnote w:id="43">
    <w:p w:rsidR="009E2218" w:rsidRDefault="009E2218" w:rsidP="009E2218">
      <w:pPr>
        <w:pStyle w:val="FootnoteText"/>
      </w:pPr>
      <w:r w:rsidRPr="00D7709D">
        <w:rPr>
          <w:rStyle w:val="FootnoteReference"/>
          <w:rFonts w:ascii="Franklin Gothic Book" w:hAnsi="Franklin Gothic Book"/>
        </w:rPr>
        <w:footnoteRef/>
      </w:r>
      <w:r w:rsidRPr="00D7709D">
        <w:rPr>
          <w:rFonts w:ascii="Franklin Gothic Book" w:hAnsi="Franklin Gothic Book"/>
        </w:rPr>
        <w:t xml:space="preserve"> </w:t>
      </w:r>
      <w:proofErr w:type="spellStart"/>
      <w:r w:rsidRPr="00D7709D">
        <w:rPr>
          <w:rFonts w:ascii="Franklin Gothic Book" w:hAnsi="Franklin Gothic Book"/>
        </w:rPr>
        <w:t>Björn</w:t>
      </w:r>
      <w:proofErr w:type="spellEnd"/>
      <w:r w:rsidRPr="00D7709D">
        <w:rPr>
          <w:rFonts w:ascii="Franklin Gothic Book" w:hAnsi="Franklin Gothic Book"/>
        </w:rPr>
        <w:t xml:space="preserve"> </w:t>
      </w:r>
      <w:proofErr w:type="spellStart"/>
      <w:r w:rsidRPr="00D7709D">
        <w:rPr>
          <w:rFonts w:ascii="Franklin Gothic Book" w:hAnsi="Franklin Gothic Book"/>
        </w:rPr>
        <w:t>Weiler</w:t>
      </w:r>
      <w:proofErr w:type="spellEnd"/>
      <w:r w:rsidRPr="00D7709D">
        <w:rPr>
          <w:rFonts w:ascii="Franklin Gothic Book" w:hAnsi="Franklin Gothic Book"/>
        </w:rPr>
        <w:t xml:space="preserve">, </w:t>
      </w:r>
      <w:r>
        <w:rPr>
          <w:rFonts w:ascii="Franklin Gothic Book" w:hAnsi="Franklin Gothic Book"/>
        </w:rPr>
        <w:t>‘Bishops and Kings in England, c. 1066 – c. 1215</w:t>
      </w:r>
      <w:proofErr w:type="gramStart"/>
      <w:r>
        <w:rPr>
          <w:rFonts w:ascii="Franklin Gothic Book" w:hAnsi="Franklin Gothic Book"/>
        </w:rPr>
        <w:t>)</w:t>
      </w:r>
      <w:r w:rsidRPr="006871AA">
        <w:rPr>
          <w:rFonts w:ascii="Franklin Gothic Book" w:hAnsi="Franklin Gothic Book"/>
          <w:i/>
        </w:rPr>
        <w:t>Religion</w:t>
      </w:r>
      <w:proofErr w:type="gramEnd"/>
      <w:r w:rsidRPr="006871AA">
        <w:rPr>
          <w:rFonts w:ascii="Franklin Gothic Book" w:hAnsi="Franklin Gothic Book"/>
          <w:i/>
        </w:rPr>
        <w:t xml:space="preserve"> and Politics in the Middle Ages: Germany and England by Comparison</w:t>
      </w:r>
      <w:r w:rsidRPr="00D7709D">
        <w:rPr>
          <w:rFonts w:ascii="Franklin Gothic Book" w:hAnsi="Franklin Gothic Book"/>
        </w:rPr>
        <w:t xml:space="preserve"> (Walter de </w:t>
      </w:r>
      <w:proofErr w:type="spellStart"/>
      <w:r w:rsidRPr="00D7709D">
        <w:rPr>
          <w:rFonts w:ascii="Franklin Gothic Book" w:hAnsi="Franklin Gothic Book"/>
        </w:rPr>
        <w:t>Gruyter</w:t>
      </w:r>
      <w:proofErr w:type="spellEnd"/>
      <w:r w:rsidRPr="00D7709D">
        <w:rPr>
          <w:rFonts w:ascii="Franklin Gothic Book" w:hAnsi="Franklin Gothic Book"/>
        </w:rPr>
        <w:t xml:space="preserve">: 2013), p. 157.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50E23" w:rsidRPr="00BA3B7A" w:rsidRDefault="00F25E39">
    <w:pPr>
      <w:pStyle w:val="Header"/>
      <w:rPr>
        <w:rFonts w:ascii="Gautami" w:hAnsi="Gautami" w:cs="Gautami"/>
      </w:rPr>
    </w:pPr>
    <w:r w:rsidRPr="00BA3B7A">
      <w:rPr>
        <w:rFonts w:ascii="Gautami" w:hAnsi="Gautami" w:cs="Gautami"/>
      </w:rPr>
      <w:t>Bethan Watts – 1700966</w:t>
    </w:r>
    <w:r w:rsidRPr="00BA3B7A">
      <w:rPr>
        <w:rFonts w:ascii="Gautami" w:hAnsi="Gautami" w:cs="Gautami"/>
      </w:rPr>
      <w:tab/>
    </w:r>
    <w:r w:rsidRPr="00BA3B7A">
      <w:rPr>
        <w:rFonts w:ascii="Gautami" w:hAnsi="Gautami" w:cs="Gautami"/>
      </w:rPr>
      <w:tab/>
      <w:t xml:space="preserve">HPHI5012 </w:t>
    </w:r>
    <w:r w:rsidR="00AB0369">
      <w:rPr>
        <w:rFonts w:ascii="Gautami" w:hAnsi="Gautami" w:cs="Gautami"/>
      </w:rPr>
      <w:t>–</w:t>
    </w:r>
    <w:r w:rsidRPr="00BA3B7A">
      <w:rPr>
        <w:rFonts w:ascii="Gautami" w:hAnsi="Gautami" w:cs="Gautami"/>
      </w:rPr>
      <w:t xml:space="preserve"> Portfolio</w:t>
    </w:r>
    <w:r w:rsidR="00AB0369">
      <w:rPr>
        <w:rFonts w:ascii="Gautami" w:hAnsi="Gautami" w:cs="Gautami"/>
      </w:rPr>
      <w:t xml:space="preserve"> – St Hugh of Lincoln</w:t>
    </w:r>
  </w:p>
  <w:p w:rsidR="00350E23" w:rsidRDefault="00350E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0E23"/>
    <w:rsid w:val="00007A18"/>
    <w:rsid w:val="000216F8"/>
    <w:rsid w:val="00023DAC"/>
    <w:rsid w:val="00027FA4"/>
    <w:rsid w:val="00033B29"/>
    <w:rsid w:val="00042D6A"/>
    <w:rsid w:val="000638BB"/>
    <w:rsid w:val="0007460E"/>
    <w:rsid w:val="00083E3E"/>
    <w:rsid w:val="00116DEB"/>
    <w:rsid w:val="00133010"/>
    <w:rsid w:val="001339B8"/>
    <w:rsid w:val="00154220"/>
    <w:rsid w:val="001D69B8"/>
    <w:rsid w:val="002077BD"/>
    <w:rsid w:val="00211173"/>
    <w:rsid w:val="002D06BF"/>
    <w:rsid w:val="002D3429"/>
    <w:rsid w:val="00317D1A"/>
    <w:rsid w:val="00350E23"/>
    <w:rsid w:val="0036644B"/>
    <w:rsid w:val="003948FE"/>
    <w:rsid w:val="003A6765"/>
    <w:rsid w:val="00455BF2"/>
    <w:rsid w:val="00493E62"/>
    <w:rsid w:val="004A1DAB"/>
    <w:rsid w:val="004A44F0"/>
    <w:rsid w:val="004B2230"/>
    <w:rsid w:val="004E2028"/>
    <w:rsid w:val="00500392"/>
    <w:rsid w:val="005256EE"/>
    <w:rsid w:val="00533A00"/>
    <w:rsid w:val="005362E1"/>
    <w:rsid w:val="005704EA"/>
    <w:rsid w:val="00572936"/>
    <w:rsid w:val="00582677"/>
    <w:rsid w:val="00585C98"/>
    <w:rsid w:val="005C05AA"/>
    <w:rsid w:val="005C2CD6"/>
    <w:rsid w:val="005D2DCF"/>
    <w:rsid w:val="005F4532"/>
    <w:rsid w:val="005F7795"/>
    <w:rsid w:val="00610A2F"/>
    <w:rsid w:val="00615A1A"/>
    <w:rsid w:val="006405A5"/>
    <w:rsid w:val="006624E3"/>
    <w:rsid w:val="00676026"/>
    <w:rsid w:val="006765DB"/>
    <w:rsid w:val="006802FC"/>
    <w:rsid w:val="006804AC"/>
    <w:rsid w:val="006937BA"/>
    <w:rsid w:val="006D37A1"/>
    <w:rsid w:val="006D6B83"/>
    <w:rsid w:val="00706E90"/>
    <w:rsid w:val="00716991"/>
    <w:rsid w:val="007422FB"/>
    <w:rsid w:val="00756574"/>
    <w:rsid w:val="007615F8"/>
    <w:rsid w:val="00767CC7"/>
    <w:rsid w:val="0077246D"/>
    <w:rsid w:val="007830AE"/>
    <w:rsid w:val="007853C1"/>
    <w:rsid w:val="007C19EB"/>
    <w:rsid w:val="007C2585"/>
    <w:rsid w:val="007D6B0C"/>
    <w:rsid w:val="007E5264"/>
    <w:rsid w:val="007F1E01"/>
    <w:rsid w:val="00804082"/>
    <w:rsid w:val="008066AA"/>
    <w:rsid w:val="008B3F7F"/>
    <w:rsid w:val="008F4C50"/>
    <w:rsid w:val="009221D2"/>
    <w:rsid w:val="0096273B"/>
    <w:rsid w:val="00963507"/>
    <w:rsid w:val="00991F92"/>
    <w:rsid w:val="009C2EF2"/>
    <w:rsid w:val="009E2218"/>
    <w:rsid w:val="009E2A0D"/>
    <w:rsid w:val="009E5F7E"/>
    <w:rsid w:val="00A61B9A"/>
    <w:rsid w:val="00A63F3B"/>
    <w:rsid w:val="00A668F8"/>
    <w:rsid w:val="00A6746E"/>
    <w:rsid w:val="00A713F4"/>
    <w:rsid w:val="00A75408"/>
    <w:rsid w:val="00AB0369"/>
    <w:rsid w:val="00AC14C8"/>
    <w:rsid w:val="00AD2237"/>
    <w:rsid w:val="00AE04FE"/>
    <w:rsid w:val="00AE281F"/>
    <w:rsid w:val="00AF7C05"/>
    <w:rsid w:val="00B02075"/>
    <w:rsid w:val="00B050AA"/>
    <w:rsid w:val="00B20273"/>
    <w:rsid w:val="00B93C7B"/>
    <w:rsid w:val="00BA3B7A"/>
    <w:rsid w:val="00BB1570"/>
    <w:rsid w:val="00BD42C9"/>
    <w:rsid w:val="00BD77BB"/>
    <w:rsid w:val="00C027DF"/>
    <w:rsid w:val="00C0453F"/>
    <w:rsid w:val="00C12A21"/>
    <w:rsid w:val="00C13898"/>
    <w:rsid w:val="00C360F1"/>
    <w:rsid w:val="00C824AA"/>
    <w:rsid w:val="00C9368B"/>
    <w:rsid w:val="00CC2DF7"/>
    <w:rsid w:val="00CD6B1C"/>
    <w:rsid w:val="00D020AE"/>
    <w:rsid w:val="00D055AC"/>
    <w:rsid w:val="00D13555"/>
    <w:rsid w:val="00D14546"/>
    <w:rsid w:val="00D2002E"/>
    <w:rsid w:val="00D214FA"/>
    <w:rsid w:val="00D370E9"/>
    <w:rsid w:val="00D4149B"/>
    <w:rsid w:val="00D7774B"/>
    <w:rsid w:val="00D973B7"/>
    <w:rsid w:val="00DB4339"/>
    <w:rsid w:val="00DC0EFF"/>
    <w:rsid w:val="00DD3152"/>
    <w:rsid w:val="00E04FB5"/>
    <w:rsid w:val="00E16785"/>
    <w:rsid w:val="00E428C8"/>
    <w:rsid w:val="00E77E40"/>
    <w:rsid w:val="00EE2034"/>
    <w:rsid w:val="00EE5EDE"/>
    <w:rsid w:val="00F00F77"/>
    <w:rsid w:val="00F019E7"/>
    <w:rsid w:val="00F0301E"/>
    <w:rsid w:val="00F1401B"/>
    <w:rsid w:val="00F25E39"/>
    <w:rsid w:val="00F50D5B"/>
    <w:rsid w:val="00F51A55"/>
    <w:rsid w:val="00F54797"/>
    <w:rsid w:val="00FA4B3D"/>
    <w:rsid w:val="00FD3422"/>
    <w:rsid w:val="00FF5994"/>
    <w:rsid w:val="00FF6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0E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E23"/>
  </w:style>
  <w:style w:type="paragraph" w:styleId="Footer">
    <w:name w:val="footer"/>
    <w:basedOn w:val="Normal"/>
    <w:link w:val="FooterChar"/>
    <w:uiPriority w:val="99"/>
    <w:unhideWhenUsed/>
    <w:rsid w:val="00350E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E23"/>
  </w:style>
  <w:style w:type="paragraph" w:styleId="BalloonText">
    <w:name w:val="Balloon Text"/>
    <w:basedOn w:val="Normal"/>
    <w:link w:val="BalloonTextChar"/>
    <w:uiPriority w:val="99"/>
    <w:semiHidden/>
    <w:unhideWhenUsed/>
    <w:rsid w:val="00350E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E23"/>
    <w:rPr>
      <w:rFonts w:ascii="Tahoma" w:hAnsi="Tahoma" w:cs="Tahoma"/>
      <w:sz w:val="16"/>
      <w:szCs w:val="16"/>
    </w:rPr>
  </w:style>
  <w:style w:type="character" w:styleId="Hyperlink">
    <w:name w:val="Hyperlink"/>
    <w:basedOn w:val="DefaultParagraphFont"/>
    <w:uiPriority w:val="99"/>
    <w:unhideWhenUsed/>
    <w:rsid w:val="005256EE"/>
    <w:rPr>
      <w:color w:val="0000FF" w:themeColor="hyperlink"/>
      <w:u w:val="single"/>
    </w:rPr>
  </w:style>
  <w:style w:type="character" w:styleId="FollowedHyperlink">
    <w:name w:val="FollowedHyperlink"/>
    <w:basedOn w:val="DefaultParagraphFont"/>
    <w:uiPriority w:val="99"/>
    <w:semiHidden/>
    <w:unhideWhenUsed/>
    <w:rsid w:val="00493E62"/>
    <w:rPr>
      <w:color w:val="800080" w:themeColor="followedHyperlink"/>
      <w:u w:val="single"/>
    </w:rPr>
  </w:style>
  <w:style w:type="paragraph" w:styleId="ListParagraph">
    <w:name w:val="List Paragraph"/>
    <w:basedOn w:val="Normal"/>
    <w:uiPriority w:val="34"/>
    <w:qFormat/>
    <w:rsid w:val="006765DB"/>
    <w:pPr>
      <w:ind w:left="720"/>
      <w:contextualSpacing/>
    </w:pPr>
  </w:style>
  <w:style w:type="paragraph" w:styleId="FootnoteText">
    <w:name w:val="footnote text"/>
    <w:basedOn w:val="Normal"/>
    <w:link w:val="FootnoteTextChar"/>
    <w:uiPriority w:val="99"/>
    <w:semiHidden/>
    <w:unhideWhenUsed/>
    <w:rsid w:val="006765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765DB"/>
    <w:rPr>
      <w:sz w:val="20"/>
      <w:szCs w:val="20"/>
    </w:rPr>
  </w:style>
  <w:style w:type="character" w:styleId="FootnoteReference">
    <w:name w:val="footnote reference"/>
    <w:basedOn w:val="DefaultParagraphFont"/>
    <w:uiPriority w:val="99"/>
    <w:semiHidden/>
    <w:unhideWhenUsed/>
    <w:rsid w:val="006765DB"/>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0E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E23"/>
  </w:style>
  <w:style w:type="paragraph" w:styleId="Footer">
    <w:name w:val="footer"/>
    <w:basedOn w:val="Normal"/>
    <w:link w:val="FooterChar"/>
    <w:uiPriority w:val="99"/>
    <w:unhideWhenUsed/>
    <w:rsid w:val="00350E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E23"/>
  </w:style>
  <w:style w:type="paragraph" w:styleId="BalloonText">
    <w:name w:val="Balloon Text"/>
    <w:basedOn w:val="Normal"/>
    <w:link w:val="BalloonTextChar"/>
    <w:uiPriority w:val="99"/>
    <w:semiHidden/>
    <w:unhideWhenUsed/>
    <w:rsid w:val="00350E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E23"/>
    <w:rPr>
      <w:rFonts w:ascii="Tahoma" w:hAnsi="Tahoma" w:cs="Tahoma"/>
      <w:sz w:val="16"/>
      <w:szCs w:val="16"/>
    </w:rPr>
  </w:style>
  <w:style w:type="character" w:styleId="Hyperlink">
    <w:name w:val="Hyperlink"/>
    <w:basedOn w:val="DefaultParagraphFont"/>
    <w:uiPriority w:val="99"/>
    <w:unhideWhenUsed/>
    <w:rsid w:val="005256EE"/>
    <w:rPr>
      <w:color w:val="0000FF" w:themeColor="hyperlink"/>
      <w:u w:val="single"/>
    </w:rPr>
  </w:style>
  <w:style w:type="character" w:styleId="FollowedHyperlink">
    <w:name w:val="FollowedHyperlink"/>
    <w:basedOn w:val="DefaultParagraphFont"/>
    <w:uiPriority w:val="99"/>
    <w:semiHidden/>
    <w:unhideWhenUsed/>
    <w:rsid w:val="00493E62"/>
    <w:rPr>
      <w:color w:val="800080" w:themeColor="followedHyperlink"/>
      <w:u w:val="single"/>
    </w:rPr>
  </w:style>
  <w:style w:type="paragraph" w:styleId="ListParagraph">
    <w:name w:val="List Paragraph"/>
    <w:basedOn w:val="Normal"/>
    <w:uiPriority w:val="34"/>
    <w:qFormat/>
    <w:rsid w:val="006765DB"/>
    <w:pPr>
      <w:ind w:left="720"/>
      <w:contextualSpacing/>
    </w:pPr>
  </w:style>
  <w:style w:type="paragraph" w:styleId="FootnoteText">
    <w:name w:val="footnote text"/>
    <w:basedOn w:val="Normal"/>
    <w:link w:val="FootnoteTextChar"/>
    <w:uiPriority w:val="99"/>
    <w:semiHidden/>
    <w:unhideWhenUsed/>
    <w:rsid w:val="006765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765DB"/>
    <w:rPr>
      <w:sz w:val="20"/>
      <w:szCs w:val="20"/>
    </w:rPr>
  </w:style>
  <w:style w:type="character" w:styleId="FootnoteReference">
    <w:name w:val="footnote reference"/>
    <w:basedOn w:val="DefaultParagraphFont"/>
    <w:uiPriority w:val="99"/>
    <w:semiHidden/>
    <w:unhideWhenUsed/>
    <w:rsid w:val="006765D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eople.uwm.edu/carlin/the-instant-cult-of-st-hugh-of-lincoln/" TargetMode="External"/><Relationship Id="rId1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bl.uk/collection-items/chronicon-anglicanum" TargetMode="External"/><Relationship Id="rId17" Type="http://schemas.openxmlformats.org/officeDocument/2006/relationships/hyperlink" Target="http://stainedglass.llgc.org.uk/image/7733" TargetMode="External"/><Relationship Id="rId2" Type="http://schemas.openxmlformats.org/officeDocument/2006/relationships/styles" Target="styles.xml"/><Relationship Id="rId16" Type="http://schemas.openxmlformats.org/officeDocument/2006/relationships/hyperlink" Target="http://www.therosewindow.com/pilot/York-St-Michael/s3.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newadvent.org/cathen/07519c.htm"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ourcebooks.fordham.edu/basis/goldenlegend/GoldenLegend-Volume6.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2ACAD4-C58C-4C82-9730-DB81F24A98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TotalTime>
  <Pages>19</Pages>
  <Words>5853</Words>
  <Characters>30323</Characters>
  <Application>Microsoft Office Word</Application>
  <DocSecurity>0</DocSecurity>
  <Lines>541</Lines>
  <Paragraphs>96</Paragraphs>
  <ScaleCrop>false</ScaleCrop>
  <HeadingPairs>
    <vt:vector size="2" baseType="variant">
      <vt:variant>
        <vt:lpstr>Title</vt:lpstr>
      </vt:variant>
      <vt:variant>
        <vt:i4>1</vt:i4>
      </vt:variant>
    </vt:vector>
  </HeadingPairs>
  <TitlesOfParts>
    <vt:vector size="1" baseType="lpstr">
      <vt:lpstr/>
    </vt:vector>
  </TitlesOfParts>
  <Company>Nombre de la organización</Company>
  <LinksUpToDate>false</LinksUpToDate>
  <CharactersWithSpaces>36080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Nombre de usuario</dc:creator>
  <cp:keywords/>
  <dc:description/>
  <cp:lastModifiedBy>Nombre de usuario</cp:lastModifiedBy>
  <cp:revision>146</cp:revision>
  <dcterms:created xsi:type="dcterms:W3CDTF">2019-03-27T16:26:00Z</dcterms:created>
  <dcterms:modified xsi:type="dcterms:W3CDTF">2019-04-13T20:03:00Z</dcterms:modified>
</cp:coreProperties>
</file>