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C4E172" w14:textId="77777777" w:rsidR="00987B2E" w:rsidRPr="00666940" w:rsidRDefault="006E2177" w:rsidP="00666940">
      <w:pPr>
        <w:jc w:val="center"/>
        <w:rPr>
          <w:b/>
        </w:rPr>
      </w:pPr>
      <w:r w:rsidRPr="00666940">
        <w:rPr>
          <w:b/>
        </w:rPr>
        <w:t>‘</w:t>
      </w:r>
      <w:proofErr w:type="spellStart"/>
      <w:r w:rsidRPr="00666940">
        <w:rPr>
          <w:b/>
        </w:rPr>
        <w:t>Augustanism</w:t>
      </w:r>
      <w:proofErr w:type="spellEnd"/>
      <w:r w:rsidRPr="00666940">
        <w:rPr>
          <w:b/>
        </w:rPr>
        <w:t xml:space="preserve">’ in Virgil’s </w:t>
      </w:r>
      <w:r w:rsidRPr="00666940">
        <w:rPr>
          <w:b/>
          <w:i/>
        </w:rPr>
        <w:t>Aeneid</w:t>
      </w:r>
      <w:r w:rsidRPr="00666940">
        <w:rPr>
          <w:b/>
        </w:rPr>
        <w:t xml:space="preserve"> and Ovid’s </w:t>
      </w:r>
      <w:r w:rsidRPr="00666940">
        <w:rPr>
          <w:b/>
          <w:i/>
        </w:rPr>
        <w:t>Metamorphoses</w:t>
      </w:r>
    </w:p>
    <w:p w14:paraId="0F0995DA" w14:textId="77777777" w:rsidR="006E2177" w:rsidRDefault="006E2177"/>
    <w:p w14:paraId="7DC691F3" w14:textId="77777777" w:rsidR="006E2177" w:rsidRPr="00666940" w:rsidRDefault="00666940">
      <w:pPr>
        <w:rPr>
          <w:b/>
        </w:rPr>
      </w:pPr>
      <w:r w:rsidRPr="00666940">
        <w:rPr>
          <w:b/>
        </w:rPr>
        <w:t>Introduction</w:t>
      </w:r>
    </w:p>
    <w:p w14:paraId="45DA1B9A" w14:textId="5EB1DCC2" w:rsidR="006E2177" w:rsidRDefault="00666940">
      <w:r>
        <w:t xml:space="preserve">Readings of both Virgil’s </w:t>
      </w:r>
      <w:r w:rsidRPr="00666940">
        <w:rPr>
          <w:i/>
        </w:rPr>
        <w:t>Aeneid</w:t>
      </w:r>
      <w:r>
        <w:t xml:space="preserve"> and Ovid’s </w:t>
      </w:r>
      <w:r w:rsidRPr="00666940">
        <w:rPr>
          <w:i/>
        </w:rPr>
        <w:t>Metamorphoses</w:t>
      </w:r>
      <w:r>
        <w:t xml:space="preserve"> have over time evolved from more reductionist perspectives which sought to define </w:t>
      </w:r>
      <w:r w:rsidR="00301AC4">
        <w:t>these</w:t>
      </w:r>
      <w:r>
        <w:t xml:space="preserve"> texts as either pro- or anti-Augus</w:t>
      </w:r>
      <w:r w:rsidR="00554DEB">
        <w:t>tus. More recent criticism has opened</w:t>
      </w:r>
      <w:r>
        <w:t xml:space="preserve"> up non-binary perspectives, </w:t>
      </w:r>
      <w:r w:rsidR="006E2177">
        <w:t>multi</w:t>
      </w:r>
      <w:r w:rsidR="003C4651">
        <w:t>-</w:t>
      </w:r>
      <w:proofErr w:type="spellStart"/>
      <w:r w:rsidR="006E2177">
        <w:t>vocality</w:t>
      </w:r>
      <w:proofErr w:type="spellEnd"/>
      <w:r w:rsidR="006E2177">
        <w:t xml:space="preserve">, and the potential for both Virgil and Ovid to be writing </w:t>
      </w:r>
      <w:r w:rsidR="006E2177" w:rsidRPr="00666940">
        <w:rPr>
          <w:i/>
        </w:rPr>
        <w:t>in response to</w:t>
      </w:r>
      <w:r w:rsidR="00AF2383">
        <w:t xml:space="preserve"> </w:t>
      </w:r>
      <w:proofErr w:type="spellStart"/>
      <w:r w:rsidR="00AF2383">
        <w:t>Augustanism</w:t>
      </w:r>
      <w:proofErr w:type="spellEnd"/>
      <w:r w:rsidR="003C4651">
        <w:t>, in all its complexity</w:t>
      </w:r>
      <w:r w:rsidR="006E2177">
        <w:t xml:space="preserve">. Furthermore, the question of what </w:t>
      </w:r>
      <w:proofErr w:type="spellStart"/>
      <w:r w:rsidR="006E2177">
        <w:t>A</w:t>
      </w:r>
      <w:r w:rsidR="00253112">
        <w:t>ugusta</w:t>
      </w:r>
      <w:r w:rsidR="006E2177">
        <w:t>nism</w:t>
      </w:r>
      <w:proofErr w:type="spellEnd"/>
      <w:r>
        <w:t xml:space="preserve"> itself is has been opened up, as </w:t>
      </w:r>
      <w:proofErr w:type="spellStart"/>
      <w:r>
        <w:t>Zanker</w:t>
      </w:r>
      <w:proofErr w:type="spellEnd"/>
      <w:r w:rsidR="00407DD8">
        <w:t xml:space="preserve"> (1990) </w:t>
      </w:r>
      <w:r>
        <w:t>and others have shown that the projection of the image of Augustus</w:t>
      </w:r>
      <w:r w:rsidR="003C4651">
        <w:t>,</w:t>
      </w:r>
      <w:r>
        <w:t xml:space="preserve"> and the values and identity of Rome that he sought to create, was itself</w:t>
      </w:r>
      <w:r w:rsidR="006E2177">
        <w:t xml:space="preserve"> constantly evolving, contest</w:t>
      </w:r>
      <w:r>
        <w:t xml:space="preserve">ed, and constructed in dialogue </w:t>
      </w:r>
      <w:r w:rsidR="006E2177">
        <w:t>with the Roman population, including its poets.  Opening up elements of the text</w:t>
      </w:r>
      <w:r>
        <w:t>s</w:t>
      </w:r>
      <w:r w:rsidR="006E2177">
        <w:t xml:space="preserve"> which both reify and stand in counterpoint to Augustus and </w:t>
      </w:r>
      <w:proofErr w:type="spellStart"/>
      <w:r w:rsidR="00253112">
        <w:t>Augustanism</w:t>
      </w:r>
      <w:proofErr w:type="spellEnd"/>
      <w:r w:rsidR="006E2177">
        <w:t xml:space="preserve"> reveal this process in action. </w:t>
      </w:r>
    </w:p>
    <w:p w14:paraId="5B61B464" w14:textId="77777777" w:rsidR="00666940" w:rsidRPr="00666940" w:rsidRDefault="00666940">
      <w:pPr>
        <w:rPr>
          <w:b/>
        </w:rPr>
      </w:pPr>
      <w:r w:rsidRPr="00666940">
        <w:rPr>
          <w:b/>
        </w:rPr>
        <w:t>Shifting ways of approaching Latin poetry</w:t>
      </w:r>
    </w:p>
    <w:p w14:paraId="0EDADCD2" w14:textId="3707451C" w:rsidR="006E2177" w:rsidRDefault="00407DD8">
      <w:r>
        <w:t>Moulton provided a concise overview of the pro- versus anti- Augustus debate up to 1979</w:t>
      </w:r>
      <w:r>
        <w:rPr>
          <w:rStyle w:val="FootnoteReference"/>
        </w:rPr>
        <w:footnoteReference w:id="1"/>
      </w:r>
      <w:r>
        <w:t xml:space="preserve">, while </w:t>
      </w:r>
      <w:r w:rsidR="00E9322A">
        <w:t>Myles</w:t>
      </w:r>
      <w:r w:rsidR="003C4651">
        <w:t xml:space="preserve"> </w:t>
      </w:r>
      <w:r>
        <w:t xml:space="preserve">(1999, page 197) </w:t>
      </w:r>
      <w:r w:rsidR="00B130AF">
        <w:t>argues that a</w:t>
      </w:r>
      <w:r w:rsidR="00B542C0">
        <w:t xml:space="preserve"> turning point came with the work of </w:t>
      </w:r>
      <w:proofErr w:type="spellStart"/>
      <w:r w:rsidR="00B542C0">
        <w:t>Zanker</w:t>
      </w:r>
      <w:proofErr w:type="spellEnd"/>
      <w:r w:rsidR="00B542C0">
        <w:t xml:space="preserve"> and </w:t>
      </w:r>
      <w:proofErr w:type="spellStart"/>
      <w:r w:rsidR="00B542C0">
        <w:t>Barchiesi</w:t>
      </w:r>
      <w:proofErr w:type="spellEnd"/>
      <w:r w:rsidR="00B542C0">
        <w:t xml:space="preserve"> </w:t>
      </w:r>
      <w:r w:rsidR="003C4651">
        <w:t>towards the end of the 20</w:t>
      </w:r>
      <w:r w:rsidR="003C4651" w:rsidRPr="003C4651">
        <w:rPr>
          <w:vertAlign w:val="superscript"/>
        </w:rPr>
        <w:t>th</w:t>
      </w:r>
      <w:r w:rsidR="003C4651">
        <w:t xml:space="preserve"> Century, and early 21</w:t>
      </w:r>
      <w:r w:rsidR="003C4651" w:rsidRPr="003C4651">
        <w:rPr>
          <w:vertAlign w:val="superscript"/>
        </w:rPr>
        <w:t>st</w:t>
      </w:r>
      <w:r w:rsidR="003C4651">
        <w:t xml:space="preserve">, </w:t>
      </w:r>
      <w:r w:rsidR="00B542C0">
        <w:t xml:space="preserve">who made clear </w:t>
      </w:r>
      <w:r w:rsidR="00B130AF">
        <w:t xml:space="preserve">how </w:t>
      </w:r>
      <w:proofErr w:type="spellStart"/>
      <w:r w:rsidR="00B542C0">
        <w:t>Augustanism</w:t>
      </w:r>
      <w:proofErr w:type="spellEnd"/>
      <w:r w:rsidR="00B542C0">
        <w:t xml:space="preserve"> per</w:t>
      </w:r>
      <w:r w:rsidR="00B130AF">
        <w:t>vaded all of Roman culture, and that neither Ovid nor Virgil in this context can be read as either simply pro- or anti-Au</w:t>
      </w:r>
      <w:r>
        <w:t xml:space="preserve">gustus. </w:t>
      </w:r>
      <w:r w:rsidR="00B130AF">
        <w:t xml:space="preserve">Myles also cites the transformative work of Feeney in the early 90s, which showed how Ovid’s oeuvre </w:t>
      </w:r>
      <w:r w:rsidR="00E30079">
        <w:t xml:space="preserve">was </w:t>
      </w:r>
      <w:r w:rsidR="00B130AF">
        <w:t>itself</w:t>
      </w:r>
      <w:r w:rsidR="00E30079">
        <w:t xml:space="preserve"> part of constructing </w:t>
      </w:r>
      <w:proofErr w:type="spellStart"/>
      <w:r w:rsidR="00E30079">
        <w:t>Augustanism</w:t>
      </w:r>
      <w:proofErr w:type="spellEnd"/>
      <w:r w:rsidR="00E30079">
        <w:t xml:space="preserve">, </w:t>
      </w:r>
      <w:r w:rsidR="00B130AF">
        <w:t xml:space="preserve">through the testing and creation of boundaries, in the same way that </w:t>
      </w:r>
      <w:r w:rsidR="003C4651">
        <w:t xml:space="preserve">the construction of </w:t>
      </w:r>
      <w:r w:rsidR="00B130AF">
        <w:t>heresy helped define the ‘true religion’ of Christianity</w:t>
      </w:r>
      <w:r w:rsidR="003C4651">
        <w:t xml:space="preserve"> in later centuries</w:t>
      </w:r>
      <w:r w:rsidR="00B130AF">
        <w:t xml:space="preserve">. </w:t>
      </w:r>
      <w:proofErr w:type="spellStart"/>
      <w:r>
        <w:t>Recognising</w:t>
      </w:r>
      <w:proofErr w:type="spellEnd"/>
      <w:r>
        <w:t xml:space="preserve"> the particular potential for nuance in written text, Myles argues</w:t>
      </w:r>
      <w:r w:rsidR="00B130AF">
        <w:t xml:space="preserve"> that </w:t>
      </w:r>
      <w:r w:rsidR="00E30079">
        <w:t xml:space="preserve">Ovid’s “insistent </w:t>
      </w:r>
      <w:proofErr w:type="spellStart"/>
      <w:r w:rsidR="00E30079">
        <w:t>probings</w:t>
      </w:r>
      <w:proofErr w:type="spellEnd"/>
      <w:r w:rsidR="00E30079">
        <w:t>”</w:t>
      </w:r>
      <w:r w:rsidR="00B130AF">
        <w:t xml:space="preserve"> of the regime and</w:t>
      </w:r>
      <w:r w:rsidR="00E30079">
        <w:t xml:space="preserve"> the underpinnings of its authority </w:t>
      </w:r>
      <w:r>
        <w:t>was</w:t>
      </w:r>
      <w:r w:rsidR="00B130AF">
        <w:t xml:space="preserve"> Ovid</w:t>
      </w:r>
      <w:r w:rsidR="00E30079">
        <w:t xml:space="preserve"> challenging Augustus’s desire to be ‘</w:t>
      </w:r>
      <w:r w:rsidR="00B130AF">
        <w:t>read’ univocally</w:t>
      </w:r>
      <w:r w:rsidR="00E30079">
        <w:t xml:space="preserve"> by the Roman public </w:t>
      </w:r>
      <w:r w:rsidR="00B130AF">
        <w:t xml:space="preserve">through monuments, </w:t>
      </w:r>
      <w:r w:rsidR="00E30079">
        <w:t xml:space="preserve">with the </w:t>
      </w:r>
      <w:proofErr w:type="spellStart"/>
      <w:r w:rsidR="00E30079">
        <w:t>multivocality</w:t>
      </w:r>
      <w:proofErr w:type="spellEnd"/>
      <w:r w:rsidR="00E30079">
        <w:t xml:space="preserve"> of poetry (</w:t>
      </w:r>
      <w:r w:rsidR="00B130AF">
        <w:t>Myles, 1999, page 199).</w:t>
      </w:r>
      <w:r w:rsidR="002310C0" w:rsidRPr="002310C0">
        <w:rPr>
          <w:rStyle w:val="FootnoteReference"/>
        </w:rPr>
        <w:t xml:space="preserve"> </w:t>
      </w:r>
      <w:r w:rsidR="002310C0">
        <w:rPr>
          <w:rStyle w:val="FootnoteReference"/>
        </w:rPr>
        <w:footnoteReference w:id="2"/>
      </w:r>
      <w:r w:rsidR="00B130AF">
        <w:t xml:space="preserve"> </w:t>
      </w:r>
    </w:p>
    <w:p w14:paraId="6A5C1190" w14:textId="38557871" w:rsidR="00277418" w:rsidRDefault="00F911DC" w:rsidP="00A50E7B">
      <w:r>
        <w:t>Feeney</w:t>
      </w:r>
      <w:r w:rsidR="002310C0">
        <w:t xml:space="preserve"> </w:t>
      </w:r>
      <w:r w:rsidR="00E84E5B">
        <w:t xml:space="preserve">(in Powell </w:t>
      </w:r>
      <w:proofErr w:type="spellStart"/>
      <w:r w:rsidR="00E84E5B">
        <w:t>ed</w:t>
      </w:r>
      <w:proofErr w:type="spellEnd"/>
      <w:r w:rsidR="00E84E5B">
        <w:t xml:space="preserve">, 1992, p.5) </w:t>
      </w:r>
      <w:r w:rsidR="00294DC1">
        <w:t>makes the case</w:t>
      </w:r>
      <w:r>
        <w:t xml:space="preserve"> that under the </w:t>
      </w:r>
      <w:proofErr w:type="spellStart"/>
      <w:r>
        <w:t>principate</w:t>
      </w:r>
      <w:proofErr w:type="spellEnd"/>
      <w:r w:rsidR="00294DC1">
        <w:t>,</w:t>
      </w:r>
      <w:r>
        <w:t xml:space="preserve"> the distinction between literary and political writing collapses, as all writing was written in response to, and constrained by, the political context, and therefore </w:t>
      </w:r>
      <w:r w:rsidR="00294DC1">
        <w:t xml:space="preserve">was </w:t>
      </w:r>
      <w:r>
        <w:t>in some sense political</w:t>
      </w:r>
      <w:r w:rsidR="00253112">
        <w:t xml:space="preserve"> and hence concerned with the power and </w:t>
      </w:r>
      <w:r w:rsidR="00253112">
        <w:lastRenderedPageBreak/>
        <w:t xml:space="preserve">policies of the </w:t>
      </w:r>
      <w:proofErr w:type="spellStart"/>
      <w:r w:rsidR="00253112">
        <w:t>princeps</w:t>
      </w:r>
      <w:proofErr w:type="spellEnd"/>
      <w:r w:rsidR="00577CB0">
        <w:rPr>
          <w:rStyle w:val="FootnoteReference"/>
        </w:rPr>
        <w:footnoteReference w:id="3"/>
      </w:r>
      <w:r w:rsidR="00E84E5B">
        <w:t xml:space="preserve">. </w:t>
      </w:r>
      <w:r>
        <w:t xml:space="preserve">Feeney </w:t>
      </w:r>
      <w:r w:rsidR="00294DC1">
        <w:t>goes on to explore</w:t>
      </w:r>
      <w:r w:rsidR="00B130AF">
        <w:t xml:space="preserve"> the “protean character” of the </w:t>
      </w:r>
      <w:proofErr w:type="spellStart"/>
      <w:r w:rsidR="00B130AF">
        <w:t>Principate</w:t>
      </w:r>
      <w:proofErr w:type="spellEnd"/>
      <w:r w:rsidR="00B130AF">
        <w:t>, arguing that it’s im</w:t>
      </w:r>
      <w:r w:rsidR="00A93A76">
        <w:t xml:space="preserve">possible to say if </w:t>
      </w:r>
      <w:r w:rsidR="00B130AF">
        <w:t>a text</w:t>
      </w:r>
      <w:r w:rsidR="00A93A76">
        <w:t xml:space="preserve"> is pro</w:t>
      </w:r>
      <w:r w:rsidR="00B130AF">
        <w:t>-</w:t>
      </w:r>
      <w:r w:rsidR="00A93A76">
        <w:t xml:space="preserve"> or ant</w:t>
      </w:r>
      <w:r w:rsidR="00B130AF">
        <w:t xml:space="preserve">i- Augustan, as </w:t>
      </w:r>
      <w:proofErr w:type="spellStart"/>
      <w:r w:rsidR="00B130AF">
        <w:t>Augustanism</w:t>
      </w:r>
      <w:proofErr w:type="spellEnd"/>
      <w:r w:rsidR="00B130AF">
        <w:t xml:space="preserve"> itself developed and shifted over time (Feeney, in Powell et al 1992, p1.) He points out that through </w:t>
      </w:r>
      <w:proofErr w:type="spellStart"/>
      <w:r w:rsidR="00B130AF">
        <w:t>Zanker’s</w:t>
      </w:r>
      <w:proofErr w:type="spellEnd"/>
      <w:r w:rsidR="00B130AF">
        <w:t xml:space="preserve"> work we see the </w:t>
      </w:r>
      <w:r w:rsidR="00A93A76">
        <w:t>“dramatic shifts in</w:t>
      </w:r>
      <w:r w:rsidR="00B130AF">
        <w:t xml:space="preserve"> Augustan self-representation”, and how at all times, the r</w:t>
      </w:r>
      <w:r w:rsidR="00A93A76">
        <w:t xml:space="preserve">egime </w:t>
      </w:r>
      <w:r w:rsidR="00B130AF">
        <w:t xml:space="preserve">was </w:t>
      </w:r>
      <w:proofErr w:type="spellStart"/>
      <w:r w:rsidR="00A93A76">
        <w:t>multifaced</w:t>
      </w:r>
      <w:proofErr w:type="spellEnd"/>
      <w:r w:rsidR="00A93A76">
        <w:t xml:space="preserve"> – </w:t>
      </w:r>
      <w:r w:rsidR="00253112">
        <w:t>for example in its projection of</w:t>
      </w:r>
      <w:r w:rsidR="00A93A76">
        <w:t xml:space="preserve"> both martial and peaceful images (p2.) </w:t>
      </w:r>
    </w:p>
    <w:p w14:paraId="691AB6B9" w14:textId="41FA6649" w:rsidR="00294DC1" w:rsidRDefault="00294DC1" w:rsidP="00A50E7B">
      <w:proofErr w:type="spellStart"/>
      <w:r>
        <w:t>Zanker</w:t>
      </w:r>
      <w:proofErr w:type="spellEnd"/>
      <w:r>
        <w:t xml:space="preserve"> in his seminal 1990 work </w:t>
      </w:r>
      <w:r w:rsidRPr="00294DC1">
        <w:rPr>
          <w:i/>
        </w:rPr>
        <w:t>The power of images in the age of Augustus</w:t>
      </w:r>
      <w:r>
        <w:t xml:space="preserve"> meticulously outlines how the imagery associated with Augustus was developed and shifted over time, depending on the political context and the needs of Augustus himself, but also how these shifting images were taken up and repeated across the empire, without the need for any direct instruction from the Princeps himself. As just one example of these shifting sands of what constituted the image of Augustus, he wrote</w:t>
      </w:r>
      <w:r w:rsidR="0019676B">
        <w:t>:</w:t>
      </w:r>
    </w:p>
    <w:p w14:paraId="40E0C940" w14:textId="77777777" w:rsidR="00294DC1" w:rsidRDefault="00294DC1" w:rsidP="00294DC1">
      <w:pPr>
        <w:ind w:left="720"/>
      </w:pPr>
      <w:r>
        <w:t>“</w:t>
      </w:r>
      <w:r w:rsidRPr="00294DC1">
        <w:rPr>
          <w:i/>
        </w:rPr>
        <w:t>Soon after attaining sole power in 31BC Octavian altered his political style, and in 27 he “restored the Republic.” As a savior of the state he received the honorific title Augustus. Henceforth he did everything possible to separate this period from that which had gone before, and with good reason. Much that had happened between 44 and 27 had to be forgotten; the image of himself that Octavian promoted before this turning point is fundamentally different from that which he later conveyed so successfully as Augustus.</w:t>
      </w:r>
      <w:r>
        <w:t>” (</w:t>
      </w:r>
      <w:proofErr w:type="spellStart"/>
      <w:r>
        <w:t>Zanker</w:t>
      </w:r>
      <w:proofErr w:type="spellEnd"/>
      <w:r>
        <w:t xml:space="preserve">, 1990, page 33) </w:t>
      </w:r>
    </w:p>
    <w:p w14:paraId="1FC105FB" w14:textId="6C04A5C7" w:rsidR="00277418" w:rsidRDefault="00B130AF">
      <w:r>
        <w:t xml:space="preserve">Feeney </w:t>
      </w:r>
      <w:r w:rsidR="0019676B">
        <w:t xml:space="preserve">further </w:t>
      </w:r>
      <w:r w:rsidR="002310C0">
        <w:t xml:space="preserve">argues that </w:t>
      </w:r>
      <w:r w:rsidR="00A93A76">
        <w:t>“Indeterminacy was essential to the success of the Au</w:t>
      </w:r>
      <w:r w:rsidR="00A50E7B">
        <w:t>gustan and Roman project” (</w:t>
      </w:r>
      <w:r w:rsidR="00577CB0">
        <w:t xml:space="preserve">Feeney in Powell </w:t>
      </w:r>
      <w:proofErr w:type="spellStart"/>
      <w:r w:rsidR="00577CB0">
        <w:t>ed</w:t>
      </w:r>
      <w:proofErr w:type="spellEnd"/>
      <w:r w:rsidR="00577CB0">
        <w:t xml:space="preserve"> 1992, </w:t>
      </w:r>
      <w:r w:rsidR="00A50E7B">
        <w:t>p.3) as what Augustus stood for changed and had to over time (p.7</w:t>
      </w:r>
      <w:r w:rsidR="002310C0">
        <w:t>) and that</w:t>
      </w:r>
      <w:r w:rsidR="00AF7026">
        <w:t xml:space="preserve"> Augustus</w:t>
      </w:r>
      <w:r w:rsidR="00A50E7B">
        <w:t xml:space="preserve"> himself was constrained by the wider political and cultural context, including recent history, in what he himself could say, and how he </w:t>
      </w:r>
      <w:r w:rsidR="00AF7026">
        <w:t>portrayed himself (p.9)</w:t>
      </w:r>
      <w:r w:rsidR="0019676B">
        <w:t>.</w:t>
      </w:r>
      <w:r w:rsidR="0019676B">
        <w:rPr>
          <w:rStyle w:val="FootnoteReference"/>
        </w:rPr>
        <w:footnoteReference w:id="4"/>
      </w:r>
      <w:r w:rsidR="00AF7026">
        <w:t xml:space="preserve"> </w:t>
      </w:r>
      <w:r w:rsidR="00A50E7B">
        <w:t xml:space="preserve"> </w:t>
      </w:r>
      <w:r w:rsidR="002310C0">
        <w:t>Given the multi-face</w:t>
      </w:r>
      <w:r w:rsidR="00AF7026">
        <w:t xml:space="preserve">ted nature of </w:t>
      </w:r>
      <w:proofErr w:type="spellStart"/>
      <w:r w:rsidR="00AF7026">
        <w:t>Augustanism</w:t>
      </w:r>
      <w:proofErr w:type="spellEnd"/>
      <w:r w:rsidR="00AF7026">
        <w:t>, and the need for Augustus to be able to shift and embody different values for different aud</w:t>
      </w:r>
      <w:r w:rsidR="00577CB0">
        <w:t xml:space="preserve">iences and at different times, </w:t>
      </w:r>
      <w:r w:rsidR="00AF7026">
        <w:t xml:space="preserve">we cannot simply say for example </w:t>
      </w:r>
      <w:r w:rsidR="00A50E7B">
        <w:t xml:space="preserve">that Augustus stood for </w:t>
      </w:r>
      <w:r w:rsidR="00AF7026">
        <w:t xml:space="preserve">either </w:t>
      </w:r>
      <w:r w:rsidR="00A50E7B">
        <w:t xml:space="preserve">repression or for tolerance, as these </w:t>
      </w:r>
      <w:r w:rsidR="00AF7026">
        <w:t xml:space="preserve">attributes and values </w:t>
      </w:r>
      <w:r w:rsidR="00A50E7B">
        <w:t xml:space="preserve">had to shift depending on the audience and context. </w:t>
      </w:r>
    </w:p>
    <w:p w14:paraId="4B0F4254" w14:textId="30E22150" w:rsidR="00A93A76" w:rsidRPr="002B5B36" w:rsidRDefault="002B5B36">
      <w:r w:rsidRPr="002B5B36">
        <w:t>Dominik</w:t>
      </w:r>
      <w:r>
        <w:t>,</w:t>
      </w:r>
      <w:r w:rsidRPr="002B5B36">
        <w:t xml:space="preserve"> </w:t>
      </w:r>
      <w:proofErr w:type="spellStart"/>
      <w:r>
        <w:t>Garthwaite</w:t>
      </w:r>
      <w:proofErr w:type="spellEnd"/>
      <w:r>
        <w:t xml:space="preserve"> and Roche argue that their 2009 collection </w:t>
      </w:r>
      <w:r>
        <w:rPr>
          <w:i/>
        </w:rPr>
        <w:t>Writing Politics in Imperial Rome</w:t>
      </w:r>
      <w:r>
        <w:t xml:space="preserve"> “establishes the pervasiveness of political content within Roman literary culture, in a world in which the republican mores and assumptions were being radically transformed in the transition to the </w:t>
      </w:r>
      <w:proofErr w:type="spellStart"/>
      <w:r>
        <w:t>prinicipate</w:t>
      </w:r>
      <w:proofErr w:type="spellEnd"/>
      <w:r w:rsidR="0019676B">
        <w:t>.”</w:t>
      </w:r>
      <w:r w:rsidR="002310C0">
        <w:rPr>
          <w:rStyle w:val="FootnoteReference"/>
        </w:rPr>
        <w:footnoteReference w:id="5"/>
      </w:r>
      <w:r>
        <w:t xml:space="preserve"> In this process, the poets were negotiating the mutable conditions of power, and, they argue</w:t>
      </w:r>
      <w:r w:rsidR="00A50E7B">
        <w:t xml:space="preserve"> “in the literature of this period </w:t>
      </w:r>
      <w:r>
        <w:t>we observe a</w:t>
      </w:r>
      <w:r w:rsidR="00A50E7B">
        <w:t xml:space="preserve"> vital and ongoing engagement with these transformative and transforming contexts of power.” </w:t>
      </w:r>
      <w:r w:rsidR="00A50E7B" w:rsidRPr="002B5B36">
        <w:t>(</w:t>
      </w:r>
      <w:r>
        <w:t>Dominik et al, introduction to</w:t>
      </w:r>
      <w:r w:rsidR="00A50E7B" w:rsidRPr="002B5B36">
        <w:t xml:space="preserve"> Dominik et al (2009), </w:t>
      </w:r>
      <w:r>
        <w:t>p.20)</w:t>
      </w:r>
    </w:p>
    <w:p w14:paraId="237069AF" w14:textId="77777777" w:rsidR="006E48D9" w:rsidRDefault="002B5B36" w:rsidP="00294F9C">
      <w:r>
        <w:t>With this understanding of the political context and content of Roman literature</w:t>
      </w:r>
      <w:r w:rsidR="00AF7026">
        <w:t xml:space="preserve"> under the </w:t>
      </w:r>
      <w:proofErr w:type="spellStart"/>
      <w:r w:rsidR="00AF7026">
        <w:t>principate</w:t>
      </w:r>
      <w:proofErr w:type="spellEnd"/>
      <w:r w:rsidR="00AF7026">
        <w:t xml:space="preserve">, I will turn to some </w:t>
      </w:r>
      <w:r>
        <w:t xml:space="preserve">specific examples within both the </w:t>
      </w:r>
      <w:r w:rsidRPr="00AF7026">
        <w:rPr>
          <w:i/>
        </w:rPr>
        <w:t>Aeneid</w:t>
      </w:r>
      <w:r>
        <w:t xml:space="preserve"> and the </w:t>
      </w:r>
      <w:r w:rsidRPr="00AF7026">
        <w:rPr>
          <w:i/>
        </w:rPr>
        <w:t>Metamorphoses</w:t>
      </w:r>
      <w:r>
        <w:t xml:space="preserve">, in which the poetic </w:t>
      </w:r>
      <w:r>
        <w:lastRenderedPageBreak/>
        <w:t xml:space="preserve">work of probing, contesting, upholding and questioning of </w:t>
      </w:r>
      <w:proofErr w:type="spellStart"/>
      <w:r>
        <w:t>Augustanism</w:t>
      </w:r>
      <w:proofErr w:type="spellEnd"/>
      <w:r w:rsidR="00AF7026">
        <w:t>, helping to shape and define it,</w:t>
      </w:r>
      <w:r>
        <w:t xml:space="preserve"> can most clearly be seen at work. </w:t>
      </w:r>
    </w:p>
    <w:p w14:paraId="2A9317E5" w14:textId="77777777" w:rsidR="006E2177" w:rsidRPr="002B5B36" w:rsidRDefault="002B5B36">
      <w:pPr>
        <w:rPr>
          <w:b/>
          <w:i/>
        </w:rPr>
      </w:pPr>
      <w:r w:rsidRPr="002B5B36">
        <w:rPr>
          <w:b/>
        </w:rPr>
        <w:t xml:space="preserve">Virgil’s </w:t>
      </w:r>
      <w:r w:rsidRPr="002B5B36">
        <w:rPr>
          <w:b/>
          <w:i/>
        </w:rPr>
        <w:t>Aeneid</w:t>
      </w:r>
    </w:p>
    <w:p w14:paraId="2FA736E4" w14:textId="39F705CE" w:rsidR="005D3266" w:rsidRDefault="00283427" w:rsidP="0003105D">
      <w:r>
        <w:t xml:space="preserve">Boyle </w:t>
      </w:r>
      <w:r w:rsidR="00277418">
        <w:t>(1993</w:t>
      </w:r>
      <w:r w:rsidR="0003105D">
        <w:t xml:space="preserve">) </w:t>
      </w:r>
      <w:r w:rsidR="0019676B">
        <w:t>describes</w:t>
      </w:r>
      <w:r w:rsidR="0003105D">
        <w:t xml:space="preserve"> how </w:t>
      </w:r>
      <w:r w:rsidR="00AF7026">
        <w:t>fast</w:t>
      </w:r>
      <w:r w:rsidR="0003105D">
        <w:t xml:space="preserve"> Virgil’s </w:t>
      </w:r>
      <w:r w:rsidR="005D3266">
        <w:rPr>
          <w:i/>
        </w:rPr>
        <w:t>Aenei</w:t>
      </w:r>
      <w:r w:rsidR="00AF7026" w:rsidRPr="00AF7026">
        <w:rPr>
          <w:i/>
        </w:rPr>
        <w:t>d</w:t>
      </w:r>
      <w:r w:rsidR="00277418">
        <w:t xml:space="preserve"> </w:t>
      </w:r>
      <w:r w:rsidR="00AF7026">
        <w:t>be</w:t>
      </w:r>
      <w:r w:rsidR="00277418">
        <w:t>came</w:t>
      </w:r>
      <w:r w:rsidR="00AF7026">
        <w:t xml:space="preserve"> </w:t>
      </w:r>
      <w:r w:rsidR="00324CB6">
        <w:t>canonic,</w:t>
      </w:r>
      <w:r w:rsidR="00AF7026">
        <w:t xml:space="preserve"> central</w:t>
      </w:r>
      <w:r w:rsidR="00277418">
        <w:t xml:space="preserve"> to </w:t>
      </w:r>
      <w:r w:rsidR="00AF7026">
        <w:t>Roman culture and the</w:t>
      </w:r>
      <w:r w:rsidR="00277418">
        <w:t xml:space="preserve"> </w:t>
      </w:r>
      <w:r w:rsidR="0019676B">
        <w:t xml:space="preserve">identity and </w:t>
      </w:r>
      <w:r w:rsidR="00277418">
        <w:t>self-</w:t>
      </w:r>
      <w:r>
        <w:t>percep</w:t>
      </w:r>
      <w:r w:rsidR="0003105D">
        <w:t>tion of Rome</w:t>
      </w:r>
      <w:r w:rsidR="005D3266">
        <w:rPr>
          <w:rStyle w:val="FootnoteReference"/>
        </w:rPr>
        <w:footnoteReference w:id="6"/>
      </w:r>
      <w:r w:rsidR="005D3266">
        <w:t>, and in his later chapter (in</w:t>
      </w:r>
      <w:r>
        <w:t xml:space="preserve"> </w:t>
      </w:r>
      <w:proofErr w:type="spellStart"/>
      <w:r w:rsidR="00277418">
        <w:t>P</w:t>
      </w:r>
      <w:r w:rsidR="00253112">
        <w:t>er</w:t>
      </w:r>
      <w:r w:rsidR="00277418">
        <w:t>kell</w:t>
      </w:r>
      <w:proofErr w:type="spellEnd"/>
      <w:r w:rsidR="00277418">
        <w:t xml:space="preserve"> </w:t>
      </w:r>
      <w:proofErr w:type="spellStart"/>
      <w:r w:rsidR="00277418">
        <w:t>ed</w:t>
      </w:r>
      <w:proofErr w:type="spellEnd"/>
      <w:r w:rsidR="00277418">
        <w:t xml:space="preserve"> 1999</w:t>
      </w:r>
      <w:r w:rsidR="005D3266">
        <w:t>)</w:t>
      </w:r>
      <w:r w:rsidR="00324CB6">
        <w:t xml:space="preserve"> </w:t>
      </w:r>
      <w:r w:rsidR="0019676B">
        <w:t xml:space="preserve">he </w:t>
      </w:r>
      <w:r w:rsidR="00324CB6">
        <w:t>highlights</w:t>
      </w:r>
      <w:r w:rsidR="005D3266">
        <w:t xml:space="preserve"> </w:t>
      </w:r>
      <w:r w:rsidR="00324CB6">
        <w:t>both the speech of E</w:t>
      </w:r>
      <w:r w:rsidR="00AF2383">
        <w:t>vander and the Shield of Aeneas</w:t>
      </w:r>
      <w:r w:rsidR="005D3266">
        <w:t xml:space="preserve"> in Book 8</w:t>
      </w:r>
      <w:r w:rsidR="00AF2383">
        <w:t>, as</w:t>
      </w:r>
      <w:r w:rsidR="00324CB6">
        <w:t xml:space="preserve"> key moments </w:t>
      </w:r>
      <w:r w:rsidR="00FA5115">
        <w:t xml:space="preserve">in the work </w:t>
      </w:r>
      <w:r w:rsidR="00324CB6">
        <w:t>at which the articulation of, and</w:t>
      </w:r>
      <w:r w:rsidR="0019676B">
        <w:t xml:space="preserve"> Virgil’s</w:t>
      </w:r>
      <w:r w:rsidR="00ED6776">
        <w:t xml:space="preserve"> </w:t>
      </w:r>
      <w:r w:rsidR="00324CB6">
        <w:t>reflection on</w:t>
      </w:r>
      <w:r w:rsidR="00FA5115">
        <w:t>,</w:t>
      </w:r>
      <w:r w:rsidR="00324CB6">
        <w:t xml:space="preserve"> </w:t>
      </w:r>
      <w:proofErr w:type="spellStart"/>
      <w:r w:rsidR="00324CB6">
        <w:t>Augustanism</w:t>
      </w:r>
      <w:proofErr w:type="spellEnd"/>
      <w:r w:rsidR="00324CB6">
        <w:t xml:space="preserve"> can be seen</w:t>
      </w:r>
      <w:r w:rsidR="002310C0">
        <w:rPr>
          <w:rStyle w:val="FootnoteReference"/>
        </w:rPr>
        <w:footnoteReference w:id="7"/>
      </w:r>
      <w:r w:rsidR="00324CB6">
        <w:t xml:space="preserve">. </w:t>
      </w:r>
    </w:p>
    <w:p w14:paraId="443A3E37" w14:textId="169470CF" w:rsidR="00AF2383" w:rsidRDefault="00AF2383" w:rsidP="0003105D">
      <w:r>
        <w:t>As Evander shows Aeneas around the territo</w:t>
      </w:r>
      <w:r w:rsidR="005D3266">
        <w:t xml:space="preserve">ry that will one day be Rome, </w:t>
      </w:r>
      <w:r w:rsidR="0019676B">
        <w:t>Virgil has him highlight the</w:t>
      </w:r>
      <w:r>
        <w:t xml:space="preserve"> places where Augustus had </w:t>
      </w:r>
      <w:r w:rsidR="00ED6776">
        <w:t xml:space="preserve">recently </w:t>
      </w:r>
      <w:r>
        <w:t xml:space="preserve">built new monuments and restored older ones, </w:t>
      </w:r>
      <w:r w:rsidR="005D3266">
        <w:t>whilst nodding</w:t>
      </w:r>
      <w:r w:rsidR="00ED6776">
        <w:t xml:space="preserve"> at the same time towards</w:t>
      </w:r>
      <w:r>
        <w:t xml:space="preserve"> Augustus’ </w:t>
      </w:r>
      <w:r w:rsidR="005D3266">
        <w:t>modest</w:t>
      </w:r>
      <w:r>
        <w:t xml:space="preserve"> lifestyle</w:t>
      </w:r>
      <w:r w:rsidR="00ED6776">
        <w:t xml:space="preserve"> in his home on the Palatine,</w:t>
      </w:r>
      <w:r>
        <w:t xml:space="preserve"> in</w:t>
      </w:r>
      <w:r w:rsidR="00ED6776">
        <w:t xml:space="preserve"> the description of</w:t>
      </w:r>
      <w:r>
        <w:t xml:space="preserve"> Evander’s </w:t>
      </w:r>
      <w:r w:rsidR="0019676B">
        <w:t xml:space="preserve">own </w:t>
      </w:r>
      <w:r>
        <w:t>humble home:</w:t>
      </w:r>
    </w:p>
    <w:p w14:paraId="09719DF9" w14:textId="141CED8E" w:rsidR="00AF2383" w:rsidRPr="00ED6776" w:rsidRDefault="00AF2383" w:rsidP="00ED6776">
      <w:pPr>
        <w:ind w:left="720"/>
      </w:pPr>
      <w:r>
        <w:t>“</w:t>
      </w:r>
      <w:r>
        <w:rPr>
          <w:i/>
        </w:rPr>
        <w:t xml:space="preserve">From here he led the way to the house of </w:t>
      </w:r>
      <w:proofErr w:type="spellStart"/>
      <w:r>
        <w:rPr>
          <w:i/>
        </w:rPr>
        <w:t>Tarpeia</w:t>
      </w:r>
      <w:proofErr w:type="spellEnd"/>
      <w:r>
        <w:rPr>
          <w:i/>
        </w:rPr>
        <w:t xml:space="preserve"> and the Capitol, now all gold, but in those distant days bristling with rough scrub. Talking in this way they were coming up to Evander’</w:t>
      </w:r>
      <w:r w:rsidR="00ED6776">
        <w:rPr>
          <w:i/>
        </w:rPr>
        <w:t xml:space="preserve">s humble home … When they arrived at his house, Evander said: ‘The victorious Hercules of the line of </w:t>
      </w:r>
      <w:proofErr w:type="spellStart"/>
      <w:r w:rsidR="00ED6776">
        <w:rPr>
          <w:i/>
        </w:rPr>
        <w:t>Alceus</w:t>
      </w:r>
      <w:proofErr w:type="spellEnd"/>
      <w:r w:rsidR="00ED6776">
        <w:rPr>
          <w:i/>
        </w:rPr>
        <w:t xml:space="preserve"> stooped to enter this door. This was a palace large enough for him. You are my guest and you too must have the courage to despise wealth” </w:t>
      </w:r>
      <w:r w:rsidR="00ED6776">
        <w:t>(</w:t>
      </w:r>
      <w:r w:rsidR="00D55800">
        <w:t xml:space="preserve">Virgil, </w:t>
      </w:r>
      <w:r w:rsidR="00ED6776">
        <w:rPr>
          <w:i/>
        </w:rPr>
        <w:t xml:space="preserve">Aeneid </w:t>
      </w:r>
      <w:r w:rsidR="00ED6776">
        <w:t>Book 8 lines 348-349, 361-365)</w:t>
      </w:r>
    </w:p>
    <w:p w14:paraId="73E73B2A" w14:textId="34D20A19" w:rsidR="00C844FE" w:rsidRDefault="00324CB6" w:rsidP="0003105D">
      <w:r>
        <w:t>Boyle</w:t>
      </w:r>
      <w:r w:rsidR="0003105D">
        <w:t xml:space="preserve"> points </w:t>
      </w:r>
      <w:r w:rsidR="00277418">
        <w:t>to</w:t>
      </w:r>
      <w:r w:rsidR="0003105D">
        <w:t xml:space="preserve"> Evander’s speech as highpoint of </w:t>
      </w:r>
      <w:proofErr w:type="spellStart"/>
      <w:r w:rsidR="0003105D">
        <w:t>Augustanism</w:t>
      </w:r>
      <w:proofErr w:type="spellEnd"/>
      <w:r w:rsidR="0003105D">
        <w:t xml:space="preserve"> in the </w:t>
      </w:r>
      <w:r w:rsidR="0003105D" w:rsidRPr="00AF7026">
        <w:rPr>
          <w:i/>
        </w:rPr>
        <w:t>Aeneid</w:t>
      </w:r>
      <w:r w:rsidR="0003105D">
        <w:t xml:space="preserve">, with the future of Rome laid out </w:t>
      </w:r>
      <w:r w:rsidR="00AF7026">
        <w:t xml:space="preserve">before Aeneas </w:t>
      </w:r>
      <w:r w:rsidR="0019676B">
        <w:t xml:space="preserve">not just as prophesy, but </w:t>
      </w:r>
      <w:r w:rsidR="00AF7026">
        <w:t>as Augustan ideology</w:t>
      </w:r>
      <w:r w:rsidR="005D3266">
        <w:t>, and</w:t>
      </w:r>
      <w:r w:rsidR="00ED6776">
        <w:t xml:space="preserve"> argues that </w:t>
      </w:r>
      <w:r w:rsidR="00AF7026">
        <w:t>Ae</w:t>
      </w:r>
      <w:r w:rsidR="0003105D">
        <w:t>neas at this point</w:t>
      </w:r>
      <w:r w:rsidR="00AF7026">
        <w:t xml:space="preserve"> in the epic is not </w:t>
      </w:r>
      <w:r w:rsidR="00ED6776">
        <w:t>only</w:t>
      </w:r>
      <w:r w:rsidR="00AF7026">
        <w:t xml:space="preserve"> being </w:t>
      </w:r>
      <w:proofErr w:type="spellStart"/>
      <w:r w:rsidR="00AF7026">
        <w:t>R</w:t>
      </w:r>
      <w:r w:rsidR="0003105D">
        <w:t>omanised</w:t>
      </w:r>
      <w:proofErr w:type="spellEnd"/>
      <w:r w:rsidR="0003105D">
        <w:t xml:space="preserve">, but </w:t>
      </w:r>
      <w:proofErr w:type="spellStart"/>
      <w:r w:rsidR="0003105D" w:rsidRPr="00AF7026">
        <w:rPr>
          <w:i/>
        </w:rPr>
        <w:t>Augustanised</w:t>
      </w:r>
      <w:proofErr w:type="spellEnd"/>
      <w:r w:rsidR="0003105D" w:rsidRPr="00AF7026">
        <w:rPr>
          <w:i/>
        </w:rPr>
        <w:t xml:space="preserve"> </w:t>
      </w:r>
      <w:r w:rsidR="0003105D">
        <w:t xml:space="preserve">(Boyle, in </w:t>
      </w:r>
      <w:proofErr w:type="spellStart"/>
      <w:r w:rsidR="0003105D">
        <w:t>Penke</w:t>
      </w:r>
      <w:r w:rsidR="00232A8C">
        <w:t>ll</w:t>
      </w:r>
      <w:proofErr w:type="spellEnd"/>
      <w:r w:rsidR="00232A8C">
        <w:t xml:space="preserve"> 1999, </w:t>
      </w:r>
      <w:r w:rsidR="0003105D">
        <w:t>p152)</w:t>
      </w:r>
      <w:r w:rsidR="0019676B">
        <w:t>.</w:t>
      </w:r>
      <w:r w:rsidR="0003105D">
        <w:t xml:space="preserve">  Boyle also argues that the shield of Aeneas </w:t>
      </w:r>
      <w:r w:rsidR="0019676B">
        <w:t xml:space="preserve">also in Book 8 </w:t>
      </w:r>
      <w:r w:rsidR="0003105D">
        <w:t>presents Roman history as Augustus wanted it presented, and as the Romans wanted to make sense of their own</w:t>
      </w:r>
      <w:r>
        <w:t xml:space="preserve"> past, presenting Roman history, including its military might and conquests, </w:t>
      </w:r>
      <w:r w:rsidR="0003105D">
        <w:t xml:space="preserve">as the creation of </w:t>
      </w:r>
      <w:r>
        <w:t>civilization through warfare</w:t>
      </w:r>
      <w:r w:rsidR="00C844FE">
        <w:t xml:space="preserve">, with Augustus at the </w:t>
      </w:r>
      <w:proofErr w:type="spellStart"/>
      <w:r w:rsidR="00C844FE">
        <w:t>centre</w:t>
      </w:r>
      <w:proofErr w:type="spellEnd"/>
      <w:r w:rsidR="00C844FE">
        <w:t>:</w:t>
      </w:r>
    </w:p>
    <w:p w14:paraId="08D59EF7" w14:textId="2B17EDBE" w:rsidR="00C844FE" w:rsidRPr="00C844FE" w:rsidRDefault="00C844FE" w:rsidP="00C844FE">
      <w:pPr>
        <w:ind w:left="720"/>
        <w:rPr>
          <w:i/>
        </w:rPr>
      </w:pPr>
      <w:r>
        <w:rPr>
          <w:i/>
        </w:rPr>
        <w:t>“In the middle were the bronze-</w:t>
      </w:r>
      <w:proofErr w:type="spellStart"/>
      <w:r>
        <w:rPr>
          <w:i/>
        </w:rPr>
        <w:t>armoured</w:t>
      </w:r>
      <w:proofErr w:type="spellEnd"/>
      <w:r>
        <w:rPr>
          <w:i/>
        </w:rPr>
        <w:t xml:space="preserve"> fleets at the battle of Actium … on one side was Augustus Caesar, leading the men of Italy into battle alongside the Senate the people of Rome … High he stood on the poop of his ship while from his radiant forehead there streamed a double flame and his father’s star shone above his head.” (Aeneid, Book 8, line 676, 678, 680-81)</w:t>
      </w:r>
    </w:p>
    <w:p w14:paraId="29C8958E" w14:textId="2C365F38" w:rsidR="001B4196" w:rsidRPr="00301AC4" w:rsidRDefault="00C844FE" w:rsidP="0003105D">
      <w:r>
        <w:lastRenderedPageBreak/>
        <w:t>Boyle</w:t>
      </w:r>
      <w:r w:rsidR="00324CB6">
        <w:t xml:space="preserve"> argues that in</w:t>
      </w:r>
      <w:r w:rsidR="0003105D">
        <w:t xml:space="preserve"> the shield, “the historical association of Aeneas with Augustus, evidenced as early as 42BC on coins minted at Rome, becomes narrative fact”</w:t>
      </w:r>
      <w:r>
        <w:t>.</w:t>
      </w:r>
      <w:r>
        <w:rPr>
          <w:rStyle w:val="FootnoteReference"/>
        </w:rPr>
        <w:footnoteReference w:id="8"/>
      </w:r>
      <w:r>
        <w:t xml:space="preserve">  The whole narrative described in the </w:t>
      </w:r>
      <w:proofErr w:type="spellStart"/>
      <w:r>
        <w:t>ekphrasis</w:t>
      </w:r>
      <w:proofErr w:type="spellEnd"/>
      <w:r>
        <w:t xml:space="preserve"> of the shield can be understood as a retelling of Roman history to fit the Augustan narrative</w:t>
      </w:r>
      <w:r>
        <w:rPr>
          <w:rStyle w:val="FootnoteReference"/>
        </w:rPr>
        <w:footnoteReference w:id="9"/>
      </w:r>
      <w:r>
        <w:t xml:space="preserve">. </w:t>
      </w:r>
    </w:p>
    <w:p w14:paraId="0F1E2DAC" w14:textId="2407E8F7" w:rsidR="00DD3E91" w:rsidRDefault="0003105D" w:rsidP="0003105D">
      <w:r>
        <w:t xml:space="preserve">Boyle however argues </w:t>
      </w:r>
      <w:r w:rsidRPr="00324CB6">
        <w:rPr>
          <w:i/>
        </w:rPr>
        <w:t>against</w:t>
      </w:r>
      <w:r>
        <w:t xml:space="preserve"> those who want to see the Aeneid as </w:t>
      </w:r>
      <w:r w:rsidRPr="009440EB">
        <w:rPr>
          <w:i/>
        </w:rPr>
        <w:t>simply</w:t>
      </w:r>
      <w:r w:rsidR="009440EB">
        <w:t xml:space="preserve"> </w:t>
      </w:r>
      <w:r w:rsidR="001B4196">
        <w:t xml:space="preserve">a </w:t>
      </w:r>
      <w:r w:rsidR="009440EB">
        <w:t>pro-Augustan</w:t>
      </w:r>
      <w:r w:rsidR="001B4196">
        <w:t xml:space="preserve"> text</w:t>
      </w:r>
      <w:r w:rsidR="009440EB">
        <w:t xml:space="preserve">, pointing out </w:t>
      </w:r>
      <w:r>
        <w:t>ways in which the text is also subversive</w:t>
      </w:r>
      <w:r w:rsidR="00DD3E91">
        <w:t xml:space="preserve">. For example, at the close of the </w:t>
      </w:r>
      <w:proofErr w:type="spellStart"/>
      <w:r w:rsidR="00DD3E91">
        <w:t>ekphrasis</w:t>
      </w:r>
      <w:proofErr w:type="spellEnd"/>
      <w:r w:rsidR="00DD3E91">
        <w:t>, Virgil writes</w:t>
      </w:r>
      <w:r w:rsidR="00C844FE">
        <w:t>:</w:t>
      </w:r>
    </w:p>
    <w:p w14:paraId="13CAE519" w14:textId="77777777" w:rsidR="00DD3E91" w:rsidRDefault="00DD3E91" w:rsidP="00DD3E91">
      <w:pPr>
        <w:ind w:left="720"/>
      </w:pPr>
      <w:r>
        <w:t>“</w:t>
      </w:r>
      <w:r w:rsidRPr="00DD3E91">
        <w:rPr>
          <w:i/>
        </w:rPr>
        <w:t xml:space="preserve">Such were the scenes spread over the shield that Vulcan made and Venus gave to her son. </w:t>
      </w:r>
      <w:proofErr w:type="spellStart"/>
      <w:r w:rsidRPr="00DD3E91">
        <w:rPr>
          <w:i/>
        </w:rPr>
        <w:t>Marvelling</w:t>
      </w:r>
      <w:proofErr w:type="spellEnd"/>
      <w:r w:rsidRPr="00DD3E91">
        <w:rPr>
          <w:i/>
        </w:rPr>
        <w:t xml:space="preserve"> at it, and rejoicing at the scenes pictured on it, without knowing what they were, Aeneas lifted on to his shoulder the fame and the fate of his descendants.</w:t>
      </w:r>
      <w:r>
        <w:t xml:space="preserve">” (Virgil, </w:t>
      </w:r>
      <w:r w:rsidRPr="00DD3E91">
        <w:rPr>
          <w:i/>
        </w:rPr>
        <w:t>Aeneid</w:t>
      </w:r>
      <w:r>
        <w:t>, Book 8, 7.29-31)</w:t>
      </w:r>
    </w:p>
    <w:p w14:paraId="69C399BD" w14:textId="60150046" w:rsidR="0003105D" w:rsidRDefault="00DD3E91" w:rsidP="0003105D">
      <w:r>
        <w:t>Boyle points out that having outlined the glorious future of Rome, the</w:t>
      </w:r>
      <w:r w:rsidR="009440EB">
        <w:t xml:space="preserve"> </w:t>
      </w:r>
      <w:r w:rsidRPr="00DD3E91">
        <w:rPr>
          <w:i/>
        </w:rPr>
        <w:t>Aeneid</w:t>
      </w:r>
      <w:r w:rsidR="009440EB">
        <w:t xml:space="preserve"> can also be read as saying, as Aeneas lifts the shield in ignorance</w:t>
      </w:r>
      <w:r>
        <w:t xml:space="preserve"> of what it means</w:t>
      </w:r>
      <w:r w:rsidR="009440EB">
        <w:t xml:space="preserve">, that </w:t>
      </w:r>
      <w:r w:rsidR="0003105D" w:rsidRPr="00FA5115">
        <w:rPr>
          <w:i/>
        </w:rPr>
        <w:t>only through ignorance</w:t>
      </w:r>
      <w:r w:rsidR="0003105D">
        <w:t xml:space="preserve"> can the pursuit of fame and death be sustained, </w:t>
      </w:r>
      <w:r w:rsidR="00FA5115">
        <w:t xml:space="preserve">can Rome continue to fight its many battles, </w:t>
      </w:r>
      <w:r w:rsidR="0003105D">
        <w:t xml:space="preserve">and history </w:t>
      </w:r>
      <w:r w:rsidR="00FA5115">
        <w:t xml:space="preserve">be </w:t>
      </w:r>
      <w:r w:rsidR="0003105D">
        <w:t>endlessly repeated</w:t>
      </w:r>
      <w:r w:rsidR="009440EB">
        <w:t xml:space="preserve">; and </w:t>
      </w:r>
      <w:r>
        <w:t xml:space="preserve">at the same time, </w:t>
      </w:r>
      <w:r w:rsidR="009440EB">
        <w:t>as a reflection on the</w:t>
      </w:r>
      <w:r w:rsidR="0003105D">
        <w:t xml:space="preserve"> failure of </w:t>
      </w:r>
      <w:r w:rsidR="001B4196">
        <w:t>A</w:t>
      </w:r>
      <w:r w:rsidR="0003105D">
        <w:t>rt</w:t>
      </w:r>
      <w:r w:rsidR="009440EB">
        <w:t>, both the shield</w:t>
      </w:r>
      <w:r>
        <w:t xml:space="preserve"> of Aeneas</w:t>
      </w:r>
      <w:r w:rsidR="009440EB">
        <w:t xml:space="preserve"> and the work of poetry</w:t>
      </w:r>
      <w:r>
        <w:t xml:space="preserve"> more generally</w:t>
      </w:r>
      <w:r w:rsidR="009440EB">
        <w:t>,</w:t>
      </w:r>
      <w:r w:rsidR="0003105D">
        <w:t xml:space="preserve"> to pr</w:t>
      </w:r>
      <w:r w:rsidR="009440EB">
        <w:t xml:space="preserve">event history repeating itself. </w:t>
      </w:r>
      <w:r w:rsidR="00C844FE">
        <w:t xml:space="preserve">Thus although the Aeneid can be read primarily as a reification of the reign of Augustus, </w:t>
      </w:r>
      <w:proofErr w:type="spellStart"/>
      <w:r w:rsidR="00C844FE">
        <w:t>multivocality</w:t>
      </w:r>
      <w:proofErr w:type="spellEnd"/>
      <w:r w:rsidR="00C844FE">
        <w:t xml:space="preserve"> and questioning is also present in the text, as Virgil also calls into question aspects of Roman and Augustan narrative of its own past. </w:t>
      </w:r>
    </w:p>
    <w:p w14:paraId="0FEDE791" w14:textId="4C4BC080" w:rsidR="007A5CC1" w:rsidRDefault="00D55800" w:rsidP="009440EB">
      <w:r>
        <w:t xml:space="preserve">We can also </w:t>
      </w:r>
      <w:proofErr w:type="spellStart"/>
      <w:r>
        <w:t>analyse</w:t>
      </w:r>
      <w:proofErr w:type="spellEnd"/>
      <w:r w:rsidR="009440EB">
        <w:t xml:space="preserve"> Virgil’s </w:t>
      </w:r>
      <w:r w:rsidR="009440EB" w:rsidRPr="009440EB">
        <w:rPr>
          <w:i/>
        </w:rPr>
        <w:t>Aeneid</w:t>
      </w:r>
      <w:r w:rsidR="009440EB">
        <w:t xml:space="preserve"> as addressing </w:t>
      </w:r>
      <w:r w:rsidR="00DD3E91">
        <w:t xml:space="preserve">and explaining, </w:t>
      </w:r>
      <w:r w:rsidR="009440EB">
        <w:t>rather than trying to cover up or hide</w:t>
      </w:r>
      <w:r w:rsidR="00DD3E91">
        <w:t>,</w:t>
      </w:r>
      <w:r w:rsidR="009440EB">
        <w:t xml:space="preserve"> Augustus’ embarrassments. </w:t>
      </w:r>
      <w:r>
        <w:t>Powell</w:t>
      </w:r>
      <w:r w:rsidR="009440EB">
        <w:t xml:space="preserve"> </w:t>
      </w:r>
      <w:r w:rsidR="00DD3E91">
        <w:t>argues</w:t>
      </w:r>
      <w:r w:rsidR="009440EB">
        <w:t xml:space="preserve"> that Augustus’ ending of the Republic, the violence of the proscriptions</w:t>
      </w:r>
      <w:r w:rsidR="00DD3E91">
        <w:t xml:space="preserve"> and the civil wars in which Romans fought Romans</w:t>
      </w:r>
      <w:r w:rsidR="009440EB">
        <w:t>, and his military failures, were all well known</w:t>
      </w:r>
      <w:r w:rsidR="00DD3E91">
        <w:t>, and that Virgil’s text is an attempt to put these many failures in the context of Rome’s greater glory and destiny under the Augustan settlement</w:t>
      </w:r>
      <w:r w:rsidR="009440EB">
        <w:t xml:space="preserve">. In the </w:t>
      </w:r>
      <w:r w:rsidR="009440EB" w:rsidRPr="009440EB">
        <w:rPr>
          <w:i/>
        </w:rPr>
        <w:t>Aeneid</w:t>
      </w:r>
      <w:r w:rsidR="009440EB">
        <w:t>,</w:t>
      </w:r>
      <w:r w:rsidR="00DD3E91">
        <w:t xml:space="preserve"> </w:t>
      </w:r>
      <w:r w:rsidR="009440EB">
        <w:t>Virgil’s framing</w:t>
      </w:r>
      <w:r>
        <w:t xml:space="preserve"> of the past </w:t>
      </w:r>
      <w:r w:rsidR="009440EB">
        <w:t>is that Augustus was “</w:t>
      </w:r>
      <w:proofErr w:type="spellStart"/>
      <w:r w:rsidR="009440EB">
        <w:t>honourably</w:t>
      </w:r>
      <w:proofErr w:type="spellEnd"/>
      <w:r w:rsidR="009440EB">
        <w:t xml:space="preserve"> forced to fight Italians”</w:t>
      </w:r>
      <w:r w:rsidRPr="00D55800">
        <w:t xml:space="preserve"> </w:t>
      </w:r>
      <w:r>
        <w:t xml:space="preserve">(Powell, in Powell </w:t>
      </w:r>
      <w:proofErr w:type="spellStart"/>
      <w:r>
        <w:t>ed</w:t>
      </w:r>
      <w:proofErr w:type="spellEnd"/>
      <w:r>
        <w:t xml:space="preserve"> 1992, p.148)</w:t>
      </w:r>
      <w:r>
        <w:t xml:space="preserve">. </w:t>
      </w:r>
      <w:r w:rsidR="00DD3E91">
        <w:t xml:space="preserve"> </w:t>
      </w:r>
      <w:r>
        <w:t>The</w:t>
      </w:r>
      <w:r w:rsidR="00DD3E91">
        <w:t xml:space="preserve"> apol</w:t>
      </w:r>
      <w:r>
        <w:t xml:space="preserve">ogetic purpose of the Aeneid was to frame </w:t>
      </w:r>
      <w:r w:rsidR="00DD3E91">
        <w:t xml:space="preserve">the </w:t>
      </w:r>
      <w:r>
        <w:t xml:space="preserve">painful </w:t>
      </w:r>
      <w:r w:rsidR="00DD3E91">
        <w:t>civil wars as, like Aeneas’s battles</w:t>
      </w:r>
      <w:r w:rsidR="00FA5115">
        <w:t xml:space="preserve"> in books 7-12</w:t>
      </w:r>
      <w:r>
        <w:t xml:space="preserve">, </w:t>
      </w:r>
      <w:r w:rsidR="00DD3E91">
        <w:t>part of the wider destiny of Rome</w:t>
      </w:r>
      <w:r>
        <w:t xml:space="preserve">. </w:t>
      </w:r>
    </w:p>
    <w:p w14:paraId="34D95B7A" w14:textId="77777777" w:rsidR="0011643B" w:rsidRDefault="0011643B" w:rsidP="009440EB">
      <w:r>
        <w:t>A</w:t>
      </w:r>
      <w:r w:rsidR="009440EB">
        <w:t>t the very opening of Book 1,</w:t>
      </w:r>
      <w:r>
        <w:t xml:space="preserve"> the explanatory purpose of the Aeneid is laid out. </w:t>
      </w:r>
    </w:p>
    <w:p w14:paraId="11971AD5" w14:textId="77777777" w:rsidR="0011643B" w:rsidRDefault="0011643B" w:rsidP="0011643B">
      <w:pPr>
        <w:ind w:left="720"/>
      </w:pPr>
      <w:r>
        <w:t>“</w:t>
      </w:r>
      <w:r w:rsidRPr="0011643B">
        <w:rPr>
          <w:i/>
        </w:rPr>
        <w:t>Tell me, Muse, the causes of her anger. How did he (Aeneas) violate the will of the Queen of the Gods? What was his offence? Why did she drive a man famous for his piety to such endless hardship and suffering?</w:t>
      </w:r>
      <w:r>
        <w:t xml:space="preserve">” (Virgil, </w:t>
      </w:r>
      <w:r w:rsidRPr="0011643B">
        <w:rPr>
          <w:i/>
        </w:rPr>
        <w:t>Aeneid</w:t>
      </w:r>
      <w:r>
        <w:t>, Book 1.8-11)</w:t>
      </w:r>
    </w:p>
    <w:p w14:paraId="617527A5" w14:textId="6408160F" w:rsidR="007A5CC1" w:rsidRDefault="0011643B" w:rsidP="007A5CC1">
      <w:r>
        <w:t>T</w:t>
      </w:r>
      <w:r w:rsidR="009440EB">
        <w:t>he Muse is asked to explain how a man of such pietas (Aeneas) can be involved in</w:t>
      </w:r>
      <w:r w:rsidR="00D033E8">
        <w:t xml:space="preserve"> so </w:t>
      </w:r>
      <w:r w:rsidR="00FA5115">
        <w:t>much catastrophe and toil?</w:t>
      </w:r>
      <w:r>
        <w:t xml:space="preserve"> Powell argues that</w:t>
      </w:r>
      <w:r w:rsidR="009440EB">
        <w:t xml:space="preserve"> that the whole purpose of </w:t>
      </w:r>
      <w:r w:rsidR="009440EB" w:rsidRPr="009440EB">
        <w:rPr>
          <w:i/>
        </w:rPr>
        <w:t>Aeneid</w:t>
      </w:r>
      <w:r w:rsidR="009440EB">
        <w:t xml:space="preserve"> is to answer this question </w:t>
      </w:r>
      <w:r w:rsidR="009440EB" w:rsidRPr="0011643B">
        <w:rPr>
          <w:i/>
        </w:rPr>
        <w:t>for Augustus</w:t>
      </w:r>
      <w:r w:rsidR="009440EB">
        <w:t xml:space="preserve">, </w:t>
      </w:r>
      <w:r w:rsidR="00D033E8">
        <w:t>whilst serving also</w:t>
      </w:r>
      <w:r w:rsidR="009440EB">
        <w:t xml:space="preserve"> as “political pro</w:t>
      </w:r>
      <w:r w:rsidR="00FA5115">
        <w:t>phesy”, to support, with all it</w:t>
      </w:r>
      <w:r w:rsidR="009440EB">
        <w:t>s complexity and compromise, the Augustan settlement</w:t>
      </w:r>
      <w:r w:rsidR="00FA5115">
        <w:t xml:space="preserve"> (</w:t>
      </w:r>
      <w:r w:rsidR="00232A8C">
        <w:t xml:space="preserve">Powell, in Powell </w:t>
      </w:r>
      <w:proofErr w:type="spellStart"/>
      <w:r w:rsidR="00232A8C">
        <w:t>ed</w:t>
      </w:r>
      <w:proofErr w:type="spellEnd"/>
      <w:r w:rsidR="00232A8C">
        <w:t xml:space="preserve"> 1992</w:t>
      </w:r>
      <w:r w:rsidR="00FA5115">
        <w:t>, p.149)</w:t>
      </w:r>
      <w:r w:rsidR="009440EB">
        <w:t xml:space="preserve">. Powell </w:t>
      </w:r>
      <w:r w:rsidR="007A5CC1">
        <w:t xml:space="preserve">further </w:t>
      </w:r>
      <w:r w:rsidR="009440EB">
        <w:t xml:space="preserve">argues that with Augustus’s concern to be seen as modest, we shouldn’t expect in the </w:t>
      </w:r>
      <w:r w:rsidR="009440EB" w:rsidRPr="009440EB">
        <w:rPr>
          <w:i/>
        </w:rPr>
        <w:t>Aeneid</w:t>
      </w:r>
      <w:r w:rsidR="009440EB">
        <w:t xml:space="preserve"> (a work he </w:t>
      </w:r>
      <w:r w:rsidR="00253112">
        <w:t xml:space="preserve">may have </w:t>
      </w:r>
      <w:r w:rsidR="009440EB">
        <w:t>commissioned</w:t>
      </w:r>
      <w:r w:rsidR="00253112">
        <w:t xml:space="preserve"> through Maecenas, his right hand man</w:t>
      </w:r>
      <w:r w:rsidR="009440EB">
        <w:t xml:space="preserve">) to see a direct vaunting of </w:t>
      </w:r>
      <w:proofErr w:type="spellStart"/>
      <w:r w:rsidR="009440EB">
        <w:t>Augustanism</w:t>
      </w:r>
      <w:proofErr w:type="spellEnd"/>
      <w:r w:rsidR="009440EB">
        <w:t>, but as with the R</w:t>
      </w:r>
      <w:r w:rsidR="007A5CC1">
        <w:t xml:space="preserve">es </w:t>
      </w:r>
      <w:r w:rsidR="00D55800">
        <w:lastRenderedPageBreak/>
        <w:t>Gestae, rather than</w:t>
      </w:r>
      <w:r w:rsidR="009440EB">
        <w:t xml:space="preserve"> </w:t>
      </w:r>
      <w:r w:rsidR="00FA5115">
        <w:t xml:space="preserve">frequent </w:t>
      </w:r>
      <w:r w:rsidR="009440EB">
        <w:t>explicit ref</w:t>
      </w:r>
      <w:r w:rsidR="007A5CC1">
        <w:t>erences to Augustus, the text</w:t>
      </w:r>
      <w:r w:rsidR="009440EB">
        <w:t xml:space="preserve"> </w:t>
      </w:r>
      <w:r w:rsidR="00FA5115">
        <w:t xml:space="preserve">instead </w:t>
      </w:r>
      <w:r w:rsidR="009440EB">
        <w:t>has “his fingerprints all over it” (</w:t>
      </w:r>
      <w:r w:rsidR="00D55800">
        <w:t xml:space="preserve">Powell in Powell </w:t>
      </w:r>
      <w:proofErr w:type="spellStart"/>
      <w:r w:rsidR="00D55800">
        <w:t>ed</w:t>
      </w:r>
      <w:proofErr w:type="spellEnd"/>
      <w:r w:rsidR="00D55800">
        <w:t xml:space="preserve"> 1992, p144).</w:t>
      </w:r>
      <w:r w:rsidR="00D55800">
        <w:rPr>
          <w:rStyle w:val="FootnoteReference"/>
        </w:rPr>
        <w:footnoteReference w:id="10"/>
      </w:r>
      <w:r w:rsidR="00D55800">
        <w:t xml:space="preserve"> </w:t>
      </w:r>
      <w:r w:rsidR="007A5CC1">
        <w:t xml:space="preserve">Further political readings of the </w:t>
      </w:r>
      <w:r w:rsidR="007A5CC1" w:rsidRPr="007A5CC1">
        <w:rPr>
          <w:i/>
        </w:rPr>
        <w:t>Aeneid</w:t>
      </w:r>
      <w:r w:rsidR="007A5CC1">
        <w:t xml:space="preserve"> include </w:t>
      </w:r>
      <w:proofErr w:type="spellStart"/>
      <w:r w:rsidR="007A5CC1">
        <w:t>Casali</w:t>
      </w:r>
      <w:proofErr w:type="spellEnd"/>
      <w:r w:rsidR="007A5CC1">
        <w:t>, who argues that that Virgil is knowingly reflecting on Art and the politics of patronage, exploring the painful reality that “the duty of the political poet is to produce myths that wi</w:t>
      </w:r>
      <w:r w:rsidR="00277418">
        <w:t>ll function as weapons” (</w:t>
      </w:r>
      <w:proofErr w:type="spellStart"/>
      <w:r w:rsidR="00277418">
        <w:t>Casali</w:t>
      </w:r>
      <w:proofErr w:type="spellEnd"/>
      <w:r w:rsidR="00277418">
        <w:t xml:space="preserve">, 2006, </w:t>
      </w:r>
      <w:r w:rsidR="001B4196">
        <w:t xml:space="preserve">p202). </w:t>
      </w:r>
    </w:p>
    <w:p w14:paraId="667EDD0D" w14:textId="1ABBCF71" w:rsidR="00294F9C" w:rsidRDefault="0011643B">
      <w:r>
        <w:t>We can also read</w:t>
      </w:r>
      <w:r w:rsidR="007A5CC1">
        <w:t xml:space="preserve"> the </w:t>
      </w:r>
      <w:r w:rsidR="007A5CC1" w:rsidRPr="00F320A9">
        <w:rPr>
          <w:i/>
        </w:rPr>
        <w:t>Aeneid</w:t>
      </w:r>
      <w:r w:rsidR="007A5CC1">
        <w:t xml:space="preserve"> </w:t>
      </w:r>
      <w:r w:rsidR="00F320A9">
        <w:t>as a moral exploration, rather than simply or only political in its purpose</w:t>
      </w:r>
      <w:r w:rsidR="007A5CC1">
        <w:t xml:space="preserve">. For example, </w:t>
      </w:r>
      <w:proofErr w:type="spellStart"/>
      <w:r w:rsidR="00283427">
        <w:t>Horsfall</w:t>
      </w:r>
      <w:proofErr w:type="spellEnd"/>
      <w:r w:rsidR="00283427">
        <w:t xml:space="preserve"> (1995) </w:t>
      </w:r>
      <w:r w:rsidR="0003105D">
        <w:t>argues that the</w:t>
      </w:r>
      <w:r w:rsidR="00283427">
        <w:t xml:space="preserve"> Aeneid’s central purpose is to understand the moral nature of experience</w:t>
      </w:r>
      <w:r w:rsidR="001B4196">
        <w:t xml:space="preserve">, including not just the question of arms (the central question of the Iliad) or the man (that of the Odyssey) but of the inter-relationship between the two. </w:t>
      </w:r>
      <w:r w:rsidR="00283427">
        <w:t xml:space="preserve"> </w:t>
      </w:r>
      <w:r w:rsidR="00D55800">
        <w:t>The</w:t>
      </w:r>
      <w:r w:rsidR="001B4196">
        <w:t xml:space="preserve"> Aeneid returns c</w:t>
      </w:r>
      <w:r w:rsidR="00283427">
        <w:t>onstant</w:t>
      </w:r>
      <w:r w:rsidR="00FA5115">
        <w:t>ly to the</w:t>
      </w:r>
      <w:r w:rsidR="00283427">
        <w:t xml:space="preserve"> question</w:t>
      </w:r>
      <w:r w:rsidR="001B4196">
        <w:t xml:space="preserve"> of whether the Gods are just, and that both </w:t>
      </w:r>
      <w:r w:rsidR="00283427">
        <w:t xml:space="preserve">possible readings of </w:t>
      </w:r>
      <w:r w:rsidR="001B4196">
        <w:t xml:space="preserve">the death of </w:t>
      </w:r>
      <w:proofErr w:type="spellStart"/>
      <w:r w:rsidR="00283427">
        <w:t>Turnus</w:t>
      </w:r>
      <w:proofErr w:type="spellEnd"/>
      <w:r w:rsidR="00283427">
        <w:t xml:space="preserve"> </w:t>
      </w:r>
      <w:r w:rsidR="001B4196">
        <w:t xml:space="preserve">(that of Aeneas as </w:t>
      </w:r>
      <w:r w:rsidR="00FA5115">
        <w:t xml:space="preserve">either </w:t>
      </w:r>
      <w:r w:rsidR="001B4196">
        <w:t>embodying</w:t>
      </w:r>
      <w:r w:rsidR="00FA5115">
        <w:t>,</w:t>
      </w:r>
      <w:r w:rsidR="001B4196">
        <w:t xml:space="preserve"> or abandoning</w:t>
      </w:r>
      <w:r w:rsidR="00FA5115">
        <w:t>,</w:t>
      </w:r>
      <w:r w:rsidR="001B4196">
        <w:t xml:space="preserve"> pietas, in the moment of furor) deliberately </w:t>
      </w:r>
      <w:r w:rsidR="00283427">
        <w:t>suggest themselves to the r</w:t>
      </w:r>
      <w:r w:rsidR="001B4196">
        <w:t xml:space="preserve">eader, without being resolved, </w:t>
      </w:r>
      <w:r w:rsidR="00283427">
        <w:t xml:space="preserve">thus epitomizing </w:t>
      </w:r>
      <w:r w:rsidR="00FA5115">
        <w:t xml:space="preserve">in its closing moments, </w:t>
      </w:r>
      <w:r w:rsidR="00283427">
        <w:t>the central question of the poem</w:t>
      </w:r>
      <w:r w:rsidR="00FE424D">
        <w:t xml:space="preserve"> as a whole. R</w:t>
      </w:r>
      <w:r w:rsidR="001B4196">
        <w:t xml:space="preserve">ather than being asked to choose an interpretation of </w:t>
      </w:r>
      <w:proofErr w:type="spellStart"/>
      <w:r w:rsidR="001B4196">
        <w:t>Turnus</w:t>
      </w:r>
      <w:proofErr w:type="spellEnd"/>
      <w:r w:rsidR="001B4196">
        <w:t>’ death, Virgil invites us to explore the</w:t>
      </w:r>
      <w:r w:rsidR="00294F9C">
        <w:t xml:space="preserve"> limitations of Pi</w:t>
      </w:r>
      <w:r w:rsidR="001B4196">
        <w:t>etas when confronted with furor</w:t>
      </w:r>
      <w:r w:rsidR="00FE424D">
        <w:t xml:space="preserve">, </w:t>
      </w:r>
      <w:r w:rsidR="001B4196">
        <w:t>not by</w:t>
      </w:r>
      <w:r w:rsidR="00294F9C">
        <w:t xml:space="preserve"> choosing one over the other</w:t>
      </w:r>
      <w:r w:rsidR="001B4196">
        <w:t>,</w:t>
      </w:r>
      <w:r w:rsidR="00294F9C">
        <w:t xml:space="preserve"> but </w:t>
      </w:r>
      <w:proofErr w:type="spellStart"/>
      <w:r w:rsidR="00FA5115">
        <w:t>recognising</w:t>
      </w:r>
      <w:proofErr w:type="spellEnd"/>
      <w:r w:rsidR="00FA5115">
        <w:t xml:space="preserve"> that Aeneas is </w:t>
      </w:r>
      <w:r w:rsidR="00294F9C">
        <w:t xml:space="preserve">caught in the </w:t>
      </w:r>
      <w:r w:rsidR="00294F9C" w:rsidRPr="00FA5115">
        <w:rPr>
          <w:i/>
        </w:rPr>
        <w:t>conflicting</w:t>
      </w:r>
      <w:r w:rsidR="00294F9C">
        <w:t xml:space="preserve"> d</w:t>
      </w:r>
      <w:r w:rsidR="001B4196">
        <w:t xml:space="preserve">emands of Pietas, </w:t>
      </w:r>
      <w:r w:rsidR="00294F9C">
        <w:t>w</w:t>
      </w:r>
      <w:r w:rsidR="006E48D9">
        <w:t>hich requires</w:t>
      </w:r>
      <w:r w:rsidR="001B4196">
        <w:t xml:space="preserve"> both resistance to and the appropriate </w:t>
      </w:r>
      <w:r w:rsidR="006E48D9">
        <w:t>use of furor</w:t>
      </w:r>
      <w:r w:rsidR="00FE424D">
        <w:t xml:space="preserve"> </w:t>
      </w:r>
      <w:r w:rsidR="00FE424D">
        <w:t>(</w:t>
      </w:r>
      <w:proofErr w:type="spellStart"/>
      <w:r w:rsidR="00FE424D">
        <w:t>Lowenstam</w:t>
      </w:r>
      <w:proofErr w:type="spellEnd"/>
      <w:r w:rsidR="00FE424D">
        <w:t>, 1993, p44</w:t>
      </w:r>
      <w:r w:rsidR="00FE424D">
        <w:t>)</w:t>
      </w:r>
      <w:r w:rsidR="006E48D9">
        <w:t xml:space="preserve">. </w:t>
      </w:r>
      <w:r w:rsidR="001B4196">
        <w:t xml:space="preserve">Although </w:t>
      </w:r>
      <w:proofErr w:type="spellStart"/>
      <w:r w:rsidR="00FE424D">
        <w:t>Horsfall</w:t>
      </w:r>
      <w:proofErr w:type="spellEnd"/>
      <w:r w:rsidR="00FE424D">
        <w:t xml:space="preserve"> and </w:t>
      </w:r>
      <w:proofErr w:type="spellStart"/>
      <w:r w:rsidR="00FE424D">
        <w:t>Lowenstam</w:t>
      </w:r>
      <w:proofErr w:type="spellEnd"/>
      <w:r w:rsidR="00FE424D">
        <w:t xml:space="preserve"> in these</w:t>
      </w:r>
      <w:r w:rsidR="001B4196">
        <w:t xml:space="preserve"> ‘moral’ readings of the Aeneid don’t explicitly refer to the Augustan context, </w:t>
      </w:r>
      <w:r w:rsidR="00F320A9">
        <w:t xml:space="preserve">these moral explorations </w:t>
      </w:r>
      <w:r>
        <w:t xml:space="preserve">clearly could also, as Powell has argued, </w:t>
      </w:r>
      <w:r w:rsidR="00F320A9">
        <w:t xml:space="preserve">form part of the apologia for Augustus, </w:t>
      </w:r>
      <w:r>
        <w:t>and the exploration of how both p</w:t>
      </w:r>
      <w:r w:rsidR="00F320A9">
        <w:t xml:space="preserve">ietas and furor </w:t>
      </w:r>
      <w:r w:rsidR="00FA5115">
        <w:t>could</w:t>
      </w:r>
      <w:r w:rsidR="00F320A9">
        <w:t xml:space="preserve"> coexist in the life of the Princeps. </w:t>
      </w:r>
    </w:p>
    <w:p w14:paraId="2BF31C15" w14:textId="77777777" w:rsidR="001B4196" w:rsidRPr="00F320A9" w:rsidRDefault="001B4196">
      <w:pPr>
        <w:rPr>
          <w:b/>
        </w:rPr>
      </w:pPr>
      <w:r w:rsidRPr="00F320A9">
        <w:rPr>
          <w:b/>
        </w:rPr>
        <w:t xml:space="preserve">Ovid’s </w:t>
      </w:r>
      <w:r w:rsidRPr="00F320A9">
        <w:rPr>
          <w:b/>
          <w:i/>
        </w:rPr>
        <w:t>Metamorphoses</w:t>
      </w:r>
    </w:p>
    <w:p w14:paraId="28891BBC" w14:textId="531EF22C" w:rsidR="007A5CC1" w:rsidRDefault="007A5CC1">
      <w:r>
        <w:t xml:space="preserve">Turning to Ovid’s </w:t>
      </w:r>
      <w:r w:rsidRPr="007A5CC1">
        <w:rPr>
          <w:i/>
        </w:rPr>
        <w:t>Metamorphoses</w:t>
      </w:r>
      <w:r>
        <w:t xml:space="preserve">, </w:t>
      </w:r>
      <w:r w:rsidR="00253112">
        <w:t xml:space="preserve">another Augustan text, written post-Virgil, </w:t>
      </w:r>
      <w:r>
        <w:t xml:space="preserve">many critics have pointed out that his ‘mini-Aeneid’ within the </w:t>
      </w:r>
      <w:r w:rsidRPr="007A5CC1">
        <w:rPr>
          <w:i/>
        </w:rPr>
        <w:t>M</w:t>
      </w:r>
      <w:r w:rsidR="00253112">
        <w:rPr>
          <w:i/>
        </w:rPr>
        <w:t>eta</w:t>
      </w:r>
      <w:r w:rsidRPr="007A5CC1">
        <w:rPr>
          <w:i/>
        </w:rPr>
        <w:t>morphoses</w:t>
      </w:r>
      <w:r>
        <w:t xml:space="preserve"> is a retelling of Virgil</w:t>
      </w:r>
      <w:r w:rsidR="005B0892">
        <w:t>’s already canonical work</w:t>
      </w:r>
      <w:r>
        <w:t xml:space="preserve">, </w:t>
      </w:r>
      <w:r w:rsidR="00FA5115">
        <w:t>bringing</w:t>
      </w:r>
      <w:r w:rsidR="006E2177">
        <w:t xml:space="preserve"> out hidden voices, </w:t>
      </w:r>
      <w:r w:rsidR="00FA5115">
        <w:t>along with</w:t>
      </w:r>
      <w:r>
        <w:t xml:space="preserve"> </w:t>
      </w:r>
      <w:r w:rsidR="006E2177">
        <w:t xml:space="preserve">themes of mutability and transformation, </w:t>
      </w:r>
      <w:r>
        <w:t>latent within the prior work (</w:t>
      </w:r>
      <w:r w:rsidR="005B0892">
        <w:t xml:space="preserve">see </w:t>
      </w:r>
      <w:r>
        <w:t>for example, Hinds, 1998</w:t>
      </w:r>
      <w:r w:rsidR="005B0892">
        <w:t>, Myles, 1999</w:t>
      </w:r>
      <w:r>
        <w:t>)</w:t>
      </w:r>
      <w:r w:rsidR="005B0892">
        <w:t xml:space="preserve"> </w:t>
      </w:r>
      <w:r w:rsidR="00FA5115">
        <w:t xml:space="preserve">and therefore profoundly </w:t>
      </w:r>
      <w:r w:rsidR="005B0892">
        <w:t xml:space="preserve">suggestive of alternative possible readings of the </w:t>
      </w:r>
      <w:r w:rsidR="005B0892" w:rsidRPr="005B0892">
        <w:rPr>
          <w:i/>
        </w:rPr>
        <w:t>Aeneid</w:t>
      </w:r>
      <w:r w:rsidR="005B0892">
        <w:t xml:space="preserve"> itself. </w:t>
      </w:r>
    </w:p>
    <w:p w14:paraId="2EF9C76D" w14:textId="17146908" w:rsidR="00E51388" w:rsidRDefault="00FA5115">
      <w:r>
        <w:t>In</w:t>
      </w:r>
      <w:r w:rsidR="006A1B55">
        <w:t xml:space="preserve"> his essay,</w:t>
      </w:r>
      <w:r w:rsidR="00E51388">
        <w:t xml:space="preserve"> </w:t>
      </w:r>
      <w:r w:rsidR="00E51388" w:rsidRPr="006A1B55">
        <w:rPr>
          <w:i/>
        </w:rPr>
        <w:t>Politics in Ovid</w:t>
      </w:r>
      <w:r w:rsidR="006A1B55">
        <w:t xml:space="preserve"> in Dominik et al (2009)</w:t>
      </w:r>
      <w:r>
        <w:t xml:space="preserve">, Williams starts by making the case </w:t>
      </w:r>
      <w:r w:rsidR="00E51388">
        <w:t>that Augustus shouldn’t be thought of as a person, but as a “collective invention”, and an “all embracing discourse” (p. 203)</w:t>
      </w:r>
      <w:r>
        <w:t>, and that</w:t>
      </w:r>
      <w:r w:rsidR="00E51388">
        <w:t xml:space="preserve"> Augustan discourse </w:t>
      </w:r>
      <w:r w:rsidR="006A1B55">
        <w:t>should be understood, not as a fixed ideology, but</w:t>
      </w:r>
      <w:r w:rsidR="00E51388">
        <w:t xml:space="preserve"> a constant </w:t>
      </w:r>
      <w:r w:rsidR="00E51388" w:rsidRPr="00FA5115">
        <w:rPr>
          <w:i/>
        </w:rPr>
        <w:t>negotiation</w:t>
      </w:r>
      <w:r w:rsidR="00E51388">
        <w:t xml:space="preserve"> between </w:t>
      </w:r>
      <w:r>
        <w:t xml:space="preserve">the Princeps and his people, and between </w:t>
      </w:r>
      <w:r w:rsidR="00E51388">
        <w:t>past and present (p.204)</w:t>
      </w:r>
      <w:r w:rsidR="006A1B55">
        <w:t>. With this framing,</w:t>
      </w:r>
      <w:r>
        <w:t xml:space="preserve"> </w:t>
      </w:r>
      <w:r w:rsidR="00E51388">
        <w:t xml:space="preserve">“Augustus’ presence in Ovid’s verse, </w:t>
      </w:r>
      <w:r w:rsidR="006A1B55">
        <w:t xml:space="preserve">can be seen, </w:t>
      </w:r>
      <w:r>
        <w:t xml:space="preserve">Williams argues, </w:t>
      </w:r>
      <w:r w:rsidR="00E51388">
        <w:t>not as a fixed commodity</w:t>
      </w:r>
      <w:r w:rsidR="006A1B55">
        <w:t>,</w:t>
      </w:r>
      <w:r w:rsidR="00E51388">
        <w:t xml:space="preserve"> but as a </w:t>
      </w:r>
      <w:r w:rsidR="006A1B55">
        <w:t>“</w:t>
      </w:r>
      <w:r w:rsidR="00E51388">
        <w:t xml:space="preserve">fluid object of representation, of controversy” (p204) </w:t>
      </w:r>
      <w:r w:rsidR="006A1B55">
        <w:t>and</w:t>
      </w:r>
      <w:r w:rsidR="00E51388">
        <w:t xml:space="preserve"> as a floating signifier. “Ovid writes not for or against, but about Augustus and Augustan roman-ness” (p204) </w:t>
      </w:r>
      <w:r w:rsidR="006A1B55">
        <w:t xml:space="preserve">as both a </w:t>
      </w:r>
      <w:r w:rsidR="00E51388">
        <w:t>complex projection of, and reaction to, Augustan values and meaning (p205).</w:t>
      </w:r>
      <w:r w:rsidR="005D3266">
        <w:rPr>
          <w:rStyle w:val="FootnoteReference"/>
        </w:rPr>
        <w:footnoteReference w:id="11"/>
      </w:r>
    </w:p>
    <w:p w14:paraId="26625D36" w14:textId="355FE6BF" w:rsidR="00A7074C" w:rsidRDefault="006A1B55" w:rsidP="006A025D">
      <w:r>
        <w:lastRenderedPageBreak/>
        <w:t xml:space="preserve">Williams </w:t>
      </w:r>
      <w:r w:rsidR="00300030">
        <w:t xml:space="preserve">further </w:t>
      </w:r>
      <w:r>
        <w:t xml:space="preserve">argues that a key difference between </w:t>
      </w:r>
      <w:r w:rsidRPr="006A1B55">
        <w:t xml:space="preserve">Virgil’s </w:t>
      </w:r>
      <w:r w:rsidRPr="006A1B55">
        <w:rPr>
          <w:i/>
        </w:rPr>
        <w:t>Aeneid</w:t>
      </w:r>
      <w:r w:rsidRPr="006A1B55">
        <w:t xml:space="preserve"> and Ovid’s </w:t>
      </w:r>
      <w:r w:rsidRPr="006A1B55">
        <w:rPr>
          <w:i/>
        </w:rPr>
        <w:t xml:space="preserve">Metamorphoses </w:t>
      </w:r>
      <w:r w:rsidRPr="006A1B55">
        <w:t>is</w:t>
      </w:r>
      <w:r>
        <w:t xml:space="preserve"> teleological. Whereas Virgil’s Aeneid makes the case that all</w:t>
      </w:r>
      <w:r w:rsidR="00300030">
        <w:t xml:space="preserve"> of history is heading up to it</w:t>
      </w:r>
      <w:r>
        <w:t>s apex in the foundation and subsequent glory of Rome, Ovid’s text puts this</w:t>
      </w:r>
      <w:r w:rsidR="00300030">
        <w:t xml:space="preserve"> teleology</w:t>
      </w:r>
      <w:r>
        <w:t xml:space="preserve"> into question, by situating Rome’s story as just </w:t>
      </w:r>
      <w:r w:rsidR="00FE424D">
        <w:t>one more</w:t>
      </w:r>
      <w:r w:rsidR="006A025D">
        <w:t xml:space="preserve"> chapter </w:t>
      </w:r>
      <w:r>
        <w:t>in a long line of metamorphoses</w:t>
      </w:r>
      <w:r w:rsidR="00FE424D">
        <w:rPr>
          <w:rStyle w:val="FootnoteReference"/>
        </w:rPr>
        <w:footnoteReference w:id="12"/>
      </w:r>
      <w:r w:rsidR="00A7074C">
        <w:t xml:space="preserve">. </w:t>
      </w:r>
    </w:p>
    <w:p w14:paraId="1F3438CC" w14:textId="496FC2FB" w:rsidR="00A7074C" w:rsidRPr="00613D78" w:rsidRDefault="006A025D" w:rsidP="00613D78">
      <w:proofErr w:type="spellStart"/>
      <w:r>
        <w:t>Hardie</w:t>
      </w:r>
      <w:proofErr w:type="spellEnd"/>
      <w:r>
        <w:t xml:space="preserve"> in </w:t>
      </w:r>
      <w:r w:rsidR="00300030">
        <w:t xml:space="preserve">his chapter in </w:t>
      </w:r>
      <w:r>
        <w:t xml:space="preserve">Powell et al </w:t>
      </w:r>
      <w:r w:rsidR="00232A8C">
        <w:t>(1992</w:t>
      </w:r>
      <w:r w:rsidR="00300030">
        <w:t xml:space="preserve">) </w:t>
      </w:r>
      <w:r>
        <w:t xml:space="preserve">picks up this point, arguing </w:t>
      </w:r>
      <w:r w:rsidR="005C5A82">
        <w:t xml:space="preserve">(p.61) </w:t>
      </w:r>
      <w:r>
        <w:t xml:space="preserve">that Ovid is </w:t>
      </w:r>
      <w:r w:rsidR="005C5A82">
        <w:t xml:space="preserve">both </w:t>
      </w:r>
      <w:r>
        <w:t>exploring and subtly challenging the Virgilian version of Rome, exposing i</w:t>
      </w:r>
      <w:r w:rsidR="00253112">
        <w:t>t</w:t>
      </w:r>
      <w:r>
        <w:t>s metamorphic character</w:t>
      </w:r>
      <w:r w:rsidR="005C5A82">
        <w:t>,</w:t>
      </w:r>
      <w:r>
        <w:t xml:space="preserve"> </w:t>
      </w:r>
      <w:r w:rsidR="005C5A82">
        <w:t>with the</w:t>
      </w:r>
      <w:r>
        <w:t xml:space="preserve"> hints of Aeneas repeating history, going backwards as well as forwards</w:t>
      </w:r>
      <w:r w:rsidR="005C5A82">
        <w:t xml:space="preserve">, </w:t>
      </w:r>
      <w:r w:rsidR="00300030">
        <w:t xml:space="preserve">temporally as well as </w:t>
      </w:r>
      <w:r w:rsidR="005C5A82">
        <w:t>ethically</w:t>
      </w:r>
      <w:r>
        <w:t xml:space="preserve">. </w:t>
      </w:r>
      <w:r w:rsidR="00FE424D">
        <w:t>Ovid</w:t>
      </w:r>
      <w:r>
        <w:t xml:space="preserve"> uses the voice of </w:t>
      </w:r>
      <w:proofErr w:type="spellStart"/>
      <w:r>
        <w:t>Pythagorus</w:t>
      </w:r>
      <w:proofErr w:type="spellEnd"/>
      <w:r>
        <w:t xml:space="preserve"> </w:t>
      </w:r>
      <w:r w:rsidR="00A7074C">
        <w:t>in book 15</w:t>
      </w:r>
      <w:r>
        <w:t xml:space="preserve"> to explore the </w:t>
      </w:r>
      <w:r w:rsidR="005C5A82">
        <w:t xml:space="preserve">tensions in Rome’s recent past, and the </w:t>
      </w:r>
      <w:r>
        <w:t>angst ridden ques</w:t>
      </w:r>
      <w:r w:rsidR="00300030">
        <w:t>tion of Rome’s place in history,</w:t>
      </w:r>
      <w:r>
        <w:t xml:space="preserve"> would it endure</w:t>
      </w:r>
      <w:r w:rsidR="005C5A82">
        <w:t>?</w:t>
      </w:r>
      <w:r w:rsidR="007E2FDB">
        <w:t xml:space="preserve"> </w:t>
      </w:r>
      <w:r w:rsidR="00FE424D">
        <w:rPr>
          <w:color w:val="000000"/>
          <w:lang w:val="en-GB"/>
        </w:rPr>
        <w:t>In the long</w:t>
      </w:r>
      <w:r w:rsidR="00A7074C">
        <w:rPr>
          <w:color w:val="000000"/>
          <w:lang w:val="en-GB"/>
        </w:rPr>
        <w:t xml:space="preserve"> speech</w:t>
      </w:r>
      <w:r w:rsidR="00FE424D">
        <w:rPr>
          <w:color w:val="000000"/>
          <w:lang w:val="en-GB"/>
        </w:rPr>
        <w:t xml:space="preserve"> given to </w:t>
      </w:r>
      <w:proofErr w:type="spellStart"/>
      <w:r w:rsidR="00FE424D">
        <w:rPr>
          <w:color w:val="000000"/>
          <w:lang w:val="en-GB"/>
        </w:rPr>
        <w:t>Pythagorus</w:t>
      </w:r>
      <w:proofErr w:type="spellEnd"/>
      <w:r w:rsidR="00A7074C">
        <w:rPr>
          <w:color w:val="000000"/>
          <w:lang w:val="en-GB"/>
        </w:rPr>
        <w:t xml:space="preserve"> in Book 15 </w:t>
      </w:r>
      <w:r w:rsidR="00FE424D">
        <w:rPr>
          <w:color w:val="000000"/>
          <w:lang w:val="en-GB"/>
        </w:rPr>
        <w:t xml:space="preserve">he </w:t>
      </w:r>
      <w:r w:rsidR="00A7074C">
        <w:rPr>
          <w:color w:val="000000"/>
          <w:lang w:val="en-GB"/>
        </w:rPr>
        <w:t xml:space="preserve">predicts the rise of Rome, </w:t>
      </w:r>
      <w:r w:rsidR="00613D78">
        <w:rPr>
          <w:color w:val="000000"/>
          <w:lang w:val="en-GB"/>
        </w:rPr>
        <w:t xml:space="preserve">embedded within a </w:t>
      </w:r>
      <w:r w:rsidR="00A7074C">
        <w:rPr>
          <w:color w:val="000000"/>
          <w:lang w:val="en-GB"/>
        </w:rPr>
        <w:t>long list of cities that are now just names</w:t>
      </w:r>
      <w:r w:rsidR="00FE424D">
        <w:rPr>
          <w:color w:val="000000"/>
          <w:lang w:val="en-GB"/>
        </w:rPr>
        <w:t>:</w:t>
      </w:r>
      <w:r w:rsidR="00A7074C">
        <w:rPr>
          <w:color w:val="000000"/>
          <w:lang w:val="en-GB"/>
        </w:rPr>
        <w:t xml:space="preserve"> </w:t>
      </w:r>
    </w:p>
    <w:p w14:paraId="401D1F5D" w14:textId="7F5CC0DE" w:rsidR="00A7074C" w:rsidRDefault="00A7074C" w:rsidP="00613D78">
      <w:pPr>
        <w:pStyle w:val="CommentText"/>
        <w:ind w:left="720"/>
        <w:rPr>
          <w:color w:val="000000"/>
          <w:sz w:val="22"/>
          <w:szCs w:val="22"/>
          <w:lang w:val="en-GB"/>
        </w:rPr>
      </w:pPr>
      <w:r w:rsidRPr="00613D78">
        <w:rPr>
          <w:i/>
          <w:sz w:val="22"/>
          <w:szCs w:val="22"/>
          <w:lang w:val="en-GB"/>
        </w:rPr>
        <w:t>“</w:t>
      </w:r>
      <w:r w:rsidR="00613D78" w:rsidRPr="00613D78">
        <w:rPr>
          <w:i/>
          <w:sz w:val="22"/>
          <w:szCs w:val="22"/>
          <w:lang w:val="en-GB"/>
        </w:rPr>
        <w:t xml:space="preserve">Sparta is bare, flat earth, and the towers of Mycenae were toppled; nothing remains of Oedipus’ Thebes or Pandion’s Athens, except for their names. And now word goes out that </w:t>
      </w:r>
      <w:proofErr w:type="spellStart"/>
      <w:r w:rsidR="00613D78" w:rsidRPr="00613D78">
        <w:rPr>
          <w:i/>
          <w:sz w:val="22"/>
          <w:szCs w:val="22"/>
          <w:lang w:val="en-GB"/>
        </w:rPr>
        <w:t>Dardanian</w:t>
      </w:r>
      <w:proofErr w:type="spellEnd"/>
      <w:r w:rsidR="00613D78" w:rsidRPr="00613D78">
        <w:rPr>
          <w:i/>
          <w:sz w:val="22"/>
          <w:szCs w:val="22"/>
          <w:lang w:val="en-GB"/>
        </w:rPr>
        <w:t xml:space="preserve"> Rome is rising … foundations are being laid of a mighty city and empire. Rome is changing her shape as she grows. </w:t>
      </w:r>
      <w:proofErr w:type="spellStart"/>
      <w:r w:rsidR="00613D78" w:rsidRPr="00613D78">
        <w:rPr>
          <w:i/>
          <w:sz w:val="22"/>
          <w:szCs w:val="22"/>
          <w:lang w:val="en-GB"/>
        </w:rPr>
        <w:t>Some time</w:t>
      </w:r>
      <w:proofErr w:type="spellEnd"/>
      <w:r w:rsidR="00613D78" w:rsidRPr="00613D78">
        <w:rPr>
          <w:i/>
          <w:sz w:val="22"/>
          <w:szCs w:val="22"/>
          <w:lang w:val="en-GB"/>
        </w:rPr>
        <w:t xml:space="preserve"> in the future she’ll form the head of the boundless world.”</w:t>
      </w:r>
      <w:r w:rsidRPr="00A7074C">
        <w:rPr>
          <w:sz w:val="22"/>
          <w:szCs w:val="22"/>
          <w:lang w:val="en-GB"/>
        </w:rPr>
        <w:t>(</w:t>
      </w:r>
      <w:r w:rsidR="00613D78">
        <w:rPr>
          <w:i/>
          <w:iCs/>
          <w:sz w:val="22"/>
          <w:szCs w:val="22"/>
          <w:lang w:val="en-GB"/>
        </w:rPr>
        <w:t xml:space="preserve">Metamorphoses </w:t>
      </w:r>
      <w:r w:rsidR="00613D78">
        <w:rPr>
          <w:iCs/>
          <w:sz w:val="22"/>
          <w:szCs w:val="22"/>
          <w:lang w:val="en-GB"/>
        </w:rPr>
        <w:t xml:space="preserve">Book 15 lines </w:t>
      </w:r>
      <w:r w:rsidR="00613D78">
        <w:rPr>
          <w:sz w:val="22"/>
          <w:szCs w:val="22"/>
          <w:lang w:val="en-GB"/>
        </w:rPr>
        <w:t>428-430, 432-434)</w:t>
      </w:r>
      <w:r w:rsidR="00E84E5B">
        <w:rPr>
          <w:rStyle w:val="FootnoteReference"/>
          <w:sz w:val="22"/>
          <w:szCs w:val="22"/>
          <w:lang w:val="en-GB"/>
        </w:rPr>
        <w:footnoteReference w:id="13"/>
      </w:r>
    </w:p>
    <w:p w14:paraId="2E01797A" w14:textId="7DA488E7" w:rsidR="00E074E7" w:rsidRPr="00613D78" w:rsidRDefault="007E2FDB" w:rsidP="00613D78">
      <w:pPr>
        <w:pStyle w:val="CommentText"/>
        <w:rPr>
          <w:sz w:val="22"/>
          <w:szCs w:val="22"/>
        </w:rPr>
      </w:pPr>
      <w:proofErr w:type="spellStart"/>
      <w:r w:rsidRPr="00613D78">
        <w:rPr>
          <w:sz w:val="22"/>
          <w:szCs w:val="22"/>
        </w:rPr>
        <w:t>Hardie</w:t>
      </w:r>
      <w:proofErr w:type="spellEnd"/>
      <w:r w:rsidRPr="00613D78">
        <w:rPr>
          <w:sz w:val="22"/>
          <w:szCs w:val="22"/>
        </w:rPr>
        <w:t xml:space="preserve"> </w:t>
      </w:r>
      <w:proofErr w:type="spellStart"/>
      <w:r w:rsidR="00FE424D">
        <w:rPr>
          <w:sz w:val="22"/>
          <w:szCs w:val="22"/>
        </w:rPr>
        <w:t>constrasts</w:t>
      </w:r>
      <w:proofErr w:type="spellEnd"/>
      <w:r w:rsidRPr="00613D78">
        <w:rPr>
          <w:sz w:val="22"/>
          <w:szCs w:val="22"/>
        </w:rPr>
        <w:t xml:space="preserve"> </w:t>
      </w:r>
      <w:r w:rsidR="00FE424D">
        <w:rPr>
          <w:sz w:val="22"/>
          <w:szCs w:val="22"/>
        </w:rPr>
        <w:t>this with</w:t>
      </w:r>
      <w:r w:rsidRPr="00613D78">
        <w:rPr>
          <w:sz w:val="22"/>
          <w:szCs w:val="22"/>
        </w:rPr>
        <w:t xml:space="preserve"> the speech of Anchises in Aeneid Book 6</w:t>
      </w:r>
      <w:r w:rsidR="00A7074C" w:rsidRPr="00613D78">
        <w:rPr>
          <w:sz w:val="22"/>
          <w:szCs w:val="22"/>
        </w:rPr>
        <w:t xml:space="preserve">, pointing out that while for </w:t>
      </w:r>
      <w:proofErr w:type="spellStart"/>
      <w:r w:rsidR="00A7074C" w:rsidRPr="00613D78">
        <w:rPr>
          <w:sz w:val="22"/>
          <w:szCs w:val="22"/>
        </w:rPr>
        <w:t>Virigil</w:t>
      </w:r>
      <w:proofErr w:type="spellEnd"/>
      <w:r w:rsidR="00E074E7" w:rsidRPr="00613D78">
        <w:rPr>
          <w:sz w:val="22"/>
          <w:szCs w:val="22"/>
        </w:rPr>
        <w:t xml:space="preserve"> </w:t>
      </w:r>
      <w:r w:rsidR="00A7074C" w:rsidRPr="00613D78">
        <w:rPr>
          <w:sz w:val="22"/>
          <w:szCs w:val="22"/>
        </w:rPr>
        <w:t>“</w:t>
      </w:r>
      <w:r w:rsidR="00E074E7" w:rsidRPr="00613D78">
        <w:rPr>
          <w:sz w:val="22"/>
          <w:szCs w:val="22"/>
        </w:rPr>
        <w:t xml:space="preserve">Anchises’ philosophy is merely a preliminary to his history, the story of Rome’s greatness which concludes Pythagoras’ lecture on cosmic metamorphosis is reduced in scale to little more than an example of the </w:t>
      </w:r>
      <w:r w:rsidRPr="00613D78">
        <w:rPr>
          <w:sz w:val="22"/>
          <w:szCs w:val="22"/>
        </w:rPr>
        <w:t xml:space="preserve">[…] </w:t>
      </w:r>
      <w:r w:rsidR="00E074E7" w:rsidRPr="00613D78">
        <w:rPr>
          <w:sz w:val="22"/>
          <w:szCs w:val="22"/>
        </w:rPr>
        <w:t>theme of universal change” (</w:t>
      </w:r>
      <w:proofErr w:type="spellStart"/>
      <w:r w:rsidR="00E074E7" w:rsidRPr="00613D78">
        <w:rPr>
          <w:sz w:val="22"/>
          <w:szCs w:val="22"/>
        </w:rPr>
        <w:t>Hardie</w:t>
      </w:r>
      <w:proofErr w:type="spellEnd"/>
      <w:r w:rsidR="00E074E7" w:rsidRPr="00613D78">
        <w:rPr>
          <w:sz w:val="22"/>
          <w:szCs w:val="22"/>
        </w:rPr>
        <w:t>, 1995, p.211)</w:t>
      </w:r>
    </w:p>
    <w:p w14:paraId="0A1F0A5E" w14:textId="224931F1" w:rsidR="006A025D" w:rsidRDefault="006A025D" w:rsidP="006A025D">
      <w:r>
        <w:t xml:space="preserve">Another key difference, or point of relationship between the two texts, is Ovid’s mini-Aeneid being used to explore the voices of those who are voiceless within the Aeneid, for example </w:t>
      </w:r>
      <w:r w:rsidR="00300030">
        <w:t xml:space="preserve">those of </w:t>
      </w:r>
      <w:r>
        <w:t>Circe and Scylla (see Hinds, 1998, as well as Williams in Dominik et al, 2009)</w:t>
      </w:r>
      <w:r w:rsidR="00FE424D">
        <w:t>.</w:t>
      </w:r>
      <w:r w:rsidR="00E9322A">
        <w:rPr>
          <w:rStyle w:val="FootnoteReference"/>
        </w:rPr>
        <w:footnoteReference w:id="14"/>
      </w:r>
      <w:r>
        <w:t xml:space="preserve"> </w:t>
      </w:r>
    </w:p>
    <w:p w14:paraId="63DD682D" w14:textId="5E62671A" w:rsidR="000B0203" w:rsidRDefault="00300030">
      <w:r>
        <w:t xml:space="preserve">Beyond the playing with and </w:t>
      </w:r>
      <w:proofErr w:type="spellStart"/>
      <w:r>
        <w:t>destablising</w:t>
      </w:r>
      <w:proofErr w:type="spellEnd"/>
      <w:r>
        <w:t xml:space="preserve"> of the </w:t>
      </w:r>
      <w:r w:rsidRPr="00300030">
        <w:rPr>
          <w:i/>
        </w:rPr>
        <w:t>Aeneid</w:t>
      </w:r>
      <w:r>
        <w:t xml:space="preserve"> within the </w:t>
      </w:r>
      <w:r w:rsidRPr="00300030">
        <w:rPr>
          <w:i/>
        </w:rPr>
        <w:t>Metamorphoses</w:t>
      </w:r>
      <w:r>
        <w:t xml:space="preserve">, we can see specific moments in the </w:t>
      </w:r>
      <w:r w:rsidRPr="00300030">
        <w:rPr>
          <w:i/>
        </w:rPr>
        <w:t>Metamorphoses</w:t>
      </w:r>
      <w:r>
        <w:t xml:space="preserve"> where Ovid engages directly with the narrative of </w:t>
      </w:r>
      <w:proofErr w:type="spellStart"/>
      <w:r>
        <w:t>Augustanism</w:t>
      </w:r>
      <w:proofErr w:type="spellEnd"/>
      <w:r>
        <w:t xml:space="preserve">. </w:t>
      </w:r>
      <w:r w:rsidR="00E84E5B">
        <w:t>In</w:t>
      </w:r>
      <w:r w:rsidR="006A025D">
        <w:t xml:space="preserve"> the </w:t>
      </w:r>
      <w:r w:rsidR="00D033E8">
        <w:t>apotheosis of Julius C</w:t>
      </w:r>
      <w:r w:rsidR="000B0203">
        <w:t>a</w:t>
      </w:r>
      <w:r w:rsidR="00D033E8">
        <w:t>e</w:t>
      </w:r>
      <w:r w:rsidR="000B0203">
        <w:t>sa</w:t>
      </w:r>
      <w:r w:rsidR="006A025D">
        <w:t>r</w:t>
      </w:r>
      <w:r w:rsidR="00E84E5B">
        <w:t xml:space="preserve">, there are </w:t>
      </w:r>
      <w:r w:rsidR="00FE424D">
        <w:t xml:space="preserve">deliberate </w:t>
      </w:r>
      <w:r w:rsidR="00E84E5B">
        <w:t xml:space="preserve">ambiguities </w:t>
      </w:r>
      <w:r w:rsidR="00FE424D">
        <w:t>where the text</w:t>
      </w:r>
      <w:r w:rsidR="00E84E5B">
        <w:t xml:space="preserve"> </w:t>
      </w:r>
      <w:r w:rsidR="000B0203">
        <w:t>can be read either as humorous innuendo</w:t>
      </w:r>
      <w:r>
        <w:t>,</w:t>
      </w:r>
      <w:r w:rsidR="000B0203">
        <w:t xml:space="preserve"> </w:t>
      </w:r>
      <w:r>
        <w:t>and/</w:t>
      </w:r>
      <w:r w:rsidR="000B0203">
        <w:t xml:space="preserve">or </w:t>
      </w:r>
      <w:r>
        <w:t xml:space="preserve">as </w:t>
      </w:r>
      <w:r w:rsidR="000B0203">
        <w:t xml:space="preserve">straightforwardly glorifying </w:t>
      </w:r>
      <w:r>
        <w:t xml:space="preserve">both </w:t>
      </w:r>
      <w:r w:rsidR="000B0203">
        <w:t>Caes</w:t>
      </w:r>
      <w:r w:rsidR="00277418">
        <w:t xml:space="preserve">ar and Augustus. </w:t>
      </w:r>
    </w:p>
    <w:p w14:paraId="3FF270BF" w14:textId="091FE255" w:rsidR="000B0203" w:rsidRDefault="000B0203" w:rsidP="0048638D">
      <w:pPr>
        <w:ind w:left="720"/>
      </w:pPr>
      <w:r>
        <w:t>“</w:t>
      </w:r>
      <w:r w:rsidRPr="0048638D">
        <w:rPr>
          <w:i/>
        </w:rPr>
        <w:t>For of Cae</w:t>
      </w:r>
      <w:r w:rsidR="00300030">
        <w:rPr>
          <w:i/>
        </w:rPr>
        <w:t>s</w:t>
      </w:r>
      <w:r w:rsidRPr="0048638D">
        <w:rPr>
          <w:i/>
        </w:rPr>
        <w:t xml:space="preserve">ar’s achievements no accomplishment is great than this, that he found glory as the father of this man (Augustus). It should evidently be thought a greater thing to have tamed the </w:t>
      </w:r>
      <w:r w:rsidRPr="0048638D">
        <w:rPr>
          <w:i/>
        </w:rPr>
        <w:lastRenderedPageBreak/>
        <w:t xml:space="preserve">sea-girt Britons … and to have </w:t>
      </w:r>
      <w:r w:rsidR="0048638D" w:rsidRPr="0048638D">
        <w:rPr>
          <w:i/>
        </w:rPr>
        <w:t>celebrated several triumphs and earned many, than to have fathered so great a man!</w:t>
      </w:r>
      <w:r w:rsidR="0048638D">
        <w:t xml:space="preserve">” (Ovid, </w:t>
      </w:r>
      <w:r w:rsidR="0048638D" w:rsidRPr="0048638D">
        <w:rPr>
          <w:i/>
        </w:rPr>
        <w:t>Metamorphoses</w:t>
      </w:r>
      <w:r w:rsidR="0048638D">
        <w:t xml:space="preserve">, 15.750-2, </w:t>
      </w:r>
      <w:r w:rsidR="00253112">
        <w:t>15.7</w:t>
      </w:r>
      <w:r w:rsidR="0048638D">
        <w:t xml:space="preserve">57-8) </w:t>
      </w:r>
    </w:p>
    <w:p w14:paraId="52DC2687" w14:textId="11FF8899" w:rsidR="00E51388" w:rsidRDefault="0048638D">
      <w:r>
        <w:t xml:space="preserve">As </w:t>
      </w:r>
      <w:proofErr w:type="gramStart"/>
      <w:r>
        <w:t>Williams</w:t>
      </w:r>
      <w:proofErr w:type="gramEnd"/>
      <w:r>
        <w:t xml:space="preserve"> points out of the word</w:t>
      </w:r>
      <w:r w:rsidR="007E2FDB">
        <w:t xml:space="preserve"> in this passage </w:t>
      </w:r>
      <w:r>
        <w:t>‘evidently’</w:t>
      </w:r>
      <w:r w:rsidR="007E2FDB">
        <w:t xml:space="preserve"> (</w:t>
      </w:r>
      <w:r w:rsidR="007E2FDB" w:rsidRPr="007E2FDB">
        <w:rPr>
          <w:i/>
        </w:rPr>
        <w:t>scilicet</w:t>
      </w:r>
      <w:r w:rsidR="007E2FDB">
        <w:t>)</w:t>
      </w:r>
      <w:r>
        <w:t xml:space="preserve"> in this passage</w:t>
      </w:r>
      <w:r w:rsidR="00300030">
        <w:t xml:space="preserve"> has multiple potential readings</w:t>
      </w:r>
      <w:r>
        <w:t>:</w:t>
      </w:r>
      <w:r w:rsidR="00E51388">
        <w:t xml:space="preserve"> “Evident absurdity, or evident truth? The question defies firm answer.” (</w:t>
      </w:r>
      <w:r>
        <w:t xml:space="preserve">Williams in Dominik et al, 2009, </w:t>
      </w:r>
      <w:r w:rsidR="00E51388">
        <w:t>p.218)</w:t>
      </w:r>
      <w:r>
        <w:t xml:space="preserve">. </w:t>
      </w:r>
    </w:p>
    <w:p w14:paraId="474546D3" w14:textId="7FEA70AF" w:rsidR="009277C1" w:rsidRDefault="00FE424D">
      <w:r>
        <w:t>Another key part of Ovid’s description of the apotheosis of Julius Cesar allowing multiple potential readings is this section:</w:t>
      </w:r>
    </w:p>
    <w:p w14:paraId="110900F8" w14:textId="5C643BCF" w:rsidR="00FE424D" w:rsidRDefault="002511DE" w:rsidP="00FE424D">
      <w:pPr>
        <w:ind w:left="720"/>
      </w:pPr>
      <w:r w:rsidRPr="002511DE">
        <w:rPr>
          <w:i/>
        </w:rPr>
        <w:t xml:space="preserve">“Yet Julius’ son could not have been born of seed that was mortal, so Julius had to be made a god. When Aeneas’ golden mother perceived this …. </w:t>
      </w:r>
      <w:proofErr w:type="gramStart"/>
      <w:r w:rsidRPr="002511DE">
        <w:rPr>
          <w:i/>
        </w:rPr>
        <w:t>she</w:t>
      </w:r>
      <w:proofErr w:type="gramEnd"/>
      <w:r w:rsidRPr="002511DE">
        <w:rPr>
          <w:i/>
        </w:rPr>
        <w:t xml:space="preserve"> [Venus] caught the soul of her Caesar up as it passed from his body. She did not allow its component atoms to be dispersed, but carried it straight as it was to the stars in the heavens. During her journey she felt it glowing and catching fire … till it finally took the form of a gleaming star.”</w:t>
      </w:r>
      <w:r>
        <w:t xml:space="preserve"> (Metamorphoses, Book 15, </w:t>
      </w:r>
      <w:r w:rsidR="007E2FDB">
        <w:t>760-61, 844-847, 849)</w:t>
      </w:r>
    </w:p>
    <w:p w14:paraId="62BEEC65" w14:textId="6D3C81B8" w:rsidR="006E2177" w:rsidRPr="0048638D" w:rsidRDefault="0048638D">
      <w:pPr>
        <w:rPr>
          <w:b/>
        </w:rPr>
      </w:pPr>
      <w:r>
        <w:t xml:space="preserve">On the one hand, </w:t>
      </w:r>
      <w:r w:rsidR="007E2FDB">
        <w:t>we can read</w:t>
      </w:r>
      <w:r w:rsidR="00300030">
        <w:t xml:space="preserve"> Ovid a</w:t>
      </w:r>
      <w:r>
        <w:t>s straightforwardly saying</w:t>
      </w:r>
      <w:r w:rsidR="00FE424D">
        <w:t xml:space="preserve"> at this point</w:t>
      </w:r>
      <w:r>
        <w:t xml:space="preserve"> that Julius Caesar had to be mad</w:t>
      </w:r>
      <w:r w:rsidR="00300030">
        <w:t>e</w:t>
      </w:r>
      <w:r>
        <w:t xml:space="preserve"> a God</w:t>
      </w:r>
      <w:r w:rsidR="00300030">
        <w:t>,</w:t>
      </w:r>
      <w:r>
        <w:t xml:space="preserve"> so that Augustus himself could</w:t>
      </w:r>
      <w:r w:rsidR="00300030">
        <w:t xml:space="preserve"> be divine. At the same time, Ovid</w:t>
      </w:r>
      <w:r>
        <w:t xml:space="preserve"> </w:t>
      </w:r>
      <w:r w:rsidR="007E2FDB">
        <w:t>writes</w:t>
      </w:r>
      <w:r>
        <w:t xml:space="preserve"> Julius Caesar’s story, his transformation into a comet, as yet one in the whole series of metamorphoses his work has described, perhaps putting this event in its place, as j</w:t>
      </w:r>
      <w:r w:rsidR="007E2FDB">
        <w:t>ust one more transformation. S</w:t>
      </w:r>
      <w:r w:rsidR="002511DE">
        <w:t>lightly further on,</w:t>
      </w:r>
      <w:r>
        <w:t xml:space="preserve"> referencing the death of Augustu</w:t>
      </w:r>
      <w:r w:rsidR="00FE424D">
        <w:t>s (</w:t>
      </w:r>
      <w:r>
        <w:t>albeit saying he hop</w:t>
      </w:r>
      <w:r w:rsidR="00FE424D">
        <w:t>es it will be far in the future)</w:t>
      </w:r>
      <w:r>
        <w:t xml:space="preserve"> Ovid nods towards yet another transformation facing the Roman people, and calls into question what that transformation will bring for Rome (</w:t>
      </w:r>
      <w:proofErr w:type="spellStart"/>
      <w:r>
        <w:t>Barchiesi</w:t>
      </w:r>
      <w:proofErr w:type="spellEnd"/>
      <w:r>
        <w:t>, 2001, p.77</w:t>
      </w:r>
      <w:r w:rsidR="00300030">
        <w:t>)</w:t>
      </w:r>
      <w:r>
        <w:t xml:space="preserve"> </w:t>
      </w:r>
      <w:r w:rsidR="00E30079">
        <w:t xml:space="preserve"> </w:t>
      </w:r>
    </w:p>
    <w:p w14:paraId="517FD959" w14:textId="77777777" w:rsidR="0048638D" w:rsidRDefault="0048638D" w:rsidP="0048638D">
      <w:r>
        <w:t xml:space="preserve">Having spoken of both Caesar’s apotheosis and Augustus’s future demise, Ovid ends the </w:t>
      </w:r>
      <w:r w:rsidR="00F911DC">
        <w:t>Metamorphosis with these lines:</w:t>
      </w:r>
    </w:p>
    <w:p w14:paraId="30C2126F" w14:textId="003CFF65" w:rsidR="0048638D" w:rsidRDefault="00F911DC" w:rsidP="00F911DC">
      <w:pPr>
        <w:ind w:left="720"/>
      </w:pPr>
      <w:r w:rsidRPr="00F911DC">
        <w:rPr>
          <w:i/>
        </w:rPr>
        <w:t>“Now I have finished my work, which nothing can ever destroy … My name shall never be forgotten. Wherever the might of Rome extends in the lands she has conquered, the people shall read and recite my words. Throughout all ages, if poets have vision to prophesy truth, I shall live in my fame.”</w:t>
      </w:r>
      <w:r>
        <w:t xml:space="preserve"> (Ovid, </w:t>
      </w:r>
      <w:r w:rsidRPr="00F911DC">
        <w:rPr>
          <w:i/>
        </w:rPr>
        <w:t>Metamorphosis</w:t>
      </w:r>
      <w:r>
        <w:t>, 15 871, 876-</w:t>
      </w:r>
      <w:r w:rsidR="00253112">
        <w:t>879</w:t>
      </w:r>
      <w:r>
        <w:t xml:space="preserve">). </w:t>
      </w:r>
    </w:p>
    <w:p w14:paraId="204A03C5" w14:textId="14B4AAA2" w:rsidR="0048638D" w:rsidRDefault="00F911DC">
      <w:r>
        <w:t xml:space="preserve">Juxtaposed directly with </w:t>
      </w:r>
      <w:r w:rsidR="00232A8C">
        <w:t>the</w:t>
      </w:r>
      <w:r>
        <w:t xml:space="preserve"> mutability </w:t>
      </w:r>
      <w:r w:rsidR="00232A8C">
        <w:t xml:space="preserve">and impermanence </w:t>
      </w:r>
      <w:r>
        <w:t xml:space="preserve">he has just ascribed to Caesar and Augustus, the culmination of the poem with </w:t>
      </w:r>
      <w:r w:rsidR="00103344">
        <w:t>this</w:t>
      </w:r>
      <w:r w:rsidR="00232A8C">
        <w:t xml:space="preserve"> </w:t>
      </w:r>
      <w:r w:rsidR="00253112">
        <w:t xml:space="preserve">bold </w:t>
      </w:r>
      <w:r w:rsidR="00232A8C">
        <w:t>claim</w:t>
      </w:r>
      <w:r w:rsidR="00253112">
        <w:t xml:space="preserve"> </w:t>
      </w:r>
      <w:proofErr w:type="spellStart"/>
      <w:r w:rsidR="00253112" w:rsidRPr="00253112">
        <w:rPr>
          <w:i/>
        </w:rPr>
        <w:t>Vivam</w:t>
      </w:r>
      <w:proofErr w:type="spellEnd"/>
      <w:r w:rsidR="00253112">
        <w:t xml:space="preserve"> (I shall live)</w:t>
      </w:r>
      <w:r w:rsidR="00232A8C">
        <w:t xml:space="preserve"> of his </w:t>
      </w:r>
      <w:r>
        <w:t xml:space="preserve">own immortality through his work </w:t>
      </w:r>
      <w:r w:rsidR="00232A8C">
        <w:t>can be read as</w:t>
      </w:r>
      <w:r>
        <w:t xml:space="preserve"> a joyful and defiant contrast to the pervasive power of Augustus, whose r</w:t>
      </w:r>
      <w:r w:rsidR="00232A8C">
        <w:t>egime</w:t>
      </w:r>
      <w:r>
        <w:t xml:space="preserve"> </w:t>
      </w:r>
      <w:r w:rsidR="00232A8C">
        <w:t>Ovid has</w:t>
      </w:r>
      <w:r>
        <w:t xml:space="preserve"> constantly ha</w:t>
      </w:r>
      <w:r w:rsidR="00232A8C">
        <w:t>d</w:t>
      </w:r>
      <w:r>
        <w:t xml:space="preserve"> to negotiate throug</w:t>
      </w:r>
      <w:r w:rsidR="00232A8C">
        <w:t>h</w:t>
      </w:r>
      <w:r>
        <w:t xml:space="preserve">out his writing. </w:t>
      </w:r>
    </w:p>
    <w:p w14:paraId="527F4F11" w14:textId="77777777" w:rsidR="006E2177" w:rsidRPr="00F911DC" w:rsidRDefault="00F911DC">
      <w:pPr>
        <w:rPr>
          <w:b/>
        </w:rPr>
      </w:pPr>
      <w:r>
        <w:rPr>
          <w:b/>
        </w:rPr>
        <w:t>Conclusion</w:t>
      </w:r>
    </w:p>
    <w:p w14:paraId="79092959" w14:textId="3919C534" w:rsidR="005C5A82" w:rsidRDefault="005C5A82" w:rsidP="005C5A82">
      <w:pPr>
        <w:rPr>
          <w:b/>
        </w:rPr>
      </w:pPr>
      <w:r>
        <w:t>In conclusion, some of the most exciting writing on Roman poetry puts into question not simply the binary question of pro</w:t>
      </w:r>
      <w:r w:rsidR="00232A8C">
        <w:t>-</w:t>
      </w:r>
      <w:r>
        <w:t xml:space="preserve"> or anti</w:t>
      </w:r>
      <w:r w:rsidR="00232A8C">
        <w:t>-</w:t>
      </w:r>
      <w:r>
        <w:t xml:space="preserve"> Augustus, but </w:t>
      </w:r>
      <w:r w:rsidR="00103344">
        <w:t>explores</w:t>
      </w:r>
      <w:r w:rsidR="00232A8C">
        <w:t xml:space="preserve"> </w:t>
      </w:r>
      <w:r>
        <w:t xml:space="preserve">the role of the poets in co-constructing </w:t>
      </w:r>
      <w:proofErr w:type="spellStart"/>
      <w:r>
        <w:t>Augustanism</w:t>
      </w:r>
      <w:proofErr w:type="spellEnd"/>
      <w:r>
        <w:t>, through reifying, questioning, exploring and probing the complexities of Augustan ideology and the Augustan sett</w:t>
      </w:r>
      <w:r w:rsidR="00301AC4">
        <w:t xml:space="preserve">lement. </w:t>
      </w:r>
      <w:r w:rsidR="00103344">
        <w:t>The</w:t>
      </w:r>
      <w:r>
        <w:t xml:space="preserve"> ambiguities and tensions </w:t>
      </w:r>
      <w:r w:rsidR="00103344">
        <w:t>in</w:t>
      </w:r>
      <w:r>
        <w:t xml:space="preserve"> both Virgil and Ovid’s texts</w:t>
      </w:r>
      <w:r w:rsidR="00232A8C">
        <w:t xml:space="preserve"> </w:t>
      </w:r>
      <w:r w:rsidR="00301AC4">
        <w:t>reflect</w:t>
      </w:r>
      <w:r>
        <w:t xml:space="preserve"> the tensions and ambiguities within </w:t>
      </w:r>
      <w:proofErr w:type="spellStart"/>
      <w:r>
        <w:t>Augustanism</w:t>
      </w:r>
      <w:proofErr w:type="spellEnd"/>
      <w:r>
        <w:t xml:space="preserve"> itself (</w:t>
      </w:r>
      <w:proofErr w:type="spellStart"/>
      <w:r w:rsidR="00103344">
        <w:t>Barchiesi</w:t>
      </w:r>
      <w:proofErr w:type="spellEnd"/>
      <w:r w:rsidR="00103344">
        <w:t xml:space="preserve">, 1997, </w:t>
      </w:r>
      <w:r>
        <w:t xml:space="preserve">p.7) </w:t>
      </w:r>
    </w:p>
    <w:p w14:paraId="6F8423EE" w14:textId="0C554CA5" w:rsidR="006A025D" w:rsidRDefault="00AA700A" w:rsidP="006A025D">
      <w:r>
        <w:t>We need to understand the poets’</w:t>
      </w:r>
      <w:r w:rsidR="005C5A82">
        <w:t xml:space="preserve"> work through understanding Augustus, not </w:t>
      </w:r>
      <w:r>
        <w:t>only</w:t>
      </w:r>
      <w:r w:rsidR="005C5A82">
        <w:t xml:space="preserve"> as a person, but as </w:t>
      </w:r>
      <w:r>
        <w:t>an idea, a collective invention, in which they played their part.</w:t>
      </w:r>
      <w:r w:rsidR="005C5A82">
        <w:t xml:space="preserve"> </w:t>
      </w:r>
      <w:proofErr w:type="spellStart"/>
      <w:r w:rsidR="005C5A82">
        <w:t>Augustanism</w:t>
      </w:r>
      <w:proofErr w:type="spellEnd"/>
      <w:r w:rsidR="005C5A82">
        <w:t>, as all</w:t>
      </w:r>
      <w:r w:rsidR="006A025D">
        <w:t xml:space="preserve"> language</w:t>
      </w:r>
      <w:r w:rsidR="005C5A82">
        <w:t xml:space="preserve"> and power structures, was </w:t>
      </w:r>
      <w:r w:rsidR="006A025D">
        <w:t>fluid, dynamic, contested (</w:t>
      </w:r>
      <w:r>
        <w:t>Kennedy in Powell et al 1992</w:t>
      </w:r>
      <w:r>
        <w:t xml:space="preserve">, </w:t>
      </w:r>
      <w:r w:rsidR="006A025D">
        <w:t>p</w:t>
      </w:r>
      <w:r w:rsidR="005C5A82">
        <w:t xml:space="preserve">40). Kennedy draws </w:t>
      </w:r>
      <w:r>
        <w:t xml:space="preserve">our </w:t>
      </w:r>
      <w:r w:rsidR="005C5A82">
        <w:lastRenderedPageBreak/>
        <w:t xml:space="preserve">attention to the reader’s interpretation of these texts and </w:t>
      </w:r>
      <w:r w:rsidR="00232A8C">
        <w:t xml:space="preserve">specific </w:t>
      </w:r>
      <w:r w:rsidR="005C5A82">
        <w:t>passages</w:t>
      </w:r>
      <w:r w:rsidR="00232A8C">
        <w:t xml:space="preserve"> within them as reflecting the reader’s</w:t>
      </w:r>
      <w:r w:rsidR="005C5A82">
        <w:t xml:space="preserve"> own</w:t>
      </w:r>
      <w:r w:rsidR="00232A8C">
        <w:t xml:space="preserve"> stance or ideology. In other words, as we ask and </w:t>
      </w:r>
      <w:r w:rsidR="005C5A82">
        <w:t xml:space="preserve">seek to answer the question of </w:t>
      </w:r>
      <w:r w:rsidR="00232A8C">
        <w:t xml:space="preserve">how </w:t>
      </w:r>
      <w:proofErr w:type="spellStart"/>
      <w:r w:rsidR="005C5A82">
        <w:t>Augustanism</w:t>
      </w:r>
      <w:proofErr w:type="spellEnd"/>
      <w:r w:rsidR="00232A8C">
        <w:t xml:space="preserve"> is reflected</w:t>
      </w:r>
      <w:r w:rsidR="005C5A82">
        <w:t xml:space="preserve"> in these texts, </w:t>
      </w:r>
      <w:r w:rsidR="00232A8C">
        <w:t>we are seeking to understand its reception by</w:t>
      </w:r>
      <w:r w:rsidR="005C5A82">
        <w:t xml:space="preserve"> the Roman citizens, but equally </w:t>
      </w:r>
      <w:r w:rsidR="00232A8C">
        <w:t xml:space="preserve">reflecting </w:t>
      </w:r>
      <w:r w:rsidR="005C5A82">
        <w:t>our own</w:t>
      </w:r>
      <w:r w:rsidR="00103344">
        <w:t xml:space="preserve"> reception of these texts</w:t>
      </w:r>
      <w:r w:rsidR="005C5A82">
        <w:t xml:space="preserve">. </w:t>
      </w:r>
    </w:p>
    <w:p w14:paraId="3B63512E" w14:textId="1C869D6D" w:rsidR="006E2177" w:rsidRDefault="00232A8C">
      <w:r>
        <w:t>N</w:t>
      </w:r>
      <w:r w:rsidR="006E2177">
        <w:t>either Virgil nor Ovid can be pigeonholed</w:t>
      </w:r>
      <w:r>
        <w:t xml:space="preserve"> or understood </w:t>
      </w:r>
      <w:r w:rsidR="006E2177">
        <w:t>as writing s</w:t>
      </w:r>
      <w:r w:rsidR="00301AC4">
        <w:t>imply</w:t>
      </w:r>
      <w:r w:rsidR="006E2177">
        <w:t xml:space="preserve"> pro</w:t>
      </w:r>
      <w:r>
        <w:t>-</w:t>
      </w:r>
      <w:r w:rsidR="006E2177">
        <w:t xml:space="preserve"> or anti</w:t>
      </w:r>
      <w:r>
        <w:t>-</w:t>
      </w:r>
      <w:r w:rsidR="006E2177">
        <w:t xml:space="preserve"> Augustus. Instead both texts in </w:t>
      </w:r>
      <w:r>
        <w:t xml:space="preserve">their </w:t>
      </w:r>
      <w:r w:rsidR="006E2177">
        <w:t xml:space="preserve">different ways are </w:t>
      </w:r>
      <w:r>
        <w:t xml:space="preserve">most excitingly understood as </w:t>
      </w:r>
      <w:r w:rsidR="006E2177">
        <w:t xml:space="preserve">subtle reflections on the tensions within </w:t>
      </w:r>
      <w:proofErr w:type="spellStart"/>
      <w:r w:rsidR="006E2177">
        <w:t>Augustanism</w:t>
      </w:r>
      <w:proofErr w:type="spellEnd"/>
      <w:r w:rsidR="006E2177">
        <w:t xml:space="preserve">, between tradition and novelty, </w:t>
      </w:r>
      <w:r>
        <w:t>between the tropes</w:t>
      </w:r>
      <w:r w:rsidR="006E2177">
        <w:t xml:space="preserve"> of </w:t>
      </w:r>
      <w:r>
        <w:t xml:space="preserve">Rome’s </w:t>
      </w:r>
      <w:r w:rsidR="006E2177">
        <w:t xml:space="preserve">Republican </w:t>
      </w:r>
      <w:r w:rsidR="006E2177" w:rsidRPr="005C5A82">
        <w:rPr>
          <w:i/>
        </w:rPr>
        <w:t>mores</w:t>
      </w:r>
      <w:r w:rsidR="006E2177">
        <w:t xml:space="preserve"> versus the reality of </w:t>
      </w:r>
      <w:r w:rsidR="005C5A82">
        <w:t>monarchical rule, p</w:t>
      </w:r>
      <w:r w:rsidR="006E2177">
        <w:t>ietas versus furor, perm</w:t>
      </w:r>
      <w:r w:rsidR="005C5A82">
        <w:t>anence and change</w:t>
      </w:r>
      <w:r w:rsidR="00E9322A">
        <w:t>. Both</w:t>
      </w:r>
      <w:r w:rsidR="005C5A82">
        <w:t xml:space="preserve"> </w:t>
      </w:r>
      <w:r w:rsidR="005C5A82" w:rsidRPr="006A1B55">
        <w:t xml:space="preserve">Virgil’s </w:t>
      </w:r>
      <w:r w:rsidR="005C5A82" w:rsidRPr="006A1B55">
        <w:rPr>
          <w:i/>
        </w:rPr>
        <w:t>Aeneid</w:t>
      </w:r>
      <w:r w:rsidR="005C5A82" w:rsidRPr="006A1B55">
        <w:t xml:space="preserve"> and Ovid’s </w:t>
      </w:r>
      <w:r w:rsidR="005C5A82" w:rsidRPr="006A1B55">
        <w:rPr>
          <w:i/>
        </w:rPr>
        <w:t xml:space="preserve">Metamorphoses </w:t>
      </w:r>
      <w:r w:rsidR="00283427">
        <w:t>served to reify Rome</w:t>
      </w:r>
      <w:r>
        <w:t xml:space="preserve"> and Augustus</w:t>
      </w:r>
      <w:r w:rsidR="00283427">
        <w:t xml:space="preserve">, </w:t>
      </w:r>
      <w:r>
        <w:t>whilst</w:t>
      </w:r>
      <w:r w:rsidR="005C5A82">
        <w:t xml:space="preserve"> </w:t>
      </w:r>
      <w:r w:rsidR="00283427">
        <w:t>reflect</w:t>
      </w:r>
      <w:r>
        <w:t>ing on and</w:t>
      </w:r>
      <w:r w:rsidR="00283427">
        <w:t xml:space="preserve"> back to the people of Rome the tensions</w:t>
      </w:r>
      <w:r w:rsidR="005C5A82">
        <w:t>,</w:t>
      </w:r>
      <w:r w:rsidR="00283427">
        <w:t xml:space="preserve"> questions, hope and f</w:t>
      </w:r>
      <w:r>
        <w:t>ears that they were living with. As such they both also</w:t>
      </w:r>
      <w:r w:rsidR="005C5A82">
        <w:t xml:space="preserve"> served to</w:t>
      </w:r>
      <w:r w:rsidR="00301AC4">
        <w:t xml:space="preserve"> uphold,</w:t>
      </w:r>
      <w:r w:rsidR="005C5A82">
        <w:t xml:space="preserve"> shape</w:t>
      </w:r>
      <w:r w:rsidR="00301AC4">
        <w:t>, shine a light upon,</w:t>
      </w:r>
      <w:r w:rsidR="005C5A82">
        <w:t xml:space="preserve"> </w:t>
      </w:r>
      <w:r w:rsidR="00301AC4">
        <w:t xml:space="preserve">and </w:t>
      </w:r>
      <w:proofErr w:type="spellStart"/>
      <w:r w:rsidR="00301AC4">
        <w:t>problematise</w:t>
      </w:r>
      <w:proofErr w:type="spellEnd"/>
      <w:r w:rsidR="00301AC4">
        <w:t xml:space="preserve"> </w:t>
      </w:r>
      <w:r w:rsidR="005C5A82">
        <w:t>the idea that was and is</w:t>
      </w:r>
      <w:r w:rsidR="00283427">
        <w:t xml:space="preserve"> </w:t>
      </w:r>
      <w:proofErr w:type="spellStart"/>
      <w:r w:rsidR="00283427">
        <w:t>Augustanism</w:t>
      </w:r>
      <w:proofErr w:type="spellEnd"/>
      <w:r w:rsidR="005C5A82">
        <w:t>,</w:t>
      </w:r>
      <w:r w:rsidR="00283427">
        <w:t xml:space="preserve"> for their own and </w:t>
      </w:r>
      <w:r w:rsidR="00301AC4">
        <w:t>all subsequent</w:t>
      </w:r>
      <w:r w:rsidR="00283427">
        <w:t xml:space="preserve"> generations. </w:t>
      </w:r>
      <w:r w:rsidR="006E2177">
        <w:t xml:space="preserve"> </w:t>
      </w:r>
    </w:p>
    <w:p w14:paraId="6C2E24F4" w14:textId="7F4360A0" w:rsidR="007E3DD8" w:rsidRDefault="00301AC4">
      <w:r>
        <w:t>3,</w:t>
      </w:r>
      <w:r w:rsidR="00577CB0">
        <w:t>4</w:t>
      </w:r>
      <w:r w:rsidR="00AA700A">
        <w:t>63</w:t>
      </w:r>
      <w:bookmarkStart w:id="0" w:name="_GoBack"/>
      <w:bookmarkEnd w:id="0"/>
      <w:r>
        <w:t xml:space="preserve"> words</w:t>
      </w:r>
      <w:r w:rsidR="007E3DD8">
        <w:br w:type="page"/>
      </w:r>
    </w:p>
    <w:p w14:paraId="414C9D47" w14:textId="77777777" w:rsidR="007E3DD8" w:rsidRPr="00232A8C" w:rsidRDefault="007E3DD8">
      <w:pPr>
        <w:rPr>
          <w:b/>
        </w:rPr>
      </w:pPr>
      <w:r w:rsidRPr="00232A8C">
        <w:rPr>
          <w:b/>
        </w:rPr>
        <w:lastRenderedPageBreak/>
        <w:t>Bibliography</w:t>
      </w:r>
    </w:p>
    <w:p w14:paraId="5F57C603" w14:textId="18462937"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BALSLEY, K., 2011. </w:t>
      </w:r>
      <w:r w:rsidR="009722CC">
        <w:rPr>
          <w:rFonts w:ascii="Calibri" w:eastAsia="Times New Roman" w:hAnsi="Calibri" w:cs="Calibri"/>
          <w:color w:val="1D2228"/>
        </w:rPr>
        <w:t>“</w:t>
      </w:r>
      <w:proofErr w:type="spellStart"/>
      <w:r w:rsidRPr="002E26DA">
        <w:rPr>
          <w:rFonts w:ascii="Calibri" w:eastAsia="Times New Roman" w:hAnsi="Calibri" w:cs="Calibri"/>
          <w:i/>
          <w:color w:val="1D2228"/>
        </w:rPr>
        <w:t>Truthseeking</w:t>
      </w:r>
      <w:proofErr w:type="spellEnd"/>
      <w:r w:rsidRPr="002E26DA">
        <w:rPr>
          <w:rFonts w:ascii="Calibri" w:eastAsia="Times New Roman" w:hAnsi="Calibri" w:cs="Calibri"/>
          <w:i/>
          <w:color w:val="1D2228"/>
        </w:rPr>
        <w:t xml:space="preserve"> and </w:t>
      </w:r>
      <w:proofErr w:type="spellStart"/>
      <w:r w:rsidRPr="002E26DA">
        <w:rPr>
          <w:rFonts w:ascii="Calibri" w:eastAsia="Times New Roman" w:hAnsi="Calibri" w:cs="Calibri"/>
          <w:i/>
          <w:color w:val="1D2228"/>
        </w:rPr>
        <w:t>Truthmaking</w:t>
      </w:r>
      <w:proofErr w:type="spellEnd"/>
      <w:r w:rsidRPr="002E26DA">
        <w:rPr>
          <w:rFonts w:ascii="Calibri" w:eastAsia="Times New Roman" w:hAnsi="Calibri" w:cs="Calibri"/>
          <w:i/>
          <w:color w:val="1D2228"/>
        </w:rPr>
        <w:t xml:space="preserve"> in Ovid's Metamorphoses</w:t>
      </w:r>
      <w:r w:rsidR="009722CC">
        <w:rPr>
          <w:rFonts w:ascii="Calibri" w:eastAsia="Times New Roman" w:hAnsi="Calibri" w:cs="Calibri"/>
          <w:i/>
          <w:color w:val="1D2228"/>
        </w:rPr>
        <w:t>”</w:t>
      </w:r>
      <w:r w:rsidRPr="002E26DA">
        <w:rPr>
          <w:rFonts w:ascii="Calibri" w:eastAsia="Times New Roman" w:hAnsi="Calibri" w:cs="Calibri"/>
          <w:color w:val="1D2228"/>
        </w:rPr>
        <w:t xml:space="preserve"> 1.163–245. Law and Literature, 23(1), pp. 48-70.</w:t>
      </w:r>
    </w:p>
    <w:p w14:paraId="45544711"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4D37392E" w14:textId="024DBBFD"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BARCHIESI, A.</w:t>
      </w:r>
      <w:r w:rsidR="009722CC">
        <w:rPr>
          <w:rFonts w:ascii="Calibri" w:eastAsia="Times New Roman" w:hAnsi="Calibri" w:cs="Calibri"/>
          <w:color w:val="1D2228"/>
        </w:rPr>
        <w:t xml:space="preserve">, 1997. </w:t>
      </w:r>
      <w:r w:rsidR="009722CC" w:rsidRPr="009722CC">
        <w:rPr>
          <w:rFonts w:ascii="Calibri" w:eastAsia="Times New Roman" w:hAnsi="Calibri" w:cs="Calibri"/>
          <w:i/>
          <w:color w:val="1D2228"/>
        </w:rPr>
        <w:t>The poet and the prince</w:t>
      </w:r>
      <w:r w:rsidRPr="002E26DA">
        <w:rPr>
          <w:rFonts w:ascii="Calibri" w:eastAsia="Times New Roman" w:hAnsi="Calibri" w:cs="Calibri"/>
          <w:i/>
          <w:color w:val="1D2228"/>
        </w:rPr>
        <w:t>: Ovid and Augustan discourse</w:t>
      </w:r>
      <w:r w:rsidRPr="002E26DA">
        <w:rPr>
          <w:rFonts w:ascii="Calibri" w:eastAsia="Times New Roman" w:hAnsi="Calibri" w:cs="Calibri"/>
          <w:color w:val="1D2228"/>
        </w:rPr>
        <w:t>. Berkeley, Calif: University of California Press.</w:t>
      </w:r>
    </w:p>
    <w:p w14:paraId="5A998A07"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4F511319" w14:textId="346B2017"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BARCHIESI, A., FOX, M. and MARCH</w:t>
      </w:r>
      <w:r w:rsidR="009722CC">
        <w:rPr>
          <w:rFonts w:ascii="Calibri" w:eastAsia="Times New Roman" w:hAnsi="Calibri" w:cs="Calibri"/>
          <w:color w:val="1D2228"/>
        </w:rPr>
        <w:t xml:space="preserve">ESI, S., 2001. </w:t>
      </w:r>
      <w:r w:rsidR="009722CC" w:rsidRPr="009722CC">
        <w:rPr>
          <w:rFonts w:ascii="Calibri" w:eastAsia="Times New Roman" w:hAnsi="Calibri" w:cs="Calibri"/>
          <w:i/>
          <w:color w:val="1D2228"/>
        </w:rPr>
        <w:t>Speaking volumes</w:t>
      </w:r>
      <w:r w:rsidRPr="002E26DA">
        <w:rPr>
          <w:rFonts w:ascii="Calibri" w:eastAsia="Times New Roman" w:hAnsi="Calibri" w:cs="Calibri"/>
          <w:i/>
          <w:color w:val="1D2228"/>
        </w:rPr>
        <w:t xml:space="preserve">: narrative and </w:t>
      </w:r>
      <w:proofErr w:type="spellStart"/>
      <w:r w:rsidRPr="002E26DA">
        <w:rPr>
          <w:rFonts w:ascii="Calibri" w:eastAsia="Times New Roman" w:hAnsi="Calibri" w:cs="Calibri"/>
          <w:i/>
          <w:color w:val="1D2228"/>
        </w:rPr>
        <w:t>intertext</w:t>
      </w:r>
      <w:proofErr w:type="spellEnd"/>
      <w:r w:rsidRPr="002E26DA">
        <w:rPr>
          <w:rFonts w:ascii="Calibri" w:eastAsia="Times New Roman" w:hAnsi="Calibri" w:cs="Calibri"/>
          <w:i/>
          <w:color w:val="1D2228"/>
        </w:rPr>
        <w:t xml:space="preserve"> in Ovid and other Latin poets</w:t>
      </w:r>
      <w:r w:rsidRPr="002E26DA">
        <w:rPr>
          <w:rFonts w:ascii="Calibri" w:eastAsia="Times New Roman" w:hAnsi="Calibri" w:cs="Calibri"/>
          <w:color w:val="1D2228"/>
        </w:rPr>
        <w:t>. London: Duckworth.</w:t>
      </w:r>
    </w:p>
    <w:p w14:paraId="745676C7"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1CF3E279" w14:textId="58A7FD4F"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BOYLE, A.J</w:t>
      </w:r>
      <w:r w:rsidR="009722CC">
        <w:rPr>
          <w:rFonts w:ascii="Calibri" w:eastAsia="Times New Roman" w:hAnsi="Calibri" w:cs="Calibri"/>
          <w:color w:val="1D2228"/>
        </w:rPr>
        <w:t xml:space="preserve">., 1993a. </w:t>
      </w:r>
      <w:r w:rsidR="009722CC" w:rsidRPr="009722CC">
        <w:rPr>
          <w:rFonts w:ascii="Calibri" w:eastAsia="Times New Roman" w:hAnsi="Calibri" w:cs="Calibri"/>
          <w:i/>
          <w:color w:val="1D2228"/>
        </w:rPr>
        <w:t>Roman epic</w:t>
      </w:r>
      <w:r w:rsidR="009722CC">
        <w:rPr>
          <w:rFonts w:ascii="Calibri" w:eastAsia="Times New Roman" w:hAnsi="Calibri" w:cs="Calibri"/>
          <w:color w:val="1D2228"/>
        </w:rPr>
        <w:t>. London</w:t>
      </w:r>
      <w:r w:rsidRPr="002E26DA">
        <w:rPr>
          <w:rFonts w:ascii="Calibri" w:eastAsia="Times New Roman" w:hAnsi="Calibri" w:cs="Calibri"/>
          <w:color w:val="1D2228"/>
        </w:rPr>
        <w:t>: Routledge.</w:t>
      </w:r>
    </w:p>
    <w:p w14:paraId="53440F5A"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750DCFE6" w14:textId="121E4BB4"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CASALI, S., 2006. </w:t>
      </w:r>
      <w:r w:rsidR="009722CC" w:rsidRPr="009722CC">
        <w:rPr>
          <w:rFonts w:ascii="Calibri" w:eastAsia="Times New Roman" w:hAnsi="Calibri" w:cs="Calibri"/>
          <w:i/>
          <w:color w:val="1D2228"/>
        </w:rPr>
        <w:t>“The making of the shield: inspiration and repression in the Aeneid”</w:t>
      </w:r>
      <w:r w:rsidR="009722CC">
        <w:rPr>
          <w:rFonts w:ascii="Calibri" w:eastAsia="Times New Roman" w:hAnsi="Calibri" w:cs="Calibri"/>
          <w:color w:val="1D2228"/>
        </w:rPr>
        <w:t xml:space="preserve">. </w:t>
      </w:r>
      <w:r w:rsidRPr="002E26DA">
        <w:rPr>
          <w:rFonts w:ascii="Calibri" w:eastAsia="Times New Roman" w:hAnsi="Calibri" w:cs="Calibri"/>
          <w:color w:val="1D2228"/>
        </w:rPr>
        <w:t>Greece &amp; Rome, 53(2), pp. 185-204.</w:t>
      </w:r>
    </w:p>
    <w:p w14:paraId="2DEDB373"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130A1739" w14:textId="7A2E8F16"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DE LUCE, J., 2005. </w:t>
      </w:r>
      <w:r w:rsidR="000428A8">
        <w:rPr>
          <w:rFonts w:ascii="Calibri" w:eastAsia="Times New Roman" w:hAnsi="Calibri" w:cs="Calibri"/>
          <w:color w:val="1D2228"/>
        </w:rPr>
        <w:t>“</w:t>
      </w:r>
      <w:r w:rsidRPr="002E26DA">
        <w:rPr>
          <w:rFonts w:ascii="Calibri" w:eastAsia="Times New Roman" w:hAnsi="Calibri" w:cs="Calibri"/>
          <w:i/>
          <w:color w:val="1D2228"/>
        </w:rPr>
        <w:t>Roman Myth</w:t>
      </w:r>
      <w:r w:rsidR="000428A8">
        <w:rPr>
          <w:rFonts w:ascii="Calibri" w:eastAsia="Times New Roman" w:hAnsi="Calibri" w:cs="Calibri"/>
          <w:i/>
          <w:color w:val="1D2228"/>
        </w:rPr>
        <w:t>”</w:t>
      </w:r>
      <w:r w:rsidRPr="002E26DA">
        <w:rPr>
          <w:rFonts w:ascii="Calibri" w:eastAsia="Times New Roman" w:hAnsi="Calibri" w:cs="Calibri"/>
          <w:color w:val="1D2228"/>
        </w:rPr>
        <w:t>. The Classical World, 98(2), pp. 202-205.</w:t>
      </w:r>
    </w:p>
    <w:p w14:paraId="0529B463"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2BF9E2CD" w14:textId="77777777"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DOMINIK, W.J., GARTHWAITE, J. and ROCHE, P.A., 2009. </w:t>
      </w:r>
      <w:r w:rsidRPr="002E26DA">
        <w:rPr>
          <w:rFonts w:ascii="Calibri" w:eastAsia="Times New Roman" w:hAnsi="Calibri" w:cs="Calibri"/>
          <w:i/>
          <w:color w:val="1D2228"/>
        </w:rPr>
        <w:t>Writing Politics in Imperial Rome</w:t>
      </w:r>
      <w:r w:rsidRPr="002E26DA">
        <w:rPr>
          <w:rFonts w:ascii="Calibri" w:eastAsia="Times New Roman" w:hAnsi="Calibri" w:cs="Calibri"/>
          <w:color w:val="1D2228"/>
        </w:rPr>
        <w:t xml:space="preserve">. Leiden, </w:t>
      </w:r>
      <w:proofErr w:type="gramStart"/>
      <w:r w:rsidRPr="002E26DA">
        <w:rPr>
          <w:rFonts w:ascii="Calibri" w:eastAsia="Times New Roman" w:hAnsi="Calibri" w:cs="Calibri"/>
          <w:color w:val="1D2228"/>
        </w:rPr>
        <w:t>The</w:t>
      </w:r>
      <w:proofErr w:type="gramEnd"/>
      <w:r w:rsidRPr="002E26DA">
        <w:rPr>
          <w:rFonts w:ascii="Calibri" w:eastAsia="Times New Roman" w:hAnsi="Calibri" w:cs="Calibri"/>
          <w:color w:val="1D2228"/>
        </w:rPr>
        <w:t xml:space="preserve"> Netherlands: Brill.</w:t>
      </w:r>
    </w:p>
    <w:p w14:paraId="2C7EAC17"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129CAB20" w14:textId="34845B70"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DOMINIK, W.J., 2009. </w:t>
      </w:r>
      <w:r w:rsidR="000428A8">
        <w:rPr>
          <w:rFonts w:ascii="Calibri" w:eastAsia="Times New Roman" w:hAnsi="Calibri" w:cs="Calibri"/>
          <w:i/>
          <w:color w:val="1D2228"/>
        </w:rPr>
        <w:t>Vergil’s</w:t>
      </w:r>
      <w:r w:rsidRPr="002E26DA">
        <w:rPr>
          <w:rFonts w:ascii="Calibri" w:eastAsia="Times New Roman" w:hAnsi="Calibri" w:cs="Calibri"/>
          <w:i/>
          <w:color w:val="1D2228"/>
        </w:rPr>
        <w:t xml:space="preserve"> Geopolitics</w:t>
      </w:r>
      <w:r w:rsidRPr="002E26DA">
        <w:rPr>
          <w:rFonts w:ascii="Calibri" w:eastAsia="Times New Roman" w:hAnsi="Calibri" w:cs="Calibri"/>
          <w:color w:val="1D2228"/>
        </w:rPr>
        <w:t xml:space="preserve">. Leiden, </w:t>
      </w:r>
      <w:proofErr w:type="gramStart"/>
      <w:r w:rsidRPr="002E26DA">
        <w:rPr>
          <w:rFonts w:ascii="Calibri" w:eastAsia="Times New Roman" w:hAnsi="Calibri" w:cs="Calibri"/>
          <w:color w:val="1D2228"/>
        </w:rPr>
        <w:t>The</w:t>
      </w:r>
      <w:proofErr w:type="gramEnd"/>
      <w:r w:rsidRPr="002E26DA">
        <w:rPr>
          <w:rFonts w:ascii="Calibri" w:eastAsia="Times New Roman" w:hAnsi="Calibri" w:cs="Calibri"/>
          <w:color w:val="1D2228"/>
        </w:rPr>
        <w:t xml:space="preserve"> Netherlands: Brill, pp. 111-132.</w:t>
      </w:r>
    </w:p>
    <w:p w14:paraId="0930A5E8"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2A597259" w14:textId="287DF6DB"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EDER, W., 1990. </w:t>
      </w:r>
      <w:r w:rsidR="000428A8">
        <w:rPr>
          <w:rFonts w:ascii="Calibri" w:eastAsia="Times New Roman" w:hAnsi="Calibri" w:cs="Calibri"/>
          <w:color w:val="1D2228"/>
        </w:rPr>
        <w:t>“</w:t>
      </w:r>
      <w:r w:rsidRPr="002E26DA">
        <w:rPr>
          <w:rFonts w:ascii="Calibri" w:eastAsia="Times New Roman" w:hAnsi="Calibri" w:cs="Calibri"/>
          <w:i/>
          <w:color w:val="1D2228"/>
        </w:rPr>
        <w:t xml:space="preserve">Augustus and the Power of Tradition: The Augustan </w:t>
      </w:r>
      <w:proofErr w:type="spellStart"/>
      <w:r w:rsidRPr="002E26DA">
        <w:rPr>
          <w:rFonts w:ascii="Calibri" w:eastAsia="Times New Roman" w:hAnsi="Calibri" w:cs="Calibri"/>
          <w:i/>
          <w:color w:val="1D2228"/>
        </w:rPr>
        <w:t>Principate</w:t>
      </w:r>
      <w:proofErr w:type="spellEnd"/>
      <w:r w:rsidRPr="002E26DA">
        <w:rPr>
          <w:rFonts w:ascii="Calibri" w:eastAsia="Times New Roman" w:hAnsi="Calibri" w:cs="Calibri"/>
          <w:i/>
          <w:color w:val="1D2228"/>
        </w:rPr>
        <w:t xml:space="preserve"> as Binding Link between Republic and Empire</w:t>
      </w:r>
      <w:r w:rsidR="000428A8">
        <w:rPr>
          <w:rFonts w:ascii="Calibri" w:eastAsia="Times New Roman" w:hAnsi="Calibri" w:cs="Calibri"/>
          <w:i/>
          <w:color w:val="1D2228"/>
        </w:rPr>
        <w:t>”</w:t>
      </w:r>
      <w:r w:rsidRPr="002E26DA">
        <w:rPr>
          <w:rFonts w:ascii="Calibri" w:eastAsia="Times New Roman" w:hAnsi="Calibri" w:cs="Calibri"/>
          <w:color w:val="1D2228"/>
        </w:rPr>
        <w:t xml:space="preserve">. In: K.A. RAAFLAUB and M. TOHER, </w:t>
      </w:r>
      <w:proofErr w:type="spellStart"/>
      <w:proofErr w:type="gramStart"/>
      <w:r w:rsidRPr="002E26DA">
        <w:rPr>
          <w:rFonts w:ascii="Calibri" w:eastAsia="Times New Roman" w:hAnsi="Calibri" w:cs="Calibri"/>
          <w:color w:val="1D2228"/>
        </w:rPr>
        <w:t>eds</w:t>
      </w:r>
      <w:proofErr w:type="spellEnd"/>
      <w:proofErr w:type="gramEnd"/>
      <w:r w:rsidRPr="002E26DA">
        <w:rPr>
          <w:rFonts w:ascii="Calibri" w:eastAsia="Times New Roman" w:hAnsi="Calibri" w:cs="Calibri"/>
          <w:color w:val="1D2228"/>
        </w:rPr>
        <w:t xml:space="preserve">, </w:t>
      </w:r>
      <w:r w:rsidRPr="002E26DA">
        <w:rPr>
          <w:rFonts w:ascii="Calibri" w:eastAsia="Times New Roman" w:hAnsi="Calibri" w:cs="Calibri"/>
          <w:i/>
          <w:color w:val="1D2228"/>
        </w:rPr>
        <w:t>Between Republic and Empire</w:t>
      </w:r>
      <w:r w:rsidRPr="002E26DA">
        <w:rPr>
          <w:rFonts w:ascii="Calibri" w:eastAsia="Times New Roman" w:hAnsi="Calibri" w:cs="Calibri"/>
          <w:color w:val="1D2228"/>
        </w:rPr>
        <w:t xml:space="preserve">. 1 </w:t>
      </w:r>
      <w:proofErr w:type="spellStart"/>
      <w:r w:rsidRPr="002E26DA">
        <w:rPr>
          <w:rFonts w:ascii="Calibri" w:eastAsia="Times New Roman" w:hAnsi="Calibri" w:cs="Calibri"/>
          <w:color w:val="1D2228"/>
        </w:rPr>
        <w:t>edn</w:t>
      </w:r>
      <w:proofErr w:type="spellEnd"/>
      <w:r w:rsidRPr="002E26DA">
        <w:rPr>
          <w:rFonts w:ascii="Calibri" w:eastAsia="Times New Roman" w:hAnsi="Calibri" w:cs="Calibri"/>
          <w:color w:val="1D2228"/>
        </w:rPr>
        <w:t>. University of California Press, pp. 71-122.</w:t>
      </w:r>
    </w:p>
    <w:p w14:paraId="44849B98"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2E51F933" w14:textId="77777777"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ENNIUS, Q., GOLDBERG, S.M., MANUWALD, G. and ENNIUS, Q., 2018. </w:t>
      </w:r>
      <w:r w:rsidRPr="002E26DA">
        <w:rPr>
          <w:rFonts w:ascii="Calibri" w:eastAsia="Times New Roman" w:hAnsi="Calibri" w:cs="Calibri"/>
          <w:i/>
          <w:color w:val="1D2228"/>
        </w:rPr>
        <w:t>Fragmentary Republican Latin</w:t>
      </w:r>
      <w:r w:rsidRPr="002E26DA">
        <w:rPr>
          <w:rFonts w:ascii="Calibri" w:eastAsia="Times New Roman" w:hAnsi="Calibri" w:cs="Calibri"/>
          <w:color w:val="1D2228"/>
        </w:rPr>
        <w:t xml:space="preserve"> v.1 and 2. Cambridge, </w:t>
      </w:r>
      <w:proofErr w:type="spellStart"/>
      <w:proofErr w:type="gramStart"/>
      <w:r w:rsidRPr="002E26DA">
        <w:rPr>
          <w:rFonts w:ascii="Calibri" w:eastAsia="Times New Roman" w:hAnsi="Calibri" w:cs="Calibri"/>
          <w:color w:val="1D2228"/>
        </w:rPr>
        <w:t>Massachsetts</w:t>
      </w:r>
      <w:proofErr w:type="spellEnd"/>
      <w:r w:rsidRPr="002E26DA">
        <w:rPr>
          <w:rFonts w:ascii="Calibri" w:eastAsia="Times New Roman" w:hAnsi="Calibri" w:cs="Calibri"/>
          <w:color w:val="1D2228"/>
        </w:rPr>
        <w:t xml:space="preserve"> ;</w:t>
      </w:r>
      <w:proofErr w:type="gramEnd"/>
      <w:r w:rsidRPr="002E26DA">
        <w:rPr>
          <w:rFonts w:ascii="Calibri" w:eastAsia="Times New Roman" w:hAnsi="Calibri" w:cs="Calibri"/>
          <w:color w:val="1D2228"/>
        </w:rPr>
        <w:t>: Harvard University Press.</w:t>
      </w:r>
    </w:p>
    <w:p w14:paraId="19D1F159"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26249250" w14:textId="629F1736"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FABER, R., 2000. </w:t>
      </w:r>
      <w:r w:rsidR="000428A8">
        <w:rPr>
          <w:rFonts w:ascii="Calibri" w:eastAsia="Times New Roman" w:hAnsi="Calibri" w:cs="Calibri"/>
          <w:color w:val="1D2228"/>
        </w:rPr>
        <w:t>“</w:t>
      </w:r>
      <w:r w:rsidR="000428A8">
        <w:rPr>
          <w:rFonts w:ascii="Calibri" w:eastAsia="Times New Roman" w:hAnsi="Calibri" w:cs="Calibri"/>
          <w:i/>
          <w:color w:val="1D2228"/>
        </w:rPr>
        <w:t>Vergil's 'Shie</w:t>
      </w:r>
      <w:r w:rsidRPr="002E26DA">
        <w:rPr>
          <w:rFonts w:ascii="Calibri" w:eastAsia="Times New Roman" w:hAnsi="Calibri" w:cs="Calibri"/>
          <w:i/>
          <w:color w:val="1D2228"/>
        </w:rPr>
        <w:t xml:space="preserve">ld of Aeneas' </w:t>
      </w:r>
      <w:r w:rsidR="000428A8">
        <w:rPr>
          <w:rFonts w:ascii="Calibri" w:eastAsia="Times New Roman" w:hAnsi="Calibri" w:cs="Calibri"/>
          <w:i/>
          <w:color w:val="1D2228"/>
        </w:rPr>
        <w:t>(Aeneid 8. 617-731) and the Shie</w:t>
      </w:r>
      <w:r w:rsidRPr="002E26DA">
        <w:rPr>
          <w:rFonts w:ascii="Calibri" w:eastAsia="Times New Roman" w:hAnsi="Calibri" w:cs="Calibri"/>
          <w:i/>
          <w:color w:val="1D2228"/>
        </w:rPr>
        <w:t>ld of Heracles</w:t>
      </w:r>
      <w:r w:rsidR="000428A8">
        <w:rPr>
          <w:rFonts w:ascii="Calibri" w:eastAsia="Times New Roman" w:hAnsi="Calibri" w:cs="Calibri"/>
          <w:i/>
          <w:color w:val="1D2228"/>
        </w:rPr>
        <w:t>”</w:t>
      </w:r>
      <w:r w:rsidRPr="002E26DA">
        <w:rPr>
          <w:rFonts w:ascii="Calibri" w:eastAsia="Times New Roman" w:hAnsi="Calibri" w:cs="Calibri"/>
          <w:color w:val="1D2228"/>
        </w:rPr>
        <w:t>. Mnemosyne, 53(1), pp. 49-57.</w:t>
      </w:r>
    </w:p>
    <w:p w14:paraId="640DDCA1"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02D5F6F7" w14:textId="79787BB1"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FEENEY, D.C., 1986. </w:t>
      </w:r>
      <w:r w:rsidR="000428A8">
        <w:rPr>
          <w:rFonts w:ascii="Calibri" w:eastAsia="Times New Roman" w:hAnsi="Calibri" w:cs="Calibri"/>
          <w:i/>
          <w:color w:val="1D2228"/>
        </w:rPr>
        <w:t>“History and revelation in Vergil’s underworld”</w:t>
      </w:r>
      <w:r w:rsidRPr="002E26DA">
        <w:rPr>
          <w:rFonts w:ascii="Calibri" w:eastAsia="Times New Roman" w:hAnsi="Calibri" w:cs="Calibri"/>
          <w:color w:val="1D2228"/>
        </w:rPr>
        <w:t>. Proceedings of the Cambridge Philological Society, (32), pp. 1-24.</w:t>
      </w:r>
    </w:p>
    <w:p w14:paraId="6570197A"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188E3C8F" w14:textId="0EEDB18C"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HARDIE, P., 1995. </w:t>
      </w:r>
      <w:r w:rsidR="000428A8" w:rsidRPr="000428A8">
        <w:rPr>
          <w:rFonts w:ascii="Calibri" w:eastAsia="Times New Roman" w:hAnsi="Calibri" w:cs="Calibri"/>
          <w:i/>
          <w:color w:val="1D2228"/>
        </w:rPr>
        <w:t>“</w:t>
      </w:r>
      <w:r w:rsidRPr="002E26DA">
        <w:rPr>
          <w:rFonts w:ascii="Calibri" w:eastAsia="Times New Roman" w:hAnsi="Calibri" w:cs="Calibri"/>
          <w:i/>
          <w:color w:val="1D2228"/>
        </w:rPr>
        <w:t xml:space="preserve">The speech of Pythagoras in Ovid Metamorphoses 15: </w:t>
      </w:r>
      <w:proofErr w:type="spellStart"/>
      <w:r w:rsidRPr="002E26DA">
        <w:rPr>
          <w:rFonts w:ascii="Calibri" w:eastAsia="Times New Roman" w:hAnsi="Calibri" w:cs="Calibri"/>
          <w:i/>
          <w:color w:val="1D2228"/>
        </w:rPr>
        <w:t>Empedoclean</w:t>
      </w:r>
      <w:proofErr w:type="spellEnd"/>
      <w:r w:rsidRPr="002E26DA">
        <w:rPr>
          <w:rFonts w:ascii="Calibri" w:eastAsia="Times New Roman" w:hAnsi="Calibri" w:cs="Calibri"/>
          <w:i/>
          <w:color w:val="1D2228"/>
        </w:rPr>
        <w:t xml:space="preserve"> Epos</w:t>
      </w:r>
      <w:r w:rsidR="000428A8">
        <w:rPr>
          <w:rFonts w:ascii="Calibri" w:eastAsia="Times New Roman" w:hAnsi="Calibri" w:cs="Calibri"/>
          <w:color w:val="1D2228"/>
        </w:rPr>
        <w:t>”</w:t>
      </w:r>
      <w:r w:rsidRPr="002E26DA">
        <w:rPr>
          <w:rFonts w:ascii="Calibri" w:eastAsia="Times New Roman" w:hAnsi="Calibri" w:cs="Calibri"/>
          <w:color w:val="1D2228"/>
        </w:rPr>
        <w:t>. Classical quarterly, 45(1), pp. 204-214.</w:t>
      </w:r>
    </w:p>
    <w:p w14:paraId="23B5FF43"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180E617E" w14:textId="2D3B1551"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HERBERT-BROWN, G., 2019. 247C16</w:t>
      </w:r>
      <w:r w:rsidR="000428A8">
        <w:rPr>
          <w:rFonts w:ascii="Calibri" w:eastAsia="Times New Roman" w:hAnsi="Calibri" w:cs="Calibri"/>
          <w:color w:val="1D2228"/>
        </w:rPr>
        <w:t xml:space="preserve"> “</w:t>
      </w:r>
      <w:proofErr w:type="spellStart"/>
      <w:r w:rsidRPr="002E26DA">
        <w:rPr>
          <w:rFonts w:ascii="Calibri" w:eastAsia="Times New Roman" w:hAnsi="Calibri" w:cs="Calibri"/>
          <w:i/>
          <w:color w:val="1D2228"/>
        </w:rPr>
        <w:t>Gauls</w:t>
      </w:r>
      <w:proofErr w:type="spellEnd"/>
      <w:r w:rsidRPr="002E26DA">
        <w:rPr>
          <w:rFonts w:ascii="Calibri" w:eastAsia="Times New Roman" w:hAnsi="Calibri" w:cs="Calibri"/>
          <w:i/>
          <w:color w:val="1D2228"/>
        </w:rPr>
        <w:t xml:space="preserve"> on Top: Provincials Ruling Rome on the Shield of Aeneas</w:t>
      </w:r>
      <w:r w:rsidR="000428A8">
        <w:rPr>
          <w:rFonts w:ascii="Calibri" w:eastAsia="Times New Roman" w:hAnsi="Calibri" w:cs="Calibri"/>
          <w:i/>
          <w:color w:val="1D2228"/>
        </w:rPr>
        <w:t>”</w:t>
      </w:r>
      <w:r w:rsidRPr="002E26DA">
        <w:rPr>
          <w:rFonts w:ascii="Calibri" w:eastAsia="Times New Roman" w:hAnsi="Calibri" w:cs="Calibri"/>
          <w:color w:val="1D2228"/>
        </w:rPr>
        <w:t xml:space="preserve">. In: J. OSGOOD, K. MORRELL and K. WELCH, </w:t>
      </w:r>
      <w:proofErr w:type="spellStart"/>
      <w:proofErr w:type="gramStart"/>
      <w:r w:rsidRPr="002E26DA">
        <w:rPr>
          <w:rFonts w:ascii="Calibri" w:eastAsia="Times New Roman" w:hAnsi="Calibri" w:cs="Calibri"/>
          <w:color w:val="1D2228"/>
        </w:rPr>
        <w:t>eds</w:t>
      </w:r>
      <w:proofErr w:type="spellEnd"/>
      <w:proofErr w:type="gramEnd"/>
      <w:r w:rsidRPr="002E26DA">
        <w:rPr>
          <w:rFonts w:ascii="Calibri" w:eastAsia="Times New Roman" w:hAnsi="Calibri" w:cs="Calibri"/>
          <w:color w:val="1D2228"/>
        </w:rPr>
        <w:t xml:space="preserve">, </w:t>
      </w:r>
      <w:r w:rsidRPr="002E26DA">
        <w:rPr>
          <w:rFonts w:ascii="Calibri" w:eastAsia="Times New Roman" w:hAnsi="Calibri" w:cs="Calibri"/>
          <w:i/>
          <w:color w:val="1D2228"/>
        </w:rPr>
        <w:t>The Alternative Augustan Age</w:t>
      </w:r>
      <w:r w:rsidRPr="002E26DA">
        <w:rPr>
          <w:rFonts w:ascii="Calibri" w:eastAsia="Times New Roman" w:hAnsi="Calibri" w:cs="Calibri"/>
          <w:color w:val="1D2228"/>
        </w:rPr>
        <w:t>. Oxford University Press, pp. 0.</w:t>
      </w:r>
    </w:p>
    <w:p w14:paraId="7ABEE26E"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080196FE" w14:textId="77777777"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HINDS, S., 1998. </w:t>
      </w:r>
      <w:r w:rsidRPr="002E26DA">
        <w:rPr>
          <w:rFonts w:ascii="Calibri" w:eastAsia="Times New Roman" w:hAnsi="Calibri" w:cs="Calibri"/>
          <w:i/>
          <w:color w:val="1D2228"/>
        </w:rPr>
        <w:t xml:space="preserve">Allusion and </w:t>
      </w:r>
      <w:proofErr w:type="spellStart"/>
      <w:proofErr w:type="gramStart"/>
      <w:r w:rsidRPr="002E26DA">
        <w:rPr>
          <w:rFonts w:ascii="Calibri" w:eastAsia="Times New Roman" w:hAnsi="Calibri" w:cs="Calibri"/>
          <w:i/>
          <w:color w:val="1D2228"/>
        </w:rPr>
        <w:t>intertext</w:t>
      </w:r>
      <w:proofErr w:type="spellEnd"/>
      <w:r w:rsidRPr="002E26DA">
        <w:rPr>
          <w:rFonts w:ascii="Calibri" w:eastAsia="Times New Roman" w:hAnsi="Calibri" w:cs="Calibri"/>
          <w:i/>
          <w:color w:val="1D2228"/>
        </w:rPr>
        <w:t xml:space="preserve"> :</w:t>
      </w:r>
      <w:proofErr w:type="gramEnd"/>
      <w:r w:rsidRPr="002E26DA">
        <w:rPr>
          <w:rFonts w:ascii="Calibri" w:eastAsia="Times New Roman" w:hAnsi="Calibri" w:cs="Calibri"/>
          <w:i/>
          <w:color w:val="1D2228"/>
        </w:rPr>
        <w:t xml:space="preserve"> dynamics of appropriation in Roman poetry</w:t>
      </w:r>
      <w:r w:rsidRPr="002E26DA">
        <w:rPr>
          <w:rFonts w:ascii="Calibri" w:eastAsia="Times New Roman" w:hAnsi="Calibri" w:cs="Calibri"/>
          <w:color w:val="1D2228"/>
        </w:rPr>
        <w:t>. Cambridge: Cambridge University Press.</w:t>
      </w:r>
    </w:p>
    <w:p w14:paraId="400A39A8"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6352C263" w14:textId="77777777"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HORSFALL, N.M., 1995. </w:t>
      </w:r>
      <w:r w:rsidRPr="002E26DA">
        <w:rPr>
          <w:rFonts w:ascii="Calibri" w:eastAsia="Times New Roman" w:hAnsi="Calibri" w:cs="Calibri"/>
          <w:i/>
          <w:color w:val="1D2228"/>
        </w:rPr>
        <w:t>Aeneid</w:t>
      </w:r>
      <w:r w:rsidRPr="002E26DA">
        <w:rPr>
          <w:rFonts w:ascii="Calibri" w:eastAsia="Times New Roman" w:hAnsi="Calibri" w:cs="Calibri"/>
          <w:color w:val="1D2228"/>
        </w:rPr>
        <w:t xml:space="preserve">. Leiden, </w:t>
      </w:r>
      <w:proofErr w:type="gramStart"/>
      <w:r w:rsidRPr="002E26DA">
        <w:rPr>
          <w:rFonts w:ascii="Calibri" w:eastAsia="Times New Roman" w:hAnsi="Calibri" w:cs="Calibri"/>
          <w:color w:val="1D2228"/>
        </w:rPr>
        <w:t>The</w:t>
      </w:r>
      <w:proofErr w:type="gramEnd"/>
      <w:r w:rsidRPr="002E26DA">
        <w:rPr>
          <w:rFonts w:ascii="Calibri" w:eastAsia="Times New Roman" w:hAnsi="Calibri" w:cs="Calibri"/>
          <w:color w:val="1D2228"/>
        </w:rPr>
        <w:t xml:space="preserve"> Netherlands: Brill, pp. 101-216.</w:t>
      </w:r>
    </w:p>
    <w:p w14:paraId="78F8406E"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66CCAE73" w14:textId="77777777"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lastRenderedPageBreak/>
        <w:t xml:space="preserve">HORSFALL, N., 2000. </w:t>
      </w:r>
      <w:r w:rsidRPr="002E26DA">
        <w:rPr>
          <w:rFonts w:ascii="Calibri" w:eastAsia="Times New Roman" w:hAnsi="Calibri" w:cs="Calibri"/>
          <w:i/>
          <w:color w:val="1D2228"/>
        </w:rPr>
        <w:t>A Companion to the Study of Virgil</w:t>
      </w:r>
      <w:r w:rsidRPr="002E26DA">
        <w:rPr>
          <w:rFonts w:ascii="Calibri" w:eastAsia="Times New Roman" w:hAnsi="Calibri" w:cs="Calibri"/>
          <w:color w:val="1D2228"/>
        </w:rPr>
        <w:t xml:space="preserve">. Leiden, </w:t>
      </w:r>
      <w:proofErr w:type="gramStart"/>
      <w:r w:rsidRPr="002E26DA">
        <w:rPr>
          <w:rFonts w:ascii="Calibri" w:eastAsia="Times New Roman" w:hAnsi="Calibri" w:cs="Calibri"/>
          <w:color w:val="1D2228"/>
        </w:rPr>
        <w:t>The</w:t>
      </w:r>
      <w:proofErr w:type="gramEnd"/>
      <w:r w:rsidRPr="002E26DA">
        <w:rPr>
          <w:rFonts w:ascii="Calibri" w:eastAsia="Times New Roman" w:hAnsi="Calibri" w:cs="Calibri"/>
          <w:color w:val="1D2228"/>
        </w:rPr>
        <w:t xml:space="preserve"> Netherlands: Brill.</w:t>
      </w:r>
    </w:p>
    <w:p w14:paraId="554D6098"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147F99DD" w14:textId="7A310467"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JAMES, E.G.Z., 1989. </w:t>
      </w:r>
      <w:r w:rsidR="000428A8">
        <w:rPr>
          <w:rFonts w:ascii="Calibri" w:eastAsia="Times New Roman" w:hAnsi="Calibri" w:cs="Calibri"/>
          <w:color w:val="1D2228"/>
        </w:rPr>
        <w:t>“</w:t>
      </w:r>
      <w:proofErr w:type="spellStart"/>
      <w:r w:rsidRPr="002E26DA">
        <w:rPr>
          <w:rFonts w:ascii="Calibri" w:eastAsia="Times New Roman" w:hAnsi="Calibri" w:cs="Calibri"/>
          <w:i/>
          <w:color w:val="1D2228"/>
        </w:rPr>
        <w:t>Romane</w:t>
      </w:r>
      <w:proofErr w:type="spellEnd"/>
      <w:r w:rsidRPr="002E26DA">
        <w:rPr>
          <w:rFonts w:ascii="Calibri" w:eastAsia="Times New Roman" w:hAnsi="Calibri" w:cs="Calibri"/>
          <w:i/>
          <w:color w:val="1D2228"/>
        </w:rPr>
        <w:t xml:space="preserve"> Memento: Justice and Judgment in Aeneid 6</w:t>
      </w:r>
      <w:r w:rsidR="000428A8">
        <w:rPr>
          <w:rFonts w:ascii="Calibri" w:eastAsia="Times New Roman" w:hAnsi="Calibri" w:cs="Calibri"/>
          <w:i/>
          <w:color w:val="1D2228"/>
        </w:rPr>
        <w:t>”</w:t>
      </w:r>
      <w:r w:rsidRPr="002E26DA">
        <w:rPr>
          <w:rFonts w:ascii="Calibri" w:eastAsia="Times New Roman" w:hAnsi="Calibri" w:cs="Calibri"/>
          <w:color w:val="1D2228"/>
        </w:rPr>
        <w:t>. Transactions of the American Philological Association (1974</w:t>
      </w:r>
      <w:proofErr w:type="gramStart"/>
      <w:r w:rsidRPr="002E26DA">
        <w:rPr>
          <w:rFonts w:ascii="Calibri" w:eastAsia="Times New Roman" w:hAnsi="Calibri" w:cs="Calibri"/>
          <w:color w:val="1D2228"/>
        </w:rPr>
        <w:t>-)</w:t>
      </w:r>
      <w:proofErr w:type="gramEnd"/>
      <w:r w:rsidRPr="002E26DA">
        <w:rPr>
          <w:rFonts w:ascii="Calibri" w:eastAsia="Times New Roman" w:hAnsi="Calibri" w:cs="Calibri"/>
          <w:color w:val="1D2228"/>
        </w:rPr>
        <w:t>, 119, pp. 263-284.</w:t>
      </w:r>
    </w:p>
    <w:p w14:paraId="7E3E6350"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3A74DE76" w14:textId="0C31A31C"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LOWENSTAM, S., 1993. </w:t>
      </w:r>
      <w:r w:rsidR="000428A8">
        <w:rPr>
          <w:rFonts w:ascii="Calibri" w:eastAsia="Times New Roman" w:hAnsi="Calibri" w:cs="Calibri"/>
          <w:color w:val="1D2228"/>
        </w:rPr>
        <w:t>“</w:t>
      </w:r>
      <w:r w:rsidRPr="002E26DA">
        <w:rPr>
          <w:rFonts w:ascii="Calibri" w:eastAsia="Times New Roman" w:hAnsi="Calibri" w:cs="Calibri"/>
          <w:i/>
          <w:color w:val="1D2228"/>
        </w:rPr>
        <w:t>The Pi</w:t>
      </w:r>
      <w:r w:rsidR="000428A8">
        <w:rPr>
          <w:rFonts w:ascii="Calibri" w:eastAsia="Times New Roman" w:hAnsi="Calibri" w:cs="Calibri"/>
          <w:i/>
          <w:color w:val="1D2228"/>
        </w:rPr>
        <w:t xml:space="preserve">ctures on Juno's Temple in the </w:t>
      </w:r>
      <w:r w:rsidRPr="002E26DA">
        <w:rPr>
          <w:rFonts w:ascii="Calibri" w:eastAsia="Times New Roman" w:hAnsi="Calibri" w:cs="Calibri"/>
          <w:i/>
          <w:color w:val="1D2228"/>
        </w:rPr>
        <w:t>Aeneid"</w:t>
      </w:r>
      <w:r w:rsidRPr="002E26DA">
        <w:rPr>
          <w:rFonts w:ascii="Calibri" w:eastAsia="Times New Roman" w:hAnsi="Calibri" w:cs="Calibri"/>
          <w:color w:val="1D2228"/>
        </w:rPr>
        <w:t>. The Classical World, 87(2), pp. 37-49.</w:t>
      </w:r>
    </w:p>
    <w:p w14:paraId="30872C03"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4CB02C15" w14:textId="2DAA6DD8"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MOULTON, C., 1973. </w:t>
      </w:r>
      <w:r w:rsidR="000428A8">
        <w:rPr>
          <w:rFonts w:ascii="Calibri" w:eastAsia="Times New Roman" w:hAnsi="Calibri" w:cs="Calibri"/>
          <w:color w:val="1D2228"/>
        </w:rPr>
        <w:t>“</w:t>
      </w:r>
      <w:r w:rsidRPr="002E26DA">
        <w:rPr>
          <w:rFonts w:ascii="Calibri" w:eastAsia="Times New Roman" w:hAnsi="Calibri" w:cs="Calibri"/>
          <w:i/>
          <w:color w:val="1D2228"/>
        </w:rPr>
        <w:t>Ovid as Anti-Augustan: "Met." 15.843-79</w:t>
      </w:r>
      <w:r w:rsidR="000428A8">
        <w:rPr>
          <w:rFonts w:ascii="Calibri" w:eastAsia="Times New Roman" w:hAnsi="Calibri" w:cs="Calibri"/>
          <w:i/>
          <w:color w:val="1D2228"/>
        </w:rPr>
        <w:t>”</w:t>
      </w:r>
      <w:r w:rsidRPr="002E26DA">
        <w:rPr>
          <w:rFonts w:ascii="Calibri" w:eastAsia="Times New Roman" w:hAnsi="Calibri" w:cs="Calibri"/>
          <w:color w:val="1D2228"/>
        </w:rPr>
        <w:t>. The Classical World, 67(1), pp. 4-7.</w:t>
      </w:r>
    </w:p>
    <w:p w14:paraId="1D97F5ED"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69C245D5" w14:textId="29E7D632"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MYERS, S., 1999. </w:t>
      </w:r>
      <w:r w:rsidR="000428A8">
        <w:rPr>
          <w:rFonts w:ascii="Calibri" w:eastAsia="Times New Roman" w:hAnsi="Calibri" w:cs="Calibri"/>
          <w:color w:val="1D2228"/>
        </w:rPr>
        <w:t>“</w:t>
      </w:r>
      <w:r w:rsidRPr="002E26DA">
        <w:rPr>
          <w:rFonts w:ascii="Calibri" w:eastAsia="Times New Roman" w:hAnsi="Calibri" w:cs="Calibri"/>
          <w:i/>
          <w:color w:val="1D2228"/>
        </w:rPr>
        <w:t>The Metamorphosis of a Poet: Recent Work on Ovid</w:t>
      </w:r>
      <w:r w:rsidR="000428A8">
        <w:rPr>
          <w:rFonts w:ascii="Calibri" w:eastAsia="Times New Roman" w:hAnsi="Calibri" w:cs="Calibri"/>
          <w:i/>
          <w:color w:val="1D2228"/>
        </w:rPr>
        <w:t>”</w:t>
      </w:r>
      <w:r w:rsidRPr="002E26DA">
        <w:rPr>
          <w:rFonts w:ascii="Calibri" w:eastAsia="Times New Roman" w:hAnsi="Calibri" w:cs="Calibri"/>
          <w:color w:val="1D2228"/>
        </w:rPr>
        <w:t>. The Journal of Roman studies, 89, pp. 190-204.</w:t>
      </w:r>
    </w:p>
    <w:p w14:paraId="5CFDFA2F"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1673B5F1" w14:textId="12D627EB"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OTIS, B., 1938. </w:t>
      </w:r>
      <w:r w:rsidR="000428A8">
        <w:rPr>
          <w:rFonts w:ascii="Calibri" w:eastAsia="Times New Roman" w:hAnsi="Calibri" w:cs="Calibri"/>
          <w:color w:val="1D2228"/>
        </w:rPr>
        <w:t>“</w:t>
      </w:r>
      <w:r w:rsidRPr="002E26DA">
        <w:rPr>
          <w:rFonts w:ascii="Calibri" w:eastAsia="Times New Roman" w:hAnsi="Calibri" w:cs="Calibri"/>
          <w:i/>
          <w:color w:val="1D2228"/>
        </w:rPr>
        <w:t>Ovid and the Augustans</w:t>
      </w:r>
      <w:r w:rsidR="000428A8">
        <w:rPr>
          <w:rFonts w:ascii="Calibri" w:eastAsia="Times New Roman" w:hAnsi="Calibri" w:cs="Calibri"/>
          <w:i/>
          <w:color w:val="1D2228"/>
        </w:rPr>
        <w:t>”</w:t>
      </w:r>
      <w:r w:rsidRPr="002E26DA">
        <w:rPr>
          <w:rFonts w:ascii="Calibri" w:eastAsia="Times New Roman" w:hAnsi="Calibri" w:cs="Calibri"/>
          <w:color w:val="1D2228"/>
        </w:rPr>
        <w:t>. Transactions and Proceedings of the American Philological Association, 69, pp. 188-229.</w:t>
      </w:r>
    </w:p>
    <w:p w14:paraId="7017A25C"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73F08A90" w14:textId="0E528CE1" w:rsidR="002E26DA" w:rsidRPr="002E26DA" w:rsidRDefault="002E26DA" w:rsidP="002E26DA">
      <w:pPr>
        <w:shd w:val="clear" w:color="auto" w:fill="FFFFFF"/>
        <w:spacing w:after="0" w:line="240" w:lineRule="auto"/>
        <w:rPr>
          <w:rFonts w:ascii="Calibri" w:eastAsia="Times New Roman" w:hAnsi="Calibri" w:cs="Calibri"/>
          <w:b/>
          <w:color w:val="1D2228"/>
        </w:rPr>
      </w:pPr>
      <w:r>
        <w:rPr>
          <w:rFonts w:ascii="Calibri" w:eastAsia="Times New Roman" w:hAnsi="Calibri" w:cs="Calibri"/>
          <w:color w:val="1D2228"/>
        </w:rPr>
        <w:t>OVID</w:t>
      </w:r>
      <w:r w:rsidR="009722CC">
        <w:rPr>
          <w:rFonts w:ascii="Calibri" w:eastAsia="Times New Roman" w:hAnsi="Calibri" w:cs="Calibri"/>
          <w:color w:val="1D2228"/>
        </w:rPr>
        <w:t xml:space="preserve">, RAEBURN, D. (Translator), 2014. </w:t>
      </w:r>
      <w:r w:rsidR="009722CC" w:rsidRPr="000428A8">
        <w:rPr>
          <w:rFonts w:ascii="Calibri" w:eastAsia="Times New Roman" w:hAnsi="Calibri" w:cs="Calibri"/>
          <w:i/>
          <w:color w:val="1D2228"/>
        </w:rPr>
        <w:t>Metamorphoses</w:t>
      </w:r>
      <w:r w:rsidR="009722CC">
        <w:rPr>
          <w:rFonts w:ascii="Calibri" w:eastAsia="Times New Roman" w:hAnsi="Calibri" w:cs="Calibri"/>
          <w:color w:val="1D2228"/>
        </w:rPr>
        <w:t xml:space="preserve">. London: Penguin Classics. </w:t>
      </w:r>
    </w:p>
    <w:p w14:paraId="2B5883DC" w14:textId="77777777" w:rsidR="002E26DA" w:rsidRDefault="002E26DA" w:rsidP="002E26DA">
      <w:pPr>
        <w:shd w:val="clear" w:color="auto" w:fill="FFFFFF"/>
        <w:spacing w:after="0" w:line="240" w:lineRule="auto"/>
        <w:rPr>
          <w:rFonts w:ascii="Calibri" w:eastAsia="Times New Roman" w:hAnsi="Calibri" w:cs="Calibri"/>
          <w:color w:val="1D2228"/>
        </w:rPr>
      </w:pPr>
    </w:p>
    <w:p w14:paraId="55BC8C05" w14:textId="3CC61998"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PERKELL, C.G., 1999a. </w:t>
      </w:r>
      <w:r w:rsidRPr="002E26DA">
        <w:rPr>
          <w:rFonts w:ascii="Calibri" w:eastAsia="Times New Roman" w:hAnsi="Calibri" w:cs="Calibri"/>
          <w:i/>
          <w:color w:val="1D2228"/>
        </w:rPr>
        <w:t xml:space="preserve">Reading Vergil's </w:t>
      </w:r>
      <w:r w:rsidRPr="000428A8">
        <w:rPr>
          <w:rFonts w:ascii="Calibri" w:eastAsia="Times New Roman" w:hAnsi="Calibri" w:cs="Calibri"/>
          <w:i/>
          <w:color w:val="1D2228"/>
        </w:rPr>
        <w:t>Aeneid</w:t>
      </w:r>
      <w:r w:rsidRPr="002E26DA">
        <w:rPr>
          <w:rFonts w:ascii="Calibri" w:eastAsia="Times New Roman" w:hAnsi="Calibri" w:cs="Calibri"/>
          <w:i/>
          <w:color w:val="1D2228"/>
        </w:rPr>
        <w:t>: an interpretive guide</w:t>
      </w:r>
      <w:r w:rsidRPr="002E26DA">
        <w:rPr>
          <w:rFonts w:ascii="Calibri" w:eastAsia="Times New Roman" w:hAnsi="Calibri" w:cs="Calibri"/>
          <w:color w:val="1D2228"/>
        </w:rPr>
        <w:t>. Norman, OK: University of Oklahoma Press.</w:t>
      </w:r>
    </w:p>
    <w:p w14:paraId="06177C7A"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4E0EFC1B" w14:textId="77777777"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POWELL, A., 1992. </w:t>
      </w:r>
      <w:r w:rsidRPr="002E26DA">
        <w:rPr>
          <w:rFonts w:ascii="Calibri" w:eastAsia="Times New Roman" w:hAnsi="Calibri" w:cs="Calibri"/>
          <w:i/>
          <w:color w:val="1D2228"/>
        </w:rPr>
        <w:t>Roman poetry and propaganda in the age of Augustus</w:t>
      </w:r>
      <w:r w:rsidRPr="002E26DA">
        <w:rPr>
          <w:rFonts w:ascii="Calibri" w:eastAsia="Times New Roman" w:hAnsi="Calibri" w:cs="Calibri"/>
          <w:color w:val="1D2228"/>
        </w:rPr>
        <w:t>. London: Bristol Classical Press.</w:t>
      </w:r>
    </w:p>
    <w:p w14:paraId="2FEA82F5"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52AEC11A" w14:textId="4D7DB55C"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ROSSI, A., 2010. </w:t>
      </w:r>
      <w:r w:rsidR="000428A8" w:rsidRPr="000428A8">
        <w:rPr>
          <w:rFonts w:ascii="Calibri" w:eastAsia="Times New Roman" w:hAnsi="Calibri" w:cs="Calibri"/>
          <w:i/>
          <w:color w:val="1D2228"/>
        </w:rPr>
        <w:t>“</w:t>
      </w:r>
      <w:r w:rsidRPr="002E26DA">
        <w:rPr>
          <w:rFonts w:ascii="Calibri" w:eastAsia="Times New Roman" w:hAnsi="Calibri" w:cs="Calibri"/>
          <w:i/>
          <w:color w:val="1D2228"/>
        </w:rPr>
        <w:t>Ab Urbe Condita: Roman History on the Shield of Aeneas</w:t>
      </w:r>
      <w:r w:rsidR="000428A8">
        <w:rPr>
          <w:rFonts w:ascii="Calibri" w:eastAsia="Times New Roman" w:hAnsi="Calibri" w:cs="Calibri"/>
          <w:i/>
          <w:color w:val="1D2228"/>
        </w:rPr>
        <w:t>”</w:t>
      </w:r>
      <w:r w:rsidRPr="002E26DA">
        <w:rPr>
          <w:rFonts w:ascii="Calibri" w:eastAsia="Times New Roman" w:hAnsi="Calibri" w:cs="Calibri"/>
          <w:color w:val="1D2228"/>
        </w:rPr>
        <w:t xml:space="preserve">. In: B. BREED, C. DAMON and A. ROSSI, </w:t>
      </w:r>
      <w:proofErr w:type="spellStart"/>
      <w:proofErr w:type="gramStart"/>
      <w:r w:rsidRPr="002E26DA">
        <w:rPr>
          <w:rFonts w:ascii="Calibri" w:eastAsia="Times New Roman" w:hAnsi="Calibri" w:cs="Calibri"/>
          <w:color w:val="1D2228"/>
        </w:rPr>
        <w:t>eds</w:t>
      </w:r>
      <w:proofErr w:type="spellEnd"/>
      <w:proofErr w:type="gramEnd"/>
      <w:r w:rsidRPr="002E26DA">
        <w:rPr>
          <w:rFonts w:ascii="Calibri" w:eastAsia="Times New Roman" w:hAnsi="Calibri" w:cs="Calibri"/>
          <w:color w:val="1D2228"/>
        </w:rPr>
        <w:t xml:space="preserve">, </w:t>
      </w:r>
      <w:r w:rsidRPr="002E26DA">
        <w:rPr>
          <w:rFonts w:ascii="Calibri" w:eastAsia="Times New Roman" w:hAnsi="Calibri" w:cs="Calibri"/>
          <w:i/>
          <w:color w:val="1D2228"/>
        </w:rPr>
        <w:t>Citizens of Discord: Rome and Its Civil Wars</w:t>
      </w:r>
      <w:r w:rsidRPr="002E26DA">
        <w:rPr>
          <w:rFonts w:ascii="Calibri" w:eastAsia="Times New Roman" w:hAnsi="Calibri" w:cs="Calibri"/>
          <w:color w:val="1D2228"/>
        </w:rPr>
        <w:t>. Oxford University Press, pp. 0.</w:t>
      </w:r>
    </w:p>
    <w:p w14:paraId="1532E2F5"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5C3982AE" w14:textId="1CD0C768"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RUDD, N., 1976. </w:t>
      </w:r>
      <w:r w:rsidR="000428A8">
        <w:rPr>
          <w:rFonts w:ascii="Calibri" w:eastAsia="Times New Roman" w:hAnsi="Calibri" w:cs="Calibri"/>
          <w:i/>
          <w:color w:val="1D2228"/>
        </w:rPr>
        <w:t>Lines of enquiry</w:t>
      </w:r>
      <w:r w:rsidRPr="002E26DA">
        <w:rPr>
          <w:rFonts w:ascii="Calibri" w:eastAsia="Times New Roman" w:hAnsi="Calibri" w:cs="Calibri"/>
          <w:i/>
          <w:color w:val="1D2228"/>
        </w:rPr>
        <w:t>: studies in Latin poetry</w:t>
      </w:r>
      <w:r w:rsidRPr="002E26DA">
        <w:rPr>
          <w:rFonts w:ascii="Calibri" w:eastAsia="Times New Roman" w:hAnsi="Calibri" w:cs="Calibri"/>
          <w:color w:val="1D2228"/>
        </w:rPr>
        <w:t>. Cambridge: Cambridge University Press.</w:t>
      </w:r>
    </w:p>
    <w:p w14:paraId="25573776"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1DF77313" w14:textId="73023C21"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SEGAL, C., 1969. </w:t>
      </w:r>
      <w:r w:rsidR="000428A8">
        <w:rPr>
          <w:rFonts w:ascii="Calibri" w:eastAsia="Times New Roman" w:hAnsi="Calibri" w:cs="Calibri"/>
          <w:color w:val="1D2228"/>
        </w:rPr>
        <w:t>“</w:t>
      </w:r>
      <w:r w:rsidRPr="002E26DA">
        <w:rPr>
          <w:rFonts w:ascii="Calibri" w:eastAsia="Times New Roman" w:hAnsi="Calibri" w:cs="Calibri"/>
          <w:i/>
          <w:color w:val="1D2228"/>
        </w:rPr>
        <w:t xml:space="preserve">Myth and Philosophy in the Metamorphoses: Ovid's </w:t>
      </w:r>
      <w:proofErr w:type="spellStart"/>
      <w:r w:rsidRPr="002E26DA">
        <w:rPr>
          <w:rFonts w:ascii="Calibri" w:eastAsia="Times New Roman" w:hAnsi="Calibri" w:cs="Calibri"/>
          <w:i/>
          <w:color w:val="1D2228"/>
        </w:rPr>
        <w:t>Augustanism</w:t>
      </w:r>
      <w:proofErr w:type="spellEnd"/>
      <w:r w:rsidRPr="002E26DA">
        <w:rPr>
          <w:rFonts w:ascii="Calibri" w:eastAsia="Times New Roman" w:hAnsi="Calibri" w:cs="Calibri"/>
          <w:i/>
          <w:color w:val="1D2228"/>
        </w:rPr>
        <w:t xml:space="preserve"> and the Augustan Conclusion of Book XV</w:t>
      </w:r>
      <w:r w:rsidR="000428A8">
        <w:rPr>
          <w:rFonts w:ascii="Calibri" w:eastAsia="Times New Roman" w:hAnsi="Calibri" w:cs="Calibri"/>
          <w:i/>
          <w:color w:val="1D2228"/>
        </w:rPr>
        <w:t>”</w:t>
      </w:r>
      <w:r w:rsidRPr="002E26DA">
        <w:rPr>
          <w:rFonts w:ascii="Calibri" w:eastAsia="Times New Roman" w:hAnsi="Calibri" w:cs="Calibri"/>
          <w:color w:val="1D2228"/>
        </w:rPr>
        <w:t>. The American Journal of Philology, 90(3), pp. 257-292.</w:t>
      </w:r>
    </w:p>
    <w:p w14:paraId="39066523"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4562C343" w14:textId="376809D5"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SHARROCK, A., MÖLLER, D. and MALM,</w:t>
      </w:r>
      <w:r w:rsidR="000428A8">
        <w:rPr>
          <w:rFonts w:ascii="Calibri" w:eastAsia="Times New Roman" w:hAnsi="Calibri" w:cs="Calibri"/>
          <w:color w:val="1D2228"/>
        </w:rPr>
        <w:t xml:space="preserve"> M., 2020. </w:t>
      </w:r>
      <w:r w:rsidR="000428A8" w:rsidRPr="000428A8">
        <w:rPr>
          <w:rFonts w:ascii="Calibri" w:eastAsia="Times New Roman" w:hAnsi="Calibri" w:cs="Calibri"/>
          <w:i/>
          <w:color w:val="1D2228"/>
        </w:rPr>
        <w:t>Metamorphic readings</w:t>
      </w:r>
      <w:r w:rsidRPr="002E26DA">
        <w:rPr>
          <w:rFonts w:ascii="Calibri" w:eastAsia="Times New Roman" w:hAnsi="Calibri" w:cs="Calibri"/>
          <w:i/>
          <w:color w:val="1D2228"/>
        </w:rPr>
        <w:t>: transformation, language, and g</w:t>
      </w:r>
      <w:r w:rsidR="000428A8" w:rsidRPr="000428A8">
        <w:rPr>
          <w:rFonts w:ascii="Calibri" w:eastAsia="Times New Roman" w:hAnsi="Calibri" w:cs="Calibri"/>
          <w:i/>
          <w:color w:val="1D2228"/>
        </w:rPr>
        <w:t>ender in the interpretation of O</w:t>
      </w:r>
      <w:r w:rsidRPr="002E26DA">
        <w:rPr>
          <w:rFonts w:ascii="Calibri" w:eastAsia="Times New Roman" w:hAnsi="Calibri" w:cs="Calibri"/>
          <w:i/>
          <w:color w:val="1D2228"/>
        </w:rPr>
        <w:t>vid's metamorphoses</w:t>
      </w:r>
      <w:r w:rsidRPr="002E26DA">
        <w:rPr>
          <w:rFonts w:ascii="Calibri" w:eastAsia="Times New Roman" w:hAnsi="Calibri" w:cs="Calibri"/>
          <w:color w:val="1D2228"/>
        </w:rPr>
        <w:t>. Oxford, United Kingdom: Oxford University Press.</w:t>
      </w:r>
    </w:p>
    <w:p w14:paraId="78E9A91E"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3709E48D" w14:textId="17225239" w:rsid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TOLL, K., 1997. </w:t>
      </w:r>
      <w:r w:rsidR="000428A8">
        <w:rPr>
          <w:rFonts w:ascii="Calibri" w:eastAsia="Times New Roman" w:hAnsi="Calibri" w:cs="Calibri"/>
          <w:color w:val="1D2228"/>
        </w:rPr>
        <w:t>“</w:t>
      </w:r>
      <w:r w:rsidRPr="002E26DA">
        <w:rPr>
          <w:rFonts w:ascii="Calibri" w:eastAsia="Times New Roman" w:hAnsi="Calibri" w:cs="Calibri"/>
          <w:i/>
          <w:color w:val="1D2228"/>
        </w:rPr>
        <w:t>Making Roman-</w:t>
      </w:r>
      <w:r w:rsidR="000428A8">
        <w:rPr>
          <w:rFonts w:ascii="Calibri" w:eastAsia="Times New Roman" w:hAnsi="Calibri" w:cs="Calibri"/>
          <w:i/>
          <w:color w:val="1D2228"/>
        </w:rPr>
        <w:t xml:space="preserve">Ness and the </w:t>
      </w:r>
      <w:r w:rsidRPr="002E26DA">
        <w:rPr>
          <w:rFonts w:ascii="Calibri" w:eastAsia="Times New Roman" w:hAnsi="Calibri" w:cs="Calibri"/>
          <w:i/>
          <w:color w:val="1D2228"/>
        </w:rPr>
        <w:t>Aeneid"</w:t>
      </w:r>
      <w:r w:rsidRPr="002E26DA">
        <w:rPr>
          <w:rFonts w:ascii="Calibri" w:eastAsia="Times New Roman" w:hAnsi="Calibri" w:cs="Calibri"/>
          <w:color w:val="1D2228"/>
        </w:rPr>
        <w:t>. Classical Antiquity, 16(1), pp. 34-56.</w:t>
      </w:r>
    </w:p>
    <w:p w14:paraId="283EEF85" w14:textId="77777777" w:rsidR="002E26DA" w:rsidRDefault="002E26DA" w:rsidP="002E26DA">
      <w:pPr>
        <w:shd w:val="clear" w:color="auto" w:fill="FFFFFF"/>
        <w:spacing w:after="0" w:line="240" w:lineRule="auto"/>
        <w:rPr>
          <w:rFonts w:ascii="Calibri" w:eastAsia="Times New Roman" w:hAnsi="Calibri" w:cs="Calibri"/>
          <w:color w:val="1D2228"/>
        </w:rPr>
      </w:pPr>
    </w:p>
    <w:p w14:paraId="11778DF9" w14:textId="628E13B0" w:rsidR="002E26DA" w:rsidRPr="002E26DA" w:rsidRDefault="002E26DA" w:rsidP="002E26DA">
      <w:pPr>
        <w:shd w:val="clear" w:color="auto" w:fill="FFFFFF"/>
        <w:spacing w:after="0" w:line="240" w:lineRule="auto"/>
        <w:rPr>
          <w:rFonts w:ascii="Calibri" w:eastAsia="Times New Roman" w:hAnsi="Calibri" w:cs="Calibri"/>
          <w:color w:val="1D2228"/>
        </w:rPr>
      </w:pPr>
      <w:r>
        <w:rPr>
          <w:rFonts w:ascii="Calibri" w:eastAsia="Times New Roman" w:hAnsi="Calibri" w:cs="Calibri"/>
          <w:color w:val="1D2228"/>
        </w:rPr>
        <w:t xml:space="preserve">VIRGIL, WEST, D. (Translator), 2020. </w:t>
      </w:r>
      <w:r w:rsidR="000428A8" w:rsidRPr="000428A8">
        <w:rPr>
          <w:rFonts w:ascii="Calibri" w:eastAsia="Times New Roman" w:hAnsi="Calibri" w:cs="Calibri"/>
          <w:i/>
          <w:color w:val="1D2228"/>
        </w:rPr>
        <w:t xml:space="preserve">The </w:t>
      </w:r>
      <w:r w:rsidRPr="000428A8">
        <w:rPr>
          <w:rFonts w:ascii="Calibri" w:eastAsia="Times New Roman" w:hAnsi="Calibri" w:cs="Calibri"/>
          <w:i/>
          <w:color w:val="1D2228"/>
        </w:rPr>
        <w:t>Aeneid</w:t>
      </w:r>
      <w:r>
        <w:rPr>
          <w:rFonts w:ascii="Calibri" w:eastAsia="Times New Roman" w:hAnsi="Calibri" w:cs="Calibri"/>
          <w:color w:val="1D2228"/>
        </w:rPr>
        <w:t xml:space="preserve">. </w:t>
      </w:r>
      <w:r w:rsidR="009722CC">
        <w:rPr>
          <w:rFonts w:ascii="Calibri" w:eastAsia="Times New Roman" w:hAnsi="Calibri" w:cs="Calibri"/>
          <w:color w:val="1D2228"/>
        </w:rPr>
        <w:t xml:space="preserve">London: </w:t>
      </w:r>
      <w:r>
        <w:rPr>
          <w:rFonts w:ascii="Calibri" w:eastAsia="Times New Roman" w:hAnsi="Calibri" w:cs="Calibri"/>
          <w:color w:val="1D2228"/>
        </w:rPr>
        <w:t xml:space="preserve">Penguin Classics. </w:t>
      </w:r>
    </w:p>
    <w:p w14:paraId="7318A28C"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210F3281" w14:textId="1CA1B1BD"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WILLIAMS, R.D., 1964</w:t>
      </w:r>
      <w:r w:rsidRPr="002E26DA">
        <w:rPr>
          <w:rFonts w:ascii="Calibri" w:eastAsia="Times New Roman" w:hAnsi="Calibri" w:cs="Calibri"/>
          <w:i/>
          <w:color w:val="1D2228"/>
        </w:rPr>
        <w:t xml:space="preserve">. </w:t>
      </w:r>
      <w:r w:rsidR="000428A8">
        <w:rPr>
          <w:rFonts w:ascii="Calibri" w:eastAsia="Times New Roman" w:hAnsi="Calibri" w:cs="Calibri"/>
          <w:i/>
          <w:color w:val="1D2228"/>
        </w:rPr>
        <w:t>“</w:t>
      </w:r>
      <w:r w:rsidRPr="002E26DA">
        <w:rPr>
          <w:rFonts w:ascii="Calibri" w:eastAsia="Times New Roman" w:hAnsi="Calibri" w:cs="Calibri"/>
          <w:i/>
          <w:color w:val="1D2228"/>
        </w:rPr>
        <w:t xml:space="preserve">The Sixth Book of the </w:t>
      </w:r>
      <w:r w:rsidR="000428A8">
        <w:rPr>
          <w:rFonts w:ascii="Calibri" w:eastAsia="Times New Roman" w:hAnsi="Calibri" w:cs="Calibri"/>
          <w:i/>
          <w:color w:val="1D2228"/>
        </w:rPr>
        <w:t>Aeneid”</w:t>
      </w:r>
      <w:r w:rsidRPr="002E26DA">
        <w:rPr>
          <w:rFonts w:ascii="Calibri" w:eastAsia="Times New Roman" w:hAnsi="Calibri" w:cs="Calibri"/>
          <w:color w:val="1D2228"/>
        </w:rPr>
        <w:t>. Greece &amp; Rome, 11(1), pp. 48-63.</w:t>
      </w:r>
    </w:p>
    <w:p w14:paraId="5F114B37" w14:textId="77777777" w:rsidR="002E26DA" w:rsidRPr="002E26DA" w:rsidRDefault="002E26DA" w:rsidP="002E26DA">
      <w:pPr>
        <w:shd w:val="clear" w:color="auto" w:fill="FFFFFF"/>
        <w:spacing w:after="0" w:line="240" w:lineRule="auto"/>
        <w:rPr>
          <w:rFonts w:ascii="Calibri" w:eastAsia="Times New Roman" w:hAnsi="Calibri" w:cs="Calibri"/>
          <w:color w:val="1D2228"/>
        </w:rPr>
      </w:pPr>
    </w:p>
    <w:p w14:paraId="357F5A58" w14:textId="684CCE10" w:rsidR="002E26DA" w:rsidRPr="002E26DA" w:rsidRDefault="002E26DA" w:rsidP="002E26DA">
      <w:pPr>
        <w:shd w:val="clear" w:color="auto" w:fill="FFFFFF"/>
        <w:spacing w:after="0" w:line="240" w:lineRule="auto"/>
        <w:rPr>
          <w:rFonts w:ascii="Calibri" w:eastAsia="Times New Roman" w:hAnsi="Calibri" w:cs="Calibri"/>
          <w:color w:val="1D2228"/>
        </w:rPr>
      </w:pPr>
      <w:r w:rsidRPr="002E26DA">
        <w:rPr>
          <w:rFonts w:ascii="Calibri" w:eastAsia="Times New Roman" w:hAnsi="Calibri" w:cs="Calibri"/>
          <w:color w:val="1D2228"/>
        </w:rPr>
        <w:t xml:space="preserve">WILLIAMS, R.D., 1960. </w:t>
      </w:r>
      <w:r w:rsidR="000428A8">
        <w:rPr>
          <w:rFonts w:ascii="Calibri" w:eastAsia="Times New Roman" w:hAnsi="Calibri" w:cs="Calibri"/>
          <w:color w:val="1D2228"/>
        </w:rPr>
        <w:t>“</w:t>
      </w:r>
      <w:r w:rsidRPr="002E26DA">
        <w:rPr>
          <w:rFonts w:ascii="Calibri" w:eastAsia="Times New Roman" w:hAnsi="Calibri" w:cs="Calibri"/>
          <w:i/>
          <w:color w:val="1D2228"/>
        </w:rPr>
        <w:t>The Pictures on D</w:t>
      </w:r>
      <w:r w:rsidR="000428A8">
        <w:rPr>
          <w:rFonts w:ascii="Calibri" w:eastAsia="Times New Roman" w:hAnsi="Calibri" w:cs="Calibri"/>
          <w:i/>
          <w:color w:val="1D2228"/>
        </w:rPr>
        <w:t>ido's Temple: (Aeneid I. 450–93)”</w:t>
      </w:r>
      <w:r w:rsidRPr="002E26DA">
        <w:rPr>
          <w:rFonts w:ascii="Calibri" w:eastAsia="Times New Roman" w:hAnsi="Calibri" w:cs="Calibri"/>
          <w:color w:val="1D2228"/>
        </w:rPr>
        <w:t>. The Classical Quarterly, 10(3-4), pp. 145-151.</w:t>
      </w:r>
    </w:p>
    <w:p w14:paraId="3EB546D3" w14:textId="77777777" w:rsidR="007E3DD8" w:rsidRPr="002E26DA" w:rsidRDefault="007E3DD8" w:rsidP="007E3DD8">
      <w:pPr>
        <w:shd w:val="clear" w:color="auto" w:fill="FFFFFF"/>
        <w:spacing w:beforeAutospacing="1" w:after="0" w:afterAutospacing="1" w:line="240" w:lineRule="auto"/>
        <w:rPr>
          <w:rFonts w:ascii="Calibri" w:eastAsia="Times New Roman" w:hAnsi="Calibri" w:cs="Calibri"/>
          <w:color w:val="1D2228"/>
        </w:rPr>
      </w:pPr>
    </w:p>
    <w:sectPr w:rsidR="007E3DD8" w:rsidRPr="002E26DA">
      <w:pgSz w:w="12240" w:h="15840"/>
      <w:pgMar w:top="1440" w:right="1440" w:bottom="1440" w:left="1440" w:header="720" w:footer="720" w:gutter="0"/>
      <w:cols w:space="720"/>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6CA961FF" w16cex:dateUtc="2023-12-04T17:17:00Z"/>
  <w16cex:commentExtensible w16cex:durableId="16AF26C7" w16cex:dateUtc="2023-12-04T15:56:00Z"/>
  <w16cex:commentExtensible w16cex:durableId="3443F437" w16cex:dateUtc="2023-12-04T15:53:00Z"/>
  <w16cex:commentExtensible w16cex:durableId="343672C8" w16cex:dateUtc="2023-12-04T15:53:00Z"/>
  <w16cex:commentExtensible w16cex:durableId="2457DF63" w16cex:dateUtc="2023-12-04T15:53:00Z"/>
  <w16cex:commentExtensible w16cex:durableId="178CCDA1" w16cex:dateUtc="2023-12-04T15:54:00Z"/>
  <w16cex:commentExtensible w16cex:durableId="1146932F" w16cex:dateUtc="2023-12-04T15:57:00Z"/>
  <w16cex:commentExtensible w16cex:durableId="580F6032" w16cex:dateUtc="2023-12-04T15:58:00Z"/>
  <w16cex:commentExtensible w16cex:durableId="6BADB7E5" w16cex:dateUtc="2023-12-05T08:32:00Z"/>
  <w16cex:commentExtensible w16cex:durableId="5BBD5508" w16cex:dateUtc="2023-12-05T08:33:00Z"/>
  <w16cex:commentExtensible w16cex:durableId="431098DF" w16cex:dateUtc="2023-12-05T08:35:00Z"/>
  <w16cex:commentExtensible w16cex:durableId="67CD8E7D" w16cex:dateUtc="2023-12-04T16:01:00Z"/>
  <w16cex:commentExtensible w16cex:durableId="79C7A323" w16cex:dateUtc="2023-12-04T16:02:00Z"/>
  <w16cex:commentExtensible w16cex:durableId="78B13280" w16cex:dateUtc="2023-12-04T16:03:00Z"/>
  <w16cex:commentExtensible w16cex:durableId="7F1D7D4E" w16cex:dateUtc="2023-12-04T16:04:00Z"/>
  <w16cex:commentExtensible w16cex:durableId="5A95236A" w16cex:dateUtc="2023-12-04T16:03:00Z"/>
  <w16cex:commentExtensible w16cex:durableId="3DE0DF68" w16cex:dateUtc="2023-12-04T16:05:00Z"/>
  <w16cex:commentExtensible w16cex:durableId="3E0A0373" w16cex:dateUtc="2023-12-04T16:05:00Z"/>
  <w16cex:commentExtensible w16cex:durableId="48FE5364" w16cex:dateUtc="2023-12-04T16:50:00Z"/>
  <w16cex:commentExtensible w16cex:durableId="1E39BECE" w16cex:dateUtc="2023-12-04T16:51:00Z"/>
  <w16cex:commentExtensible w16cex:durableId="0A629248" w16cex:dateUtc="2023-12-04T17:07:00Z"/>
  <w16cex:commentExtensible w16cex:durableId="7D115D0C" w16cex:dateUtc="2023-12-04T16:57:00Z"/>
  <w16cex:commentExtensible w16cex:durableId="0AF3CCC7" w16cex:dateUtc="2023-12-04T16:58:00Z"/>
  <w16cex:commentExtensible w16cex:durableId="7F0EEBB6" w16cex:dateUtc="2023-12-04T17:08:00Z"/>
  <w16cex:commentExtensible w16cex:durableId="2E8AE1D1" w16cex:dateUtc="2023-12-04T17:09:00Z"/>
  <w16cex:commentExtensible w16cex:durableId="41CA6CD7" w16cex:dateUtc="2023-12-04T17:09:00Z"/>
  <w16cex:commentExtensible w16cex:durableId="272B3F5C" w16cex:dateUtc="2023-12-04T17:10:00Z"/>
  <w16cex:commentExtensible w16cex:durableId="1F24BEF2" w16cex:dateUtc="2023-12-04T17:13:00Z"/>
  <w16cex:commentExtensible w16cex:durableId="1542C5A6" w16cex:dateUtc="2023-12-04T17:1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63DA010" w16cid:durableId="6CA961FF"/>
  <w16cid:commentId w16cid:paraId="40712A9C" w16cid:durableId="16AF26C7"/>
  <w16cid:commentId w16cid:paraId="48F443F4" w16cid:durableId="3443F437"/>
  <w16cid:commentId w16cid:paraId="7A70DF16" w16cid:durableId="343672C8"/>
  <w16cid:commentId w16cid:paraId="061F21FA" w16cid:durableId="2457DF63"/>
  <w16cid:commentId w16cid:paraId="213D5DBC" w16cid:durableId="178CCDA1"/>
  <w16cid:commentId w16cid:paraId="34E34993" w16cid:durableId="1146932F"/>
  <w16cid:commentId w16cid:paraId="1BCEE580" w16cid:durableId="580F6032"/>
  <w16cid:commentId w16cid:paraId="5D076CE2" w16cid:durableId="6BADB7E5"/>
  <w16cid:commentId w16cid:paraId="3DF9DC23" w16cid:durableId="5BBD5508"/>
  <w16cid:commentId w16cid:paraId="68C42194" w16cid:durableId="431098DF"/>
  <w16cid:commentId w16cid:paraId="2B5825A7" w16cid:durableId="67CD8E7D"/>
  <w16cid:commentId w16cid:paraId="389173F6" w16cid:durableId="79C7A323"/>
  <w16cid:commentId w16cid:paraId="5F87A8C0" w16cid:durableId="78B13280"/>
  <w16cid:commentId w16cid:paraId="60C8469D" w16cid:durableId="7F1D7D4E"/>
  <w16cid:commentId w16cid:paraId="147F17EF" w16cid:durableId="5A95236A"/>
  <w16cid:commentId w16cid:paraId="316EA18D" w16cid:durableId="3DE0DF68"/>
  <w16cid:commentId w16cid:paraId="3BA65FD9" w16cid:durableId="3E0A0373"/>
  <w16cid:commentId w16cid:paraId="2844BF78" w16cid:durableId="48FE5364"/>
  <w16cid:commentId w16cid:paraId="268EF4A9" w16cid:durableId="1E39BECE"/>
  <w16cid:commentId w16cid:paraId="308ABF86" w16cid:durableId="0A629248"/>
  <w16cid:commentId w16cid:paraId="6800CADC" w16cid:durableId="7D115D0C"/>
  <w16cid:commentId w16cid:paraId="53ABA91F" w16cid:durableId="0AF3CCC7"/>
  <w16cid:commentId w16cid:paraId="5EED9DE7" w16cid:durableId="7F0EEBB6"/>
  <w16cid:commentId w16cid:paraId="57FE0E65" w16cid:durableId="2E8AE1D1"/>
  <w16cid:commentId w16cid:paraId="1EC6522F" w16cid:durableId="41CA6CD7"/>
  <w16cid:commentId w16cid:paraId="32393293" w16cid:durableId="272B3F5C"/>
  <w16cid:commentId w16cid:paraId="7A6084B1" w16cid:durableId="1F24BEF2"/>
  <w16cid:commentId w16cid:paraId="08E434A1" w16cid:durableId="1542C5A6"/>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0B6135" w14:textId="77777777" w:rsidR="00384E9E" w:rsidRDefault="00384E9E" w:rsidP="00E9322A">
      <w:pPr>
        <w:spacing w:after="0" w:line="240" w:lineRule="auto"/>
      </w:pPr>
      <w:r>
        <w:separator/>
      </w:r>
    </w:p>
  </w:endnote>
  <w:endnote w:type="continuationSeparator" w:id="0">
    <w:p w14:paraId="08F3B8EF" w14:textId="77777777" w:rsidR="00384E9E" w:rsidRDefault="00384E9E" w:rsidP="00E932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B27177" w14:textId="77777777" w:rsidR="00384E9E" w:rsidRDefault="00384E9E" w:rsidP="00E9322A">
      <w:pPr>
        <w:spacing w:after="0" w:line="240" w:lineRule="auto"/>
      </w:pPr>
      <w:r>
        <w:separator/>
      </w:r>
    </w:p>
  </w:footnote>
  <w:footnote w:type="continuationSeparator" w:id="0">
    <w:p w14:paraId="59AEB321" w14:textId="77777777" w:rsidR="00384E9E" w:rsidRDefault="00384E9E" w:rsidP="00E9322A">
      <w:pPr>
        <w:spacing w:after="0" w:line="240" w:lineRule="auto"/>
      </w:pPr>
      <w:r>
        <w:continuationSeparator/>
      </w:r>
    </w:p>
  </w:footnote>
  <w:footnote w:id="1">
    <w:p w14:paraId="7F8A2BCD" w14:textId="77777777" w:rsidR="00407DD8" w:rsidRPr="00E9322A" w:rsidRDefault="00407DD8" w:rsidP="00407DD8">
      <w:pPr>
        <w:rPr>
          <w:sz w:val="20"/>
          <w:szCs w:val="20"/>
        </w:rPr>
      </w:pPr>
      <w:r>
        <w:rPr>
          <w:rStyle w:val="FootnoteReference"/>
        </w:rPr>
        <w:footnoteRef/>
      </w:r>
      <w:r>
        <w:t xml:space="preserve"> </w:t>
      </w:r>
      <w:r w:rsidRPr="00E9322A">
        <w:rPr>
          <w:sz w:val="20"/>
          <w:szCs w:val="20"/>
        </w:rPr>
        <w:t xml:space="preserve">Moulton (1979) provides a clear summary of how the shifts in approach to Ovid’s </w:t>
      </w:r>
      <w:r w:rsidRPr="00E9322A">
        <w:rPr>
          <w:i/>
          <w:sz w:val="20"/>
          <w:szCs w:val="20"/>
        </w:rPr>
        <w:t>Metamorphoses</w:t>
      </w:r>
      <w:r w:rsidRPr="00E9322A">
        <w:rPr>
          <w:sz w:val="20"/>
          <w:szCs w:val="20"/>
        </w:rPr>
        <w:t xml:space="preserve"> took place over the 20</w:t>
      </w:r>
      <w:r w:rsidRPr="00E9322A">
        <w:rPr>
          <w:sz w:val="20"/>
          <w:szCs w:val="20"/>
          <w:vertAlign w:val="superscript"/>
        </w:rPr>
        <w:t>th</w:t>
      </w:r>
      <w:r w:rsidRPr="00E9322A">
        <w:rPr>
          <w:sz w:val="20"/>
          <w:szCs w:val="20"/>
        </w:rPr>
        <w:t xml:space="preserve"> Century, from Otis’s reading of Ovid as pro-Augustan in the 1930s, to Segal’s work in 1979, which provided the first significant revision of Otis’s viewpoint. Similarly, Boyle in Dominik et al (2009) looks at both pro- and anti-Augustan readings of the </w:t>
      </w:r>
      <w:r w:rsidRPr="00E9322A">
        <w:rPr>
          <w:i/>
          <w:sz w:val="20"/>
          <w:szCs w:val="20"/>
        </w:rPr>
        <w:t>Aeneid</w:t>
      </w:r>
      <w:r w:rsidRPr="00E9322A">
        <w:rPr>
          <w:sz w:val="20"/>
          <w:szCs w:val="20"/>
        </w:rPr>
        <w:t xml:space="preserve">, citing Stahl’s ‘revisionist’ argument that in the 1960s critics were looking for a subversive anti-Augustan reading of Virgil, but making the case that Virgil was in fact fundamentally pro-Augustus. Sandra Myles cites Hinds’ 1989 criticism of the ‘pro- versus anti-Augustus debate‘, and reductionist readings, of the poets as “shallow, excessively literary and politically escapist.” (Hinds, cited in Myles 1999, page 190). </w:t>
      </w:r>
    </w:p>
  </w:footnote>
  <w:footnote w:id="2">
    <w:p w14:paraId="5726BF25" w14:textId="39AAED42" w:rsidR="002310C0" w:rsidRPr="00E9322A" w:rsidRDefault="002310C0" w:rsidP="002310C0">
      <w:pPr>
        <w:rPr>
          <w:sz w:val="20"/>
          <w:szCs w:val="20"/>
        </w:rPr>
      </w:pPr>
      <w:r w:rsidRPr="00E9322A">
        <w:rPr>
          <w:rStyle w:val="FootnoteReference"/>
          <w:sz w:val="20"/>
          <w:szCs w:val="20"/>
        </w:rPr>
        <w:footnoteRef/>
      </w:r>
      <w:r w:rsidRPr="00E9322A">
        <w:rPr>
          <w:sz w:val="20"/>
          <w:szCs w:val="20"/>
        </w:rPr>
        <w:t xml:space="preserve"> Myles also cites as critical to the turning point </w:t>
      </w:r>
      <w:proofErr w:type="spellStart"/>
      <w:r w:rsidRPr="00E9322A">
        <w:rPr>
          <w:sz w:val="20"/>
          <w:szCs w:val="20"/>
        </w:rPr>
        <w:t>Hinds’s</w:t>
      </w:r>
      <w:proofErr w:type="spellEnd"/>
      <w:r w:rsidRPr="00E9322A">
        <w:rPr>
          <w:sz w:val="20"/>
          <w:szCs w:val="20"/>
        </w:rPr>
        <w:t xml:space="preserve"> work in 1989 which demonstrated how Ovid was re-telling myth as part of (re-)articulation of Roman identity, and using myth to comment and reflect on his own culture and political environment (Myles, 1999, p.195)</w:t>
      </w:r>
    </w:p>
    <w:p w14:paraId="047FE369" w14:textId="77777777" w:rsidR="002310C0" w:rsidRDefault="002310C0" w:rsidP="002310C0">
      <w:pPr>
        <w:pStyle w:val="FootnoteText"/>
      </w:pPr>
    </w:p>
  </w:footnote>
  <w:footnote w:id="3">
    <w:p w14:paraId="605F3AEC" w14:textId="284EA45F" w:rsidR="00577CB0" w:rsidRDefault="00577CB0" w:rsidP="00577CB0">
      <w:pPr>
        <w:pStyle w:val="FootnoteText"/>
      </w:pPr>
      <w:r>
        <w:rPr>
          <w:rStyle w:val="FootnoteReference"/>
        </w:rPr>
        <w:footnoteRef/>
      </w:r>
      <w:r>
        <w:t xml:space="preserve"> Powell in in his introduction to the same volume argues that previously some critics wanted to deny the political nature of poetry written under Augustus, as if to see the political themes and intent of the works would be to sully their literary value (Powell in Powell </w:t>
      </w:r>
      <w:proofErr w:type="spellStart"/>
      <w:r>
        <w:t>ed</w:t>
      </w:r>
      <w:proofErr w:type="spellEnd"/>
      <w:r>
        <w:t>, 1992, p.141).</w:t>
      </w:r>
    </w:p>
  </w:footnote>
  <w:footnote w:id="4">
    <w:p w14:paraId="65746522" w14:textId="14F8994E" w:rsidR="0019676B" w:rsidRDefault="0019676B">
      <w:pPr>
        <w:pStyle w:val="FootnoteText"/>
      </w:pPr>
      <w:r>
        <w:rPr>
          <w:rStyle w:val="FootnoteReference"/>
        </w:rPr>
        <w:footnoteRef/>
      </w:r>
      <w:r>
        <w:t xml:space="preserve"> This point is also explored </w:t>
      </w:r>
      <w:r>
        <w:t>by Rudd in</w:t>
      </w:r>
      <w:r>
        <w:t xml:space="preserve"> the first chapter of</w:t>
      </w:r>
      <w:r>
        <w:t xml:space="preserve"> his 1976 </w:t>
      </w:r>
      <w:r w:rsidRPr="00AF7026">
        <w:rPr>
          <w:i/>
        </w:rPr>
        <w:t>Lines of Enquiry</w:t>
      </w:r>
      <w:r>
        <w:t xml:space="preserve"> in considering how Augustus was constrained by public opinion and his own image in his treatment of his daughter Julia. </w:t>
      </w:r>
    </w:p>
  </w:footnote>
  <w:footnote w:id="5">
    <w:p w14:paraId="0A247871" w14:textId="5E230B31" w:rsidR="002310C0" w:rsidRPr="005D3266" w:rsidRDefault="002310C0" w:rsidP="002310C0">
      <w:pPr>
        <w:rPr>
          <w:sz w:val="20"/>
          <w:szCs w:val="20"/>
        </w:rPr>
      </w:pPr>
      <w:r>
        <w:rPr>
          <w:rStyle w:val="FootnoteReference"/>
        </w:rPr>
        <w:footnoteRef/>
      </w:r>
      <w:r>
        <w:t xml:space="preserve"> </w:t>
      </w:r>
      <w:r w:rsidRPr="005D3266">
        <w:rPr>
          <w:sz w:val="20"/>
          <w:szCs w:val="20"/>
        </w:rPr>
        <w:t xml:space="preserve">Eder also draws attention to the transitional nature of Augustus’ regime, and how Augustus’ himself used the power of tradition to both underpin </w:t>
      </w:r>
      <w:r w:rsidRPr="005D3266">
        <w:rPr>
          <w:i/>
          <w:sz w:val="20"/>
          <w:szCs w:val="20"/>
        </w:rPr>
        <w:t>and</w:t>
      </w:r>
      <w:r w:rsidRPr="005D3266">
        <w:rPr>
          <w:sz w:val="20"/>
          <w:szCs w:val="20"/>
        </w:rPr>
        <w:t xml:space="preserve"> disguise the radical nature of the shift to the </w:t>
      </w:r>
      <w:proofErr w:type="spellStart"/>
      <w:r w:rsidRPr="005D3266">
        <w:rPr>
          <w:sz w:val="20"/>
          <w:szCs w:val="20"/>
        </w:rPr>
        <w:t>principate</w:t>
      </w:r>
      <w:proofErr w:type="spellEnd"/>
      <w:r w:rsidRPr="005D3266">
        <w:rPr>
          <w:sz w:val="20"/>
          <w:szCs w:val="20"/>
        </w:rPr>
        <w:t xml:space="preserve"> (Eder, 2023, p88.) </w:t>
      </w:r>
    </w:p>
    <w:p w14:paraId="652F086F" w14:textId="7B0BAE23" w:rsidR="002310C0" w:rsidRDefault="002310C0">
      <w:pPr>
        <w:pStyle w:val="FootnoteText"/>
      </w:pPr>
    </w:p>
  </w:footnote>
  <w:footnote w:id="6">
    <w:p w14:paraId="331FCCA3" w14:textId="6282175F" w:rsidR="005D3266" w:rsidRPr="00E84E5B" w:rsidRDefault="005D3266" w:rsidP="00E84E5B">
      <w:pPr>
        <w:rPr>
          <w:sz w:val="20"/>
          <w:szCs w:val="20"/>
        </w:rPr>
      </w:pPr>
      <w:r>
        <w:rPr>
          <w:rStyle w:val="FootnoteReference"/>
        </w:rPr>
        <w:footnoteRef/>
      </w:r>
      <w:r>
        <w:t xml:space="preserve"> </w:t>
      </w:r>
      <w:r w:rsidRPr="005D3266">
        <w:rPr>
          <w:sz w:val="20"/>
          <w:szCs w:val="20"/>
        </w:rPr>
        <w:t>Toll (1997)</w:t>
      </w:r>
      <w:r w:rsidR="0019676B">
        <w:rPr>
          <w:sz w:val="20"/>
          <w:szCs w:val="20"/>
        </w:rPr>
        <w:t xml:space="preserve"> further argues that it’s immediate popular reception </w:t>
      </w:r>
      <w:r w:rsidRPr="005D3266">
        <w:rPr>
          <w:sz w:val="20"/>
          <w:szCs w:val="20"/>
        </w:rPr>
        <w:t xml:space="preserve">was in part because Virgil was articulating Roman-ness not only for Augustus, but for newly </w:t>
      </w:r>
      <w:proofErr w:type="spellStart"/>
      <w:r w:rsidRPr="005D3266">
        <w:rPr>
          <w:sz w:val="20"/>
          <w:szCs w:val="20"/>
        </w:rPr>
        <w:t>Romanised</w:t>
      </w:r>
      <w:proofErr w:type="spellEnd"/>
      <w:r w:rsidRPr="005D3266">
        <w:rPr>
          <w:sz w:val="20"/>
          <w:szCs w:val="20"/>
        </w:rPr>
        <w:t xml:space="preserve"> peoples of Italy and the provinces (including himself) anxious about their own identity as Romans, particularly following the many years of civil war. </w:t>
      </w:r>
    </w:p>
  </w:footnote>
  <w:footnote w:id="7">
    <w:p w14:paraId="4A647087" w14:textId="7F9B5713" w:rsidR="002310C0" w:rsidRDefault="002310C0">
      <w:pPr>
        <w:pStyle w:val="FootnoteText"/>
      </w:pPr>
      <w:r>
        <w:rPr>
          <w:rStyle w:val="FootnoteReference"/>
        </w:rPr>
        <w:footnoteRef/>
      </w:r>
      <w:r>
        <w:t xml:space="preserve"> Feeney </w:t>
      </w:r>
      <w:r w:rsidR="0019676B">
        <w:t xml:space="preserve">also </w:t>
      </w:r>
      <w:r>
        <w:t xml:space="preserve">argues that Virgil’s response in the Aeneid to the Augustan complex on the Palatine, in the speech of Evander, is a key example of the “indeterminacy of </w:t>
      </w:r>
      <w:proofErr w:type="spellStart"/>
      <w:r>
        <w:t>Augustanism</w:t>
      </w:r>
      <w:proofErr w:type="spellEnd"/>
      <w:r>
        <w:t xml:space="preserve">” as magnificence and parsimony were </w:t>
      </w:r>
      <w:r w:rsidRPr="00A50E7B">
        <w:rPr>
          <w:i/>
        </w:rPr>
        <w:t>both</w:t>
      </w:r>
      <w:r>
        <w:t xml:space="preserve"> Augustan (Feeney, in Powell </w:t>
      </w:r>
      <w:proofErr w:type="spellStart"/>
      <w:r>
        <w:t>ed</w:t>
      </w:r>
      <w:proofErr w:type="spellEnd"/>
      <w:r>
        <w:t xml:space="preserve"> 1992, p.2) and that Wallace </w:t>
      </w:r>
      <w:proofErr w:type="spellStart"/>
      <w:r>
        <w:t>Hadrill</w:t>
      </w:r>
      <w:proofErr w:type="spellEnd"/>
      <w:r>
        <w:t xml:space="preserve"> has shown also how Augustan imagery was both monarchical and republican </w:t>
      </w:r>
    </w:p>
  </w:footnote>
  <w:footnote w:id="8">
    <w:p w14:paraId="6CA7E3FD" w14:textId="0B082330" w:rsidR="00C844FE" w:rsidRDefault="00C844FE">
      <w:pPr>
        <w:pStyle w:val="FootnoteText"/>
      </w:pPr>
      <w:r>
        <w:rPr>
          <w:rStyle w:val="FootnoteReference"/>
        </w:rPr>
        <w:footnoteRef/>
      </w:r>
      <w:r>
        <w:t xml:space="preserve"> Boyle argues in relation to the Shield </w:t>
      </w:r>
      <w:r>
        <w:t xml:space="preserve">that the “semiotic value of images” and their emotional power was well established by the Late Republic, and came into its fullest  expression in the </w:t>
      </w:r>
      <w:proofErr w:type="spellStart"/>
      <w:r>
        <w:t>principate</w:t>
      </w:r>
      <w:proofErr w:type="spellEnd"/>
      <w:r>
        <w:t xml:space="preserve"> in Augustan imagery, both in monuments and text</w:t>
      </w:r>
      <w:r>
        <w:t xml:space="preserve"> (Boyle, in </w:t>
      </w:r>
      <w:proofErr w:type="spellStart"/>
      <w:r>
        <w:t>Penkell</w:t>
      </w:r>
      <w:proofErr w:type="spellEnd"/>
      <w:r>
        <w:t xml:space="preserve"> 1999, p160)</w:t>
      </w:r>
    </w:p>
  </w:footnote>
  <w:footnote w:id="9">
    <w:p w14:paraId="1E9E0F62" w14:textId="77777777" w:rsidR="00C844FE" w:rsidRPr="00C844FE" w:rsidRDefault="00C844FE" w:rsidP="00C844FE">
      <w:pPr>
        <w:rPr>
          <w:sz w:val="20"/>
          <w:szCs w:val="20"/>
        </w:rPr>
      </w:pPr>
      <w:r>
        <w:rPr>
          <w:rStyle w:val="FootnoteReference"/>
        </w:rPr>
        <w:footnoteRef/>
      </w:r>
      <w:r>
        <w:t xml:space="preserve"> </w:t>
      </w:r>
      <w:r w:rsidRPr="00C844FE">
        <w:rPr>
          <w:sz w:val="20"/>
          <w:szCs w:val="20"/>
        </w:rPr>
        <w:t xml:space="preserve">Rossi in Breed et al 2010 for example, argues that the purpose of the </w:t>
      </w:r>
      <w:proofErr w:type="spellStart"/>
      <w:r w:rsidRPr="00C844FE">
        <w:rPr>
          <w:sz w:val="20"/>
          <w:szCs w:val="20"/>
        </w:rPr>
        <w:t>ekphrasis</w:t>
      </w:r>
      <w:proofErr w:type="spellEnd"/>
      <w:r w:rsidRPr="00C844FE">
        <w:rPr>
          <w:sz w:val="20"/>
          <w:szCs w:val="20"/>
        </w:rPr>
        <w:t xml:space="preserve"> of the shield of Aeneas, was to reframe the recent, painful civil wars as a foreign war. </w:t>
      </w:r>
    </w:p>
    <w:p w14:paraId="3CEFBD70" w14:textId="33033F3E" w:rsidR="00C844FE" w:rsidRDefault="00C844FE">
      <w:pPr>
        <w:pStyle w:val="FootnoteText"/>
      </w:pPr>
    </w:p>
  </w:footnote>
  <w:footnote w:id="10">
    <w:p w14:paraId="62A35671" w14:textId="3FD26026" w:rsidR="00D55800" w:rsidRPr="00D55800" w:rsidRDefault="00D55800" w:rsidP="00D55800">
      <w:pPr>
        <w:rPr>
          <w:sz w:val="20"/>
          <w:szCs w:val="20"/>
        </w:rPr>
      </w:pPr>
      <w:r>
        <w:rPr>
          <w:rStyle w:val="FootnoteReference"/>
        </w:rPr>
        <w:footnoteRef/>
      </w:r>
      <w:r>
        <w:t xml:space="preserve"> </w:t>
      </w:r>
      <w:r>
        <w:rPr>
          <w:sz w:val="20"/>
          <w:szCs w:val="20"/>
        </w:rPr>
        <w:t xml:space="preserve">Similar to the argument made by Myles, that poetry opens up unique possibilities for nuanced treatment of </w:t>
      </w:r>
      <w:proofErr w:type="spellStart"/>
      <w:r>
        <w:rPr>
          <w:sz w:val="20"/>
          <w:szCs w:val="20"/>
        </w:rPr>
        <w:t>Augustanism</w:t>
      </w:r>
      <w:proofErr w:type="spellEnd"/>
      <w:r>
        <w:rPr>
          <w:sz w:val="20"/>
          <w:szCs w:val="20"/>
        </w:rPr>
        <w:t>, Powell</w:t>
      </w:r>
      <w:r w:rsidRPr="00D55800">
        <w:rPr>
          <w:sz w:val="20"/>
          <w:szCs w:val="20"/>
        </w:rPr>
        <w:t xml:space="preserve"> points out the parallel we see in the fragments of Augustus’s own lost biography, where Augustus confronts and explains difficult subjects (</w:t>
      </w:r>
      <w:r>
        <w:rPr>
          <w:sz w:val="20"/>
          <w:szCs w:val="20"/>
        </w:rPr>
        <w:t xml:space="preserve">Powell in Powell </w:t>
      </w:r>
      <w:proofErr w:type="spellStart"/>
      <w:r>
        <w:rPr>
          <w:sz w:val="20"/>
          <w:szCs w:val="20"/>
        </w:rPr>
        <w:t>ed</w:t>
      </w:r>
      <w:proofErr w:type="spellEnd"/>
      <w:r>
        <w:rPr>
          <w:sz w:val="20"/>
          <w:szCs w:val="20"/>
        </w:rPr>
        <w:t xml:space="preserve"> 1992 </w:t>
      </w:r>
      <w:r w:rsidRPr="00D55800">
        <w:rPr>
          <w:sz w:val="20"/>
          <w:szCs w:val="20"/>
        </w:rPr>
        <w:t xml:space="preserve">p149), arguing that literature was able to function more easily as </w:t>
      </w:r>
      <w:r>
        <w:rPr>
          <w:sz w:val="20"/>
          <w:szCs w:val="20"/>
        </w:rPr>
        <w:t xml:space="preserve">subtle and </w:t>
      </w:r>
      <w:r w:rsidRPr="00D55800">
        <w:rPr>
          <w:sz w:val="20"/>
          <w:szCs w:val="20"/>
        </w:rPr>
        <w:t xml:space="preserve">complex apologia for the regime, than it’s statuary/monuments. </w:t>
      </w:r>
    </w:p>
  </w:footnote>
  <w:footnote w:id="11">
    <w:p w14:paraId="4EDD2284" w14:textId="37A0F315" w:rsidR="005D3266" w:rsidRPr="00FE424D" w:rsidRDefault="005D3266" w:rsidP="00FE424D">
      <w:pPr>
        <w:rPr>
          <w:sz w:val="20"/>
          <w:szCs w:val="20"/>
        </w:rPr>
      </w:pPr>
      <w:r>
        <w:rPr>
          <w:rStyle w:val="FootnoteReference"/>
        </w:rPr>
        <w:footnoteRef/>
      </w:r>
      <w:r>
        <w:t xml:space="preserve"> </w:t>
      </w:r>
      <w:r w:rsidRPr="005D3266">
        <w:rPr>
          <w:sz w:val="20"/>
          <w:szCs w:val="20"/>
        </w:rPr>
        <w:t xml:space="preserve">Williams points out that even in parody, Ovid’s work was part of what constituted and helped to construct </w:t>
      </w:r>
      <w:proofErr w:type="spellStart"/>
      <w:r w:rsidRPr="005D3266">
        <w:rPr>
          <w:sz w:val="20"/>
          <w:szCs w:val="20"/>
        </w:rPr>
        <w:t>Augustanism</w:t>
      </w:r>
      <w:proofErr w:type="spellEnd"/>
      <w:r w:rsidRPr="005D3266">
        <w:rPr>
          <w:sz w:val="20"/>
          <w:szCs w:val="20"/>
        </w:rPr>
        <w:t>, so was itself a necessity for Augustus (</w:t>
      </w:r>
      <w:r>
        <w:rPr>
          <w:sz w:val="20"/>
          <w:szCs w:val="20"/>
        </w:rPr>
        <w:t xml:space="preserve">Dominik et al (2009) </w:t>
      </w:r>
      <w:r w:rsidRPr="005D3266">
        <w:rPr>
          <w:sz w:val="20"/>
          <w:szCs w:val="20"/>
        </w:rPr>
        <w:t xml:space="preserve">p. 211), and </w:t>
      </w:r>
      <w:r>
        <w:rPr>
          <w:sz w:val="20"/>
          <w:szCs w:val="20"/>
        </w:rPr>
        <w:t>furthermore, that the</w:t>
      </w:r>
      <w:r w:rsidRPr="005D3266">
        <w:rPr>
          <w:sz w:val="20"/>
          <w:szCs w:val="20"/>
        </w:rPr>
        <w:t xml:space="preserve"> </w:t>
      </w:r>
      <w:r w:rsidRPr="00FE424D">
        <w:rPr>
          <w:sz w:val="20"/>
          <w:szCs w:val="20"/>
        </w:rPr>
        <w:t xml:space="preserve">balancing of voices, along with the fluidity of the </w:t>
      </w:r>
      <w:r w:rsidRPr="00FE424D">
        <w:rPr>
          <w:i/>
          <w:sz w:val="20"/>
          <w:szCs w:val="20"/>
        </w:rPr>
        <w:t>Metamorphoses</w:t>
      </w:r>
      <w:r w:rsidRPr="00FE424D">
        <w:rPr>
          <w:sz w:val="20"/>
          <w:szCs w:val="20"/>
        </w:rPr>
        <w:t>, defies any simple pro or anti Augustan readings (p217).</w:t>
      </w:r>
    </w:p>
  </w:footnote>
  <w:footnote w:id="12">
    <w:p w14:paraId="38CE1C11" w14:textId="2A0908BD" w:rsidR="00FE424D" w:rsidRPr="00FE424D" w:rsidRDefault="00FE424D" w:rsidP="00FE424D">
      <w:pPr>
        <w:rPr>
          <w:sz w:val="20"/>
          <w:szCs w:val="20"/>
        </w:rPr>
      </w:pPr>
      <w:r w:rsidRPr="00FE424D">
        <w:rPr>
          <w:rStyle w:val="FootnoteReference"/>
          <w:sz w:val="20"/>
          <w:szCs w:val="20"/>
        </w:rPr>
        <w:footnoteRef/>
      </w:r>
      <w:r w:rsidRPr="00FE424D">
        <w:rPr>
          <w:sz w:val="20"/>
          <w:szCs w:val="20"/>
        </w:rPr>
        <w:t xml:space="preserve"> </w:t>
      </w:r>
      <w:r w:rsidRPr="00FE424D">
        <w:rPr>
          <w:sz w:val="20"/>
          <w:szCs w:val="20"/>
        </w:rPr>
        <w:t xml:space="preserve">Even if we </w:t>
      </w:r>
      <w:r w:rsidRPr="00FE424D">
        <w:rPr>
          <w:sz w:val="20"/>
          <w:szCs w:val="20"/>
        </w:rPr>
        <w:t xml:space="preserve">were to </w:t>
      </w:r>
      <w:r w:rsidRPr="00FE424D">
        <w:rPr>
          <w:sz w:val="20"/>
          <w:szCs w:val="20"/>
        </w:rPr>
        <w:t xml:space="preserve">treat all of books 14 and 15 of the </w:t>
      </w:r>
      <w:r w:rsidRPr="00FE424D">
        <w:rPr>
          <w:i/>
          <w:sz w:val="20"/>
          <w:szCs w:val="20"/>
        </w:rPr>
        <w:t>Metamorphoses</w:t>
      </w:r>
      <w:r w:rsidRPr="00FE424D">
        <w:rPr>
          <w:sz w:val="20"/>
          <w:szCs w:val="20"/>
        </w:rPr>
        <w:t xml:space="preserve"> as the founding story of Rome, this still amounts to only 13% of the work as a whole. </w:t>
      </w:r>
    </w:p>
  </w:footnote>
  <w:footnote w:id="13">
    <w:p w14:paraId="24600FB8" w14:textId="645E341E" w:rsidR="00E84E5B" w:rsidRPr="00FE424D" w:rsidRDefault="00E84E5B">
      <w:pPr>
        <w:pStyle w:val="FootnoteText"/>
      </w:pPr>
      <w:r w:rsidRPr="00FE424D">
        <w:rPr>
          <w:rStyle w:val="FootnoteReference"/>
        </w:rPr>
        <w:footnoteRef/>
      </w:r>
      <w:r w:rsidRPr="00FE424D">
        <w:t xml:space="preserve"> Contrast this, with </w:t>
      </w:r>
      <w:r w:rsidRPr="00FE424D">
        <w:rPr>
          <w:color w:val="000000"/>
          <w:lang w:val="en-GB"/>
        </w:rPr>
        <w:t xml:space="preserve">Jupiter’s prophesy for the Romans in Virgil’s </w:t>
      </w:r>
      <w:r w:rsidRPr="00FE424D">
        <w:rPr>
          <w:i/>
          <w:color w:val="000000"/>
          <w:lang w:val="en-GB"/>
        </w:rPr>
        <w:t>Aeneid</w:t>
      </w:r>
      <w:r w:rsidRPr="00FE424D">
        <w:rPr>
          <w:color w:val="000000"/>
          <w:lang w:val="en-GB"/>
        </w:rPr>
        <w:t xml:space="preserve"> Book 1, Line 279 </w:t>
      </w:r>
      <w:r w:rsidRPr="00FE424D">
        <w:rPr>
          <w:i/>
          <w:color w:val="000000"/>
          <w:lang w:val="en-GB"/>
        </w:rPr>
        <w:t>“I have given them an empire which will know no end.”</w:t>
      </w:r>
      <w:r w:rsidRPr="00FE424D">
        <w:rPr>
          <w:color w:val="000000"/>
          <w:lang w:val="en-GB"/>
        </w:rPr>
        <w:t xml:space="preserve">- </w:t>
      </w:r>
      <w:proofErr w:type="gramStart"/>
      <w:r w:rsidRPr="00FE424D">
        <w:rPr>
          <w:color w:val="000000"/>
          <w:lang w:val="en-GB"/>
        </w:rPr>
        <w:t>a</w:t>
      </w:r>
      <w:proofErr w:type="gramEnd"/>
      <w:r w:rsidRPr="00FE424D">
        <w:rPr>
          <w:color w:val="000000"/>
          <w:lang w:val="en-GB"/>
        </w:rPr>
        <w:t xml:space="preserve"> much more definitive prediction of Rome’s permanence.</w:t>
      </w:r>
    </w:p>
  </w:footnote>
  <w:footnote w:id="14">
    <w:p w14:paraId="0D3258FF" w14:textId="1ED34665" w:rsidR="00E9322A" w:rsidRPr="00FE424D" w:rsidRDefault="00E9322A" w:rsidP="00E9322A">
      <w:pPr>
        <w:rPr>
          <w:sz w:val="20"/>
          <w:szCs w:val="20"/>
        </w:rPr>
      </w:pPr>
      <w:r w:rsidRPr="00FE424D">
        <w:rPr>
          <w:rStyle w:val="FootnoteReference"/>
          <w:sz w:val="20"/>
          <w:szCs w:val="20"/>
        </w:rPr>
        <w:footnoteRef/>
      </w:r>
      <w:r w:rsidRPr="00FE424D">
        <w:rPr>
          <w:sz w:val="20"/>
          <w:szCs w:val="20"/>
        </w:rPr>
        <w:t xml:space="preserve"> Williams in Dominik et al 2009 points out that giving voice to the voiceless in the mini-Aeneid sits alongside constant themes of voice and </w:t>
      </w:r>
      <w:proofErr w:type="spellStart"/>
      <w:r w:rsidRPr="00FE424D">
        <w:rPr>
          <w:sz w:val="20"/>
          <w:szCs w:val="20"/>
        </w:rPr>
        <w:t>voicelessness</w:t>
      </w:r>
      <w:proofErr w:type="spellEnd"/>
      <w:r w:rsidRPr="00FE424D">
        <w:rPr>
          <w:sz w:val="20"/>
          <w:szCs w:val="20"/>
        </w:rPr>
        <w:t xml:space="preserve">, in both the Metamorphoses and the wider works of Ovid. As a writer writing as an insider within the Augustan </w:t>
      </w:r>
      <w:proofErr w:type="spellStart"/>
      <w:r w:rsidRPr="00FE424D">
        <w:rPr>
          <w:sz w:val="20"/>
          <w:szCs w:val="20"/>
        </w:rPr>
        <w:t>principate</w:t>
      </w:r>
      <w:proofErr w:type="spellEnd"/>
      <w:r w:rsidRPr="00FE424D">
        <w:rPr>
          <w:sz w:val="20"/>
          <w:szCs w:val="20"/>
        </w:rPr>
        <w:t xml:space="preserve">, themes of voice and </w:t>
      </w:r>
      <w:proofErr w:type="spellStart"/>
      <w:r w:rsidRPr="00FE424D">
        <w:rPr>
          <w:sz w:val="20"/>
          <w:szCs w:val="20"/>
        </w:rPr>
        <w:t>voicelessness</w:t>
      </w:r>
      <w:proofErr w:type="spellEnd"/>
      <w:r w:rsidRPr="00FE424D">
        <w:rPr>
          <w:sz w:val="20"/>
          <w:szCs w:val="20"/>
        </w:rPr>
        <w:t xml:space="preserve"> recur throughout Ovid’s work, as he explored himself what could and could not be spoken.  </w:t>
      </w:r>
    </w:p>
    <w:p w14:paraId="35478617" w14:textId="78E53BC1" w:rsidR="00E9322A" w:rsidRDefault="00E9322A">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0E2C3C"/>
    <w:multiLevelType w:val="multilevel"/>
    <w:tmpl w:val="63CC1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2177"/>
    <w:rsid w:val="00007D50"/>
    <w:rsid w:val="00014D6C"/>
    <w:rsid w:val="0003105D"/>
    <w:rsid w:val="000428A8"/>
    <w:rsid w:val="000628E1"/>
    <w:rsid w:val="000B0203"/>
    <w:rsid w:val="00103344"/>
    <w:rsid w:val="0011300B"/>
    <w:rsid w:val="0011643B"/>
    <w:rsid w:val="0019676B"/>
    <w:rsid w:val="001B4196"/>
    <w:rsid w:val="002310C0"/>
    <w:rsid w:val="00232A8C"/>
    <w:rsid w:val="002511DE"/>
    <w:rsid w:val="00253112"/>
    <w:rsid w:val="002561AE"/>
    <w:rsid w:val="00277418"/>
    <w:rsid w:val="00283427"/>
    <w:rsid w:val="00294DC1"/>
    <w:rsid w:val="00294F9C"/>
    <w:rsid w:val="002B5B36"/>
    <w:rsid w:val="002E26DA"/>
    <w:rsid w:val="00300030"/>
    <w:rsid w:val="00300608"/>
    <w:rsid w:val="00301AC4"/>
    <w:rsid w:val="00324CB6"/>
    <w:rsid w:val="00384E9E"/>
    <w:rsid w:val="003A17E7"/>
    <w:rsid w:val="003C4651"/>
    <w:rsid w:val="00407DD8"/>
    <w:rsid w:val="0048638D"/>
    <w:rsid w:val="00554DEB"/>
    <w:rsid w:val="00577CB0"/>
    <w:rsid w:val="005A1341"/>
    <w:rsid w:val="005B0892"/>
    <w:rsid w:val="005C5A82"/>
    <w:rsid w:val="005D3266"/>
    <w:rsid w:val="00606FDF"/>
    <w:rsid w:val="00613D78"/>
    <w:rsid w:val="00666940"/>
    <w:rsid w:val="00680432"/>
    <w:rsid w:val="006A025D"/>
    <w:rsid w:val="006A1B55"/>
    <w:rsid w:val="006A61F6"/>
    <w:rsid w:val="006E2177"/>
    <w:rsid w:val="006E48D9"/>
    <w:rsid w:val="007A5CC1"/>
    <w:rsid w:val="007D785E"/>
    <w:rsid w:val="007E2FDB"/>
    <w:rsid w:val="007E3DD8"/>
    <w:rsid w:val="00803028"/>
    <w:rsid w:val="008C5B17"/>
    <w:rsid w:val="008F6F6B"/>
    <w:rsid w:val="009277C1"/>
    <w:rsid w:val="009440EB"/>
    <w:rsid w:val="009722CC"/>
    <w:rsid w:val="00987B2E"/>
    <w:rsid w:val="00A50E7B"/>
    <w:rsid w:val="00A7074C"/>
    <w:rsid w:val="00A93A76"/>
    <w:rsid w:val="00AA700A"/>
    <w:rsid w:val="00AF2383"/>
    <w:rsid w:val="00AF7026"/>
    <w:rsid w:val="00B130AF"/>
    <w:rsid w:val="00B52765"/>
    <w:rsid w:val="00B542C0"/>
    <w:rsid w:val="00B820BC"/>
    <w:rsid w:val="00C54621"/>
    <w:rsid w:val="00C844FE"/>
    <w:rsid w:val="00D033E8"/>
    <w:rsid w:val="00D55800"/>
    <w:rsid w:val="00DD3E91"/>
    <w:rsid w:val="00E00352"/>
    <w:rsid w:val="00E074E7"/>
    <w:rsid w:val="00E30079"/>
    <w:rsid w:val="00E3276D"/>
    <w:rsid w:val="00E330B0"/>
    <w:rsid w:val="00E51388"/>
    <w:rsid w:val="00E84E5B"/>
    <w:rsid w:val="00E9322A"/>
    <w:rsid w:val="00ED6776"/>
    <w:rsid w:val="00EF5B17"/>
    <w:rsid w:val="00F320A9"/>
    <w:rsid w:val="00F911DC"/>
    <w:rsid w:val="00FA5115"/>
    <w:rsid w:val="00FE42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4A1F3F"/>
  <w15:chartTrackingRefBased/>
  <w15:docId w15:val="{33011ACB-F948-43F3-9D00-C0D89D88E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669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6940"/>
    <w:rPr>
      <w:rFonts w:ascii="Segoe UI" w:hAnsi="Segoe UI" w:cs="Segoe UI"/>
      <w:sz w:val="18"/>
      <w:szCs w:val="18"/>
    </w:rPr>
  </w:style>
  <w:style w:type="character" w:styleId="CommentReference">
    <w:name w:val="annotation reference"/>
    <w:basedOn w:val="DefaultParagraphFont"/>
    <w:uiPriority w:val="99"/>
    <w:semiHidden/>
    <w:unhideWhenUsed/>
    <w:rsid w:val="00606FDF"/>
    <w:rPr>
      <w:sz w:val="16"/>
      <w:szCs w:val="16"/>
    </w:rPr>
  </w:style>
  <w:style w:type="paragraph" w:styleId="CommentText">
    <w:name w:val="annotation text"/>
    <w:basedOn w:val="Normal"/>
    <w:link w:val="CommentTextChar"/>
    <w:uiPriority w:val="99"/>
    <w:unhideWhenUsed/>
    <w:rsid w:val="00606FDF"/>
    <w:pPr>
      <w:spacing w:line="240" w:lineRule="auto"/>
    </w:pPr>
    <w:rPr>
      <w:sz w:val="20"/>
      <w:szCs w:val="20"/>
    </w:rPr>
  </w:style>
  <w:style w:type="character" w:customStyle="1" w:styleId="CommentTextChar">
    <w:name w:val="Comment Text Char"/>
    <w:basedOn w:val="DefaultParagraphFont"/>
    <w:link w:val="CommentText"/>
    <w:uiPriority w:val="99"/>
    <w:rsid w:val="00606FDF"/>
    <w:rPr>
      <w:sz w:val="20"/>
      <w:szCs w:val="20"/>
    </w:rPr>
  </w:style>
  <w:style w:type="paragraph" w:styleId="CommentSubject">
    <w:name w:val="annotation subject"/>
    <w:basedOn w:val="CommentText"/>
    <w:next w:val="CommentText"/>
    <w:link w:val="CommentSubjectChar"/>
    <w:uiPriority w:val="99"/>
    <w:semiHidden/>
    <w:unhideWhenUsed/>
    <w:rsid w:val="00606FDF"/>
    <w:rPr>
      <w:b/>
      <w:bCs/>
    </w:rPr>
  </w:style>
  <w:style w:type="character" w:customStyle="1" w:styleId="CommentSubjectChar">
    <w:name w:val="Comment Subject Char"/>
    <w:basedOn w:val="CommentTextChar"/>
    <w:link w:val="CommentSubject"/>
    <w:uiPriority w:val="99"/>
    <w:semiHidden/>
    <w:rsid w:val="00606FDF"/>
    <w:rPr>
      <w:b/>
      <w:bCs/>
      <w:sz w:val="20"/>
      <w:szCs w:val="20"/>
    </w:rPr>
  </w:style>
  <w:style w:type="character" w:styleId="Hyperlink">
    <w:name w:val="Hyperlink"/>
    <w:basedOn w:val="DefaultParagraphFont"/>
    <w:uiPriority w:val="99"/>
    <w:semiHidden/>
    <w:unhideWhenUsed/>
    <w:rsid w:val="002E26DA"/>
    <w:rPr>
      <w:color w:val="0000FF"/>
      <w:u w:val="single"/>
    </w:rPr>
  </w:style>
  <w:style w:type="paragraph" w:styleId="FootnoteText">
    <w:name w:val="footnote text"/>
    <w:basedOn w:val="Normal"/>
    <w:link w:val="FootnoteTextChar"/>
    <w:uiPriority w:val="99"/>
    <w:semiHidden/>
    <w:unhideWhenUsed/>
    <w:rsid w:val="00E932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9322A"/>
    <w:rPr>
      <w:sz w:val="20"/>
      <w:szCs w:val="20"/>
    </w:rPr>
  </w:style>
  <w:style w:type="character" w:styleId="FootnoteReference">
    <w:name w:val="footnote reference"/>
    <w:basedOn w:val="DefaultParagraphFont"/>
    <w:uiPriority w:val="99"/>
    <w:semiHidden/>
    <w:unhideWhenUsed/>
    <w:rsid w:val="00E9322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8269815">
      <w:bodyDiv w:val="1"/>
      <w:marLeft w:val="0"/>
      <w:marRight w:val="0"/>
      <w:marTop w:val="0"/>
      <w:marBottom w:val="0"/>
      <w:divBdr>
        <w:top w:val="none" w:sz="0" w:space="0" w:color="auto"/>
        <w:left w:val="none" w:sz="0" w:space="0" w:color="auto"/>
        <w:bottom w:val="none" w:sz="0" w:space="0" w:color="auto"/>
        <w:right w:val="none" w:sz="0" w:space="0" w:color="auto"/>
      </w:divBdr>
    </w:div>
    <w:div w:id="779644268">
      <w:bodyDiv w:val="1"/>
      <w:marLeft w:val="0"/>
      <w:marRight w:val="0"/>
      <w:marTop w:val="0"/>
      <w:marBottom w:val="0"/>
      <w:divBdr>
        <w:top w:val="none" w:sz="0" w:space="0" w:color="auto"/>
        <w:left w:val="none" w:sz="0" w:space="0" w:color="auto"/>
        <w:bottom w:val="none" w:sz="0" w:space="0" w:color="auto"/>
        <w:right w:val="none" w:sz="0" w:space="0" w:color="auto"/>
      </w:divBdr>
      <w:divsChild>
        <w:div w:id="1560551475">
          <w:marLeft w:val="0"/>
          <w:marRight w:val="0"/>
          <w:marTop w:val="0"/>
          <w:marBottom w:val="0"/>
          <w:divBdr>
            <w:top w:val="none" w:sz="0" w:space="0" w:color="auto"/>
            <w:left w:val="none" w:sz="0" w:space="0" w:color="auto"/>
            <w:bottom w:val="none" w:sz="0" w:space="0" w:color="auto"/>
            <w:right w:val="none" w:sz="0" w:space="0" w:color="auto"/>
          </w:divBdr>
          <w:divsChild>
            <w:div w:id="1663049542">
              <w:marLeft w:val="0"/>
              <w:marRight w:val="0"/>
              <w:marTop w:val="0"/>
              <w:marBottom w:val="0"/>
              <w:divBdr>
                <w:top w:val="none" w:sz="0" w:space="0" w:color="auto"/>
                <w:left w:val="none" w:sz="0" w:space="0" w:color="auto"/>
                <w:bottom w:val="none" w:sz="0" w:space="0" w:color="auto"/>
                <w:right w:val="none" w:sz="0" w:space="0" w:color="auto"/>
              </w:divBdr>
              <w:divsChild>
                <w:div w:id="909118647">
                  <w:marLeft w:val="0"/>
                  <w:marRight w:val="0"/>
                  <w:marTop w:val="0"/>
                  <w:marBottom w:val="0"/>
                  <w:divBdr>
                    <w:top w:val="none" w:sz="0" w:space="0" w:color="auto"/>
                    <w:left w:val="none" w:sz="0" w:space="0" w:color="auto"/>
                    <w:bottom w:val="none" w:sz="0" w:space="0" w:color="auto"/>
                    <w:right w:val="none" w:sz="0" w:space="0" w:color="auto"/>
                  </w:divBdr>
                  <w:divsChild>
                    <w:div w:id="799540286">
                      <w:marLeft w:val="0"/>
                      <w:marRight w:val="0"/>
                      <w:marTop w:val="0"/>
                      <w:marBottom w:val="0"/>
                      <w:divBdr>
                        <w:top w:val="none" w:sz="0" w:space="0" w:color="auto"/>
                        <w:left w:val="none" w:sz="0" w:space="0" w:color="auto"/>
                        <w:bottom w:val="none" w:sz="0" w:space="0" w:color="auto"/>
                        <w:right w:val="none" w:sz="0" w:space="0" w:color="auto"/>
                      </w:divBdr>
                      <w:divsChild>
                        <w:div w:id="1803380505">
                          <w:marLeft w:val="0"/>
                          <w:marRight w:val="0"/>
                          <w:marTop w:val="0"/>
                          <w:marBottom w:val="0"/>
                          <w:divBdr>
                            <w:top w:val="none" w:sz="0" w:space="0" w:color="auto"/>
                            <w:left w:val="none" w:sz="0" w:space="0" w:color="auto"/>
                            <w:bottom w:val="none" w:sz="0" w:space="0" w:color="auto"/>
                            <w:right w:val="none" w:sz="0" w:space="0" w:color="auto"/>
                          </w:divBdr>
                        </w:div>
                        <w:div w:id="1448743867">
                          <w:marLeft w:val="0"/>
                          <w:marRight w:val="0"/>
                          <w:marTop w:val="0"/>
                          <w:marBottom w:val="0"/>
                          <w:divBdr>
                            <w:top w:val="none" w:sz="0" w:space="0" w:color="auto"/>
                            <w:left w:val="none" w:sz="0" w:space="0" w:color="auto"/>
                            <w:bottom w:val="none" w:sz="0" w:space="0" w:color="auto"/>
                            <w:right w:val="none" w:sz="0" w:space="0" w:color="auto"/>
                          </w:divBdr>
                        </w:div>
                        <w:div w:id="221985572">
                          <w:marLeft w:val="0"/>
                          <w:marRight w:val="0"/>
                          <w:marTop w:val="0"/>
                          <w:marBottom w:val="0"/>
                          <w:divBdr>
                            <w:top w:val="none" w:sz="0" w:space="0" w:color="auto"/>
                            <w:left w:val="none" w:sz="0" w:space="0" w:color="auto"/>
                            <w:bottom w:val="none" w:sz="0" w:space="0" w:color="auto"/>
                            <w:right w:val="none" w:sz="0" w:space="0" w:color="auto"/>
                          </w:divBdr>
                        </w:div>
                        <w:div w:id="1958830748">
                          <w:marLeft w:val="0"/>
                          <w:marRight w:val="0"/>
                          <w:marTop w:val="0"/>
                          <w:marBottom w:val="0"/>
                          <w:divBdr>
                            <w:top w:val="none" w:sz="0" w:space="0" w:color="auto"/>
                            <w:left w:val="none" w:sz="0" w:space="0" w:color="auto"/>
                            <w:bottom w:val="none" w:sz="0" w:space="0" w:color="auto"/>
                            <w:right w:val="none" w:sz="0" w:space="0" w:color="auto"/>
                          </w:divBdr>
                        </w:div>
                        <w:div w:id="805246398">
                          <w:marLeft w:val="0"/>
                          <w:marRight w:val="0"/>
                          <w:marTop w:val="0"/>
                          <w:marBottom w:val="0"/>
                          <w:divBdr>
                            <w:top w:val="none" w:sz="0" w:space="0" w:color="auto"/>
                            <w:left w:val="none" w:sz="0" w:space="0" w:color="auto"/>
                            <w:bottom w:val="none" w:sz="0" w:space="0" w:color="auto"/>
                            <w:right w:val="none" w:sz="0" w:space="0" w:color="auto"/>
                          </w:divBdr>
                        </w:div>
                        <w:div w:id="801193411">
                          <w:marLeft w:val="0"/>
                          <w:marRight w:val="0"/>
                          <w:marTop w:val="0"/>
                          <w:marBottom w:val="0"/>
                          <w:divBdr>
                            <w:top w:val="none" w:sz="0" w:space="0" w:color="auto"/>
                            <w:left w:val="none" w:sz="0" w:space="0" w:color="auto"/>
                            <w:bottom w:val="none" w:sz="0" w:space="0" w:color="auto"/>
                            <w:right w:val="none" w:sz="0" w:space="0" w:color="auto"/>
                          </w:divBdr>
                        </w:div>
                        <w:div w:id="2138330373">
                          <w:marLeft w:val="0"/>
                          <w:marRight w:val="0"/>
                          <w:marTop w:val="0"/>
                          <w:marBottom w:val="0"/>
                          <w:divBdr>
                            <w:top w:val="none" w:sz="0" w:space="0" w:color="auto"/>
                            <w:left w:val="none" w:sz="0" w:space="0" w:color="auto"/>
                            <w:bottom w:val="none" w:sz="0" w:space="0" w:color="auto"/>
                            <w:right w:val="none" w:sz="0" w:space="0" w:color="auto"/>
                          </w:divBdr>
                        </w:div>
                        <w:div w:id="993530159">
                          <w:marLeft w:val="0"/>
                          <w:marRight w:val="0"/>
                          <w:marTop w:val="0"/>
                          <w:marBottom w:val="0"/>
                          <w:divBdr>
                            <w:top w:val="none" w:sz="0" w:space="0" w:color="auto"/>
                            <w:left w:val="none" w:sz="0" w:space="0" w:color="auto"/>
                            <w:bottom w:val="none" w:sz="0" w:space="0" w:color="auto"/>
                            <w:right w:val="none" w:sz="0" w:space="0" w:color="auto"/>
                          </w:divBdr>
                        </w:div>
                        <w:div w:id="1435051757">
                          <w:marLeft w:val="0"/>
                          <w:marRight w:val="0"/>
                          <w:marTop w:val="0"/>
                          <w:marBottom w:val="0"/>
                          <w:divBdr>
                            <w:top w:val="none" w:sz="0" w:space="0" w:color="auto"/>
                            <w:left w:val="none" w:sz="0" w:space="0" w:color="auto"/>
                            <w:bottom w:val="none" w:sz="0" w:space="0" w:color="auto"/>
                            <w:right w:val="none" w:sz="0" w:space="0" w:color="auto"/>
                          </w:divBdr>
                        </w:div>
                        <w:div w:id="1409229534">
                          <w:marLeft w:val="0"/>
                          <w:marRight w:val="0"/>
                          <w:marTop w:val="0"/>
                          <w:marBottom w:val="0"/>
                          <w:divBdr>
                            <w:top w:val="none" w:sz="0" w:space="0" w:color="auto"/>
                            <w:left w:val="none" w:sz="0" w:space="0" w:color="auto"/>
                            <w:bottom w:val="none" w:sz="0" w:space="0" w:color="auto"/>
                            <w:right w:val="none" w:sz="0" w:space="0" w:color="auto"/>
                          </w:divBdr>
                        </w:div>
                        <w:div w:id="581260414">
                          <w:marLeft w:val="0"/>
                          <w:marRight w:val="0"/>
                          <w:marTop w:val="0"/>
                          <w:marBottom w:val="0"/>
                          <w:divBdr>
                            <w:top w:val="none" w:sz="0" w:space="0" w:color="auto"/>
                            <w:left w:val="none" w:sz="0" w:space="0" w:color="auto"/>
                            <w:bottom w:val="none" w:sz="0" w:space="0" w:color="auto"/>
                            <w:right w:val="none" w:sz="0" w:space="0" w:color="auto"/>
                          </w:divBdr>
                        </w:div>
                        <w:div w:id="335616839">
                          <w:marLeft w:val="0"/>
                          <w:marRight w:val="0"/>
                          <w:marTop w:val="0"/>
                          <w:marBottom w:val="0"/>
                          <w:divBdr>
                            <w:top w:val="none" w:sz="0" w:space="0" w:color="auto"/>
                            <w:left w:val="none" w:sz="0" w:space="0" w:color="auto"/>
                            <w:bottom w:val="none" w:sz="0" w:space="0" w:color="auto"/>
                            <w:right w:val="none" w:sz="0" w:space="0" w:color="auto"/>
                          </w:divBdr>
                        </w:div>
                        <w:div w:id="2052918164">
                          <w:marLeft w:val="0"/>
                          <w:marRight w:val="0"/>
                          <w:marTop w:val="0"/>
                          <w:marBottom w:val="0"/>
                          <w:divBdr>
                            <w:top w:val="none" w:sz="0" w:space="0" w:color="auto"/>
                            <w:left w:val="none" w:sz="0" w:space="0" w:color="auto"/>
                            <w:bottom w:val="none" w:sz="0" w:space="0" w:color="auto"/>
                            <w:right w:val="none" w:sz="0" w:space="0" w:color="auto"/>
                          </w:divBdr>
                        </w:div>
                        <w:div w:id="753472132">
                          <w:marLeft w:val="0"/>
                          <w:marRight w:val="0"/>
                          <w:marTop w:val="0"/>
                          <w:marBottom w:val="0"/>
                          <w:divBdr>
                            <w:top w:val="none" w:sz="0" w:space="0" w:color="auto"/>
                            <w:left w:val="none" w:sz="0" w:space="0" w:color="auto"/>
                            <w:bottom w:val="none" w:sz="0" w:space="0" w:color="auto"/>
                            <w:right w:val="none" w:sz="0" w:space="0" w:color="auto"/>
                          </w:divBdr>
                        </w:div>
                        <w:div w:id="1514607891">
                          <w:marLeft w:val="0"/>
                          <w:marRight w:val="0"/>
                          <w:marTop w:val="0"/>
                          <w:marBottom w:val="0"/>
                          <w:divBdr>
                            <w:top w:val="none" w:sz="0" w:space="0" w:color="auto"/>
                            <w:left w:val="none" w:sz="0" w:space="0" w:color="auto"/>
                            <w:bottom w:val="none" w:sz="0" w:space="0" w:color="auto"/>
                            <w:right w:val="none" w:sz="0" w:space="0" w:color="auto"/>
                          </w:divBdr>
                        </w:div>
                        <w:div w:id="450831062">
                          <w:marLeft w:val="0"/>
                          <w:marRight w:val="0"/>
                          <w:marTop w:val="0"/>
                          <w:marBottom w:val="0"/>
                          <w:divBdr>
                            <w:top w:val="none" w:sz="0" w:space="0" w:color="auto"/>
                            <w:left w:val="none" w:sz="0" w:space="0" w:color="auto"/>
                            <w:bottom w:val="none" w:sz="0" w:space="0" w:color="auto"/>
                            <w:right w:val="none" w:sz="0" w:space="0" w:color="auto"/>
                          </w:divBdr>
                        </w:div>
                        <w:div w:id="1814519965">
                          <w:marLeft w:val="0"/>
                          <w:marRight w:val="0"/>
                          <w:marTop w:val="0"/>
                          <w:marBottom w:val="0"/>
                          <w:divBdr>
                            <w:top w:val="none" w:sz="0" w:space="0" w:color="auto"/>
                            <w:left w:val="none" w:sz="0" w:space="0" w:color="auto"/>
                            <w:bottom w:val="none" w:sz="0" w:space="0" w:color="auto"/>
                            <w:right w:val="none" w:sz="0" w:space="0" w:color="auto"/>
                          </w:divBdr>
                        </w:div>
                        <w:div w:id="2136482749">
                          <w:marLeft w:val="0"/>
                          <w:marRight w:val="0"/>
                          <w:marTop w:val="0"/>
                          <w:marBottom w:val="0"/>
                          <w:divBdr>
                            <w:top w:val="none" w:sz="0" w:space="0" w:color="auto"/>
                            <w:left w:val="none" w:sz="0" w:space="0" w:color="auto"/>
                            <w:bottom w:val="none" w:sz="0" w:space="0" w:color="auto"/>
                            <w:right w:val="none" w:sz="0" w:space="0" w:color="auto"/>
                          </w:divBdr>
                        </w:div>
                        <w:div w:id="515966184">
                          <w:marLeft w:val="0"/>
                          <w:marRight w:val="0"/>
                          <w:marTop w:val="0"/>
                          <w:marBottom w:val="0"/>
                          <w:divBdr>
                            <w:top w:val="none" w:sz="0" w:space="0" w:color="auto"/>
                            <w:left w:val="none" w:sz="0" w:space="0" w:color="auto"/>
                            <w:bottom w:val="none" w:sz="0" w:space="0" w:color="auto"/>
                            <w:right w:val="none" w:sz="0" w:space="0" w:color="auto"/>
                          </w:divBdr>
                        </w:div>
                        <w:div w:id="875234663">
                          <w:marLeft w:val="0"/>
                          <w:marRight w:val="0"/>
                          <w:marTop w:val="0"/>
                          <w:marBottom w:val="0"/>
                          <w:divBdr>
                            <w:top w:val="none" w:sz="0" w:space="0" w:color="auto"/>
                            <w:left w:val="none" w:sz="0" w:space="0" w:color="auto"/>
                            <w:bottom w:val="none" w:sz="0" w:space="0" w:color="auto"/>
                            <w:right w:val="none" w:sz="0" w:space="0" w:color="auto"/>
                          </w:divBdr>
                        </w:div>
                        <w:div w:id="1483615347">
                          <w:marLeft w:val="0"/>
                          <w:marRight w:val="0"/>
                          <w:marTop w:val="0"/>
                          <w:marBottom w:val="0"/>
                          <w:divBdr>
                            <w:top w:val="none" w:sz="0" w:space="0" w:color="auto"/>
                            <w:left w:val="none" w:sz="0" w:space="0" w:color="auto"/>
                            <w:bottom w:val="none" w:sz="0" w:space="0" w:color="auto"/>
                            <w:right w:val="none" w:sz="0" w:space="0" w:color="auto"/>
                          </w:divBdr>
                        </w:div>
                        <w:div w:id="1462186592">
                          <w:marLeft w:val="0"/>
                          <w:marRight w:val="0"/>
                          <w:marTop w:val="0"/>
                          <w:marBottom w:val="0"/>
                          <w:divBdr>
                            <w:top w:val="none" w:sz="0" w:space="0" w:color="auto"/>
                            <w:left w:val="none" w:sz="0" w:space="0" w:color="auto"/>
                            <w:bottom w:val="none" w:sz="0" w:space="0" w:color="auto"/>
                            <w:right w:val="none" w:sz="0" w:space="0" w:color="auto"/>
                          </w:divBdr>
                        </w:div>
                        <w:div w:id="707996348">
                          <w:marLeft w:val="0"/>
                          <w:marRight w:val="0"/>
                          <w:marTop w:val="0"/>
                          <w:marBottom w:val="0"/>
                          <w:divBdr>
                            <w:top w:val="none" w:sz="0" w:space="0" w:color="auto"/>
                            <w:left w:val="none" w:sz="0" w:space="0" w:color="auto"/>
                            <w:bottom w:val="none" w:sz="0" w:space="0" w:color="auto"/>
                            <w:right w:val="none" w:sz="0" w:space="0" w:color="auto"/>
                          </w:divBdr>
                        </w:div>
                        <w:div w:id="2131775127">
                          <w:marLeft w:val="0"/>
                          <w:marRight w:val="0"/>
                          <w:marTop w:val="0"/>
                          <w:marBottom w:val="0"/>
                          <w:divBdr>
                            <w:top w:val="none" w:sz="0" w:space="0" w:color="auto"/>
                            <w:left w:val="none" w:sz="0" w:space="0" w:color="auto"/>
                            <w:bottom w:val="none" w:sz="0" w:space="0" w:color="auto"/>
                            <w:right w:val="none" w:sz="0" w:space="0" w:color="auto"/>
                          </w:divBdr>
                        </w:div>
                        <w:div w:id="613290484">
                          <w:marLeft w:val="0"/>
                          <w:marRight w:val="0"/>
                          <w:marTop w:val="0"/>
                          <w:marBottom w:val="0"/>
                          <w:divBdr>
                            <w:top w:val="none" w:sz="0" w:space="0" w:color="auto"/>
                            <w:left w:val="none" w:sz="0" w:space="0" w:color="auto"/>
                            <w:bottom w:val="none" w:sz="0" w:space="0" w:color="auto"/>
                            <w:right w:val="none" w:sz="0" w:space="0" w:color="auto"/>
                          </w:divBdr>
                        </w:div>
                        <w:div w:id="1154761695">
                          <w:marLeft w:val="0"/>
                          <w:marRight w:val="0"/>
                          <w:marTop w:val="0"/>
                          <w:marBottom w:val="0"/>
                          <w:divBdr>
                            <w:top w:val="none" w:sz="0" w:space="0" w:color="auto"/>
                            <w:left w:val="none" w:sz="0" w:space="0" w:color="auto"/>
                            <w:bottom w:val="none" w:sz="0" w:space="0" w:color="auto"/>
                            <w:right w:val="none" w:sz="0" w:space="0" w:color="auto"/>
                          </w:divBdr>
                        </w:div>
                        <w:div w:id="1495803276">
                          <w:marLeft w:val="0"/>
                          <w:marRight w:val="0"/>
                          <w:marTop w:val="0"/>
                          <w:marBottom w:val="0"/>
                          <w:divBdr>
                            <w:top w:val="none" w:sz="0" w:space="0" w:color="auto"/>
                            <w:left w:val="none" w:sz="0" w:space="0" w:color="auto"/>
                            <w:bottom w:val="none" w:sz="0" w:space="0" w:color="auto"/>
                            <w:right w:val="none" w:sz="0" w:space="0" w:color="auto"/>
                          </w:divBdr>
                        </w:div>
                        <w:div w:id="2028604533">
                          <w:marLeft w:val="0"/>
                          <w:marRight w:val="0"/>
                          <w:marTop w:val="0"/>
                          <w:marBottom w:val="0"/>
                          <w:divBdr>
                            <w:top w:val="none" w:sz="0" w:space="0" w:color="auto"/>
                            <w:left w:val="none" w:sz="0" w:space="0" w:color="auto"/>
                            <w:bottom w:val="none" w:sz="0" w:space="0" w:color="auto"/>
                            <w:right w:val="none" w:sz="0" w:space="0" w:color="auto"/>
                          </w:divBdr>
                        </w:div>
                        <w:div w:id="2041391413">
                          <w:marLeft w:val="0"/>
                          <w:marRight w:val="0"/>
                          <w:marTop w:val="0"/>
                          <w:marBottom w:val="0"/>
                          <w:divBdr>
                            <w:top w:val="none" w:sz="0" w:space="0" w:color="auto"/>
                            <w:left w:val="none" w:sz="0" w:space="0" w:color="auto"/>
                            <w:bottom w:val="none" w:sz="0" w:space="0" w:color="auto"/>
                            <w:right w:val="none" w:sz="0" w:space="0" w:color="auto"/>
                          </w:divBdr>
                        </w:div>
                        <w:div w:id="2056813426">
                          <w:marLeft w:val="0"/>
                          <w:marRight w:val="0"/>
                          <w:marTop w:val="0"/>
                          <w:marBottom w:val="0"/>
                          <w:divBdr>
                            <w:top w:val="none" w:sz="0" w:space="0" w:color="auto"/>
                            <w:left w:val="none" w:sz="0" w:space="0" w:color="auto"/>
                            <w:bottom w:val="none" w:sz="0" w:space="0" w:color="auto"/>
                            <w:right w:val="none" w:sz="0" w:space="0" w:color="auto"/>
                          </w:divBdr>
                        </w:div>
                        <w:div w:id="1919289508">
                          <w:marLeft w:val="0"/>
                          <w:marRight w:val="0"/>
                          <w:marTop w:val="0"/>
                          <w:marBottom w:val="0"/>
                          <w:divBdr>
                            <w:top w:val="none" w:sz="0" w:space="0" w:color="auto"/>
                            <w:left w:val="none" w:sz="0" w:space="0" w:color="auto"/>
                            <w:bottom w:val="none" w:sz="0" w:space="0" w:color="auto"/>
                            <w:right w:val="none" w:sz="0" w:space="0" w:color="auto"/>
                          </w:divBdr>
                        </w:div>
                        <w:div w:id="1935243284">
                          <w:marLeft w:val="0"/>
                          <w:marRight w:val="0"/>
                          <w:marTop w:val="0"/>
                          <w:marBottom w:val="0"/>
                          <w:divBdr>
                            <w:top w:val="none" w:sz="0" w:space="0" w:color="auto"/>
                            <w:left w:val="none" w:sz="0" w:space="0" w:color="auto"/>
                            <w:bottom w:val="none" w:sz="0" w:space="0" w:color="auto"/>
                            <w:right w:val="none" w:sz="0" w:space="0" w:color="auto"/>
                          </w:divBdr>
                        </w:div>
                        <w:div w:id="1446970649">
                          <w:marLeft w:val="0"/>
                          <w:marRight w:val="0"/>
                          <w:marTop w:val="0"/>
                          <w:marBottom w:val="0"/>
                          <w:divBdr>
                            <w:top w:val="none" w:sz="0" w:space="0" w:color="auto"/>
                            <w:left w:val="none" w:sz="0" w:space="0" w:color="auto"/>
                            <w:bottom w:val="none" w:sz="0" w:space="0" w:color="auto"/>
                            <w:right w:val="none" w:sz="0" w:space="0" w:color="auto"/>
                          </w:divBdr>
                        </w:div>
                        <w:div w:id="560559320">
                          <w:marLeft w:val="0"/>
                          <w:marRight w:val="0"/>
                          <w:marTop w:val="0"/>
                          <w:marBottom w:val="0"/>
                          <w:divBdr>
                            <w:top w:val="none" w:sz="0" w:space="0" w:color="auto"/>
                            <w:left w:val="none" w:sz="0" w:space="0" w:color="auto"/>
                            <w:bottom w:val="none" w:sz="0" w:space="0" w:color="auto"/>
                            <w:right w:val="none" w:sz="0" w:space="0" w:color="auto"/>
                          </w:divBdr>
                        </w:div>
                        <w:div w:id="991566876">
                          <w:marLeft w:val="0"/>
                          <w:marRight w:val="0"/>
                          <w:marTop w:val="0"/>
                          <w:marBottom w:val="0"/>
                          <w:divBdr>
                            <w:top w:val="none" w:sz="0" w:space="0" w:color="auto"/>
                            <w:left w:val="none" w:sz="0" w:space="0" w:color="auto"/>
                            <w:bottom w:val="none" w:sz="0" w:space="0" w:color="auto"/>
                            <w:right w:val="none" w:sz="0" w:space="0" w:color="auto"/>
                          </w:divBdr>
                        </w:div>
                        <w:div w:id="2045401646">
                          <w:marLeft w:val="0"/>
                          <w:marRight w:val="0"/>
                          <w:marTop w:val="0"/>
                          <w:marBottom w:val="0"/>
                          <w:divBdr>
                            <w:top w:val="none" w:sz="0" w:space="0" w:color="auto"/>
                            <w:left w:val="none" w:sz="0" w:space="0" w:color="auto"/>
                            <w:bottom w:val="none" w:sz="0" w:space="0" w:color="auto"/>
                            <w:right w:val="none" w:sz="0" w:space="0" w:color="auto"/>
                          </w:divBdr>
                        </w:div>
                        <w:div w:id="1263882194">
                          <w:marLeft w:val="0"/>
                          <w:marRight w:val="0"/>
                          <w:marTop w:val="0"/>
                          <w:marBottom w:val="0"/>
                          <w:divBdr>
                            <w:top w:val="none" w:sz="0" w:space="0" w:color="auto"/>
                            <w:left w:val="none" w:sz="0" w:space="0" w:color="auto"/>
                            <w:bottom w:val="none" w:sz="0" w:space="0" w:color="auto"/>
                            <w:right w:val="none" w:sz="0" w:space="0" w:color="auto"/>
                          </w:divBdr>
                        </w:div>
                        <w:div w:id="1461916889">
                          <w:marLeft w:val="0"/>
                          <w:marRight w:val="0"/>
                          <w:marTop w:val="0"/>
                          <w:marBottom w:val="0"/>
                          <w:divBdr>
                            <w:top w:val="none" w:sz="0" w:space="0" w:color="auto"/>
                            <w:left w:val="none" w:sz="0" w:space="0" w:color="auto"/>
                            <w:bottom w:val="none" w:sz="0" w:space="0" w:color="auto"/>
                            <w:right w:val="none" w:sz="0" w:space="0" w:color="auto"/>
                          </w:divBdr>
                        </w:div>
                        <w:div w:id="1604651769">
                          <w:marLeft w:val="0"/>
                          <w:marRight w:val="0"/>
                          <w:marTop w:val="0"/>
                          <w:marBottom w:val="0"/>
                          <w:divBdr>
                            <w:top w:val="none" w:sz="0" w:space="0" w:color="auto"/>
                            <w:left w:val="none" w:sz="0" w:space="0" w:color="auto"/>
                            <w:bottom w:val="none" w:sz="0" w:space="0" w:color="auto"/>
                            <w:right w:val="none" w:sz="0" w:space="0" w:color="auto"/>
                          </w:divBdr>
                        </w:div>
                        <w:div w:id="1906917264">
                          <w:marLeft w:val="0"/>
                          <w:marRight w:val="0"/>
                          <w:marTop w:val="0"/>
                          <w:marBottom w:val="0"/>
                          <w:divBdr>
                            <w:top w:val="none" w:sz="0" w:space="0" w:color="auto"/>
                            <w:left w:val="none" w:sz="0" w:space="0" w:color="auto"/>
                            <w:bottom w:val="none" w:sz="0" w:space="0" w:color="auto"/>
                            <w:right w:val="none" w:sz="0" w:space="0" w:color="auto"/>
                          </w:divBdr>
                        </w:div>
                        <w:div w:id="416681145">
                          <w:marLeft w:val="0"/>
                          <w:marRight w:val="0"/>
                          <w:marTop w:val="0"/>
                          <w:marBottom w:val="0"/>
                          <w:divBdr>
                            <w:top w:val="none" w:sz="0" w:space="0" w:color="auto"/>
                            <w:left w:val="none" w:sz="0" w:space="0" w:color="auto"/>
                            <w:bottom w:val="none" w:sz="0" w:space="0" w:color="auto"/>
                            <w:right w:val="none" w:sz="0" w:space="0" w:color="auto"/>
                          </w:divBdr>
                        </w:div>
                        <w:div w:id="386300150">
                          <w:marLeft w:val="0"/>
                          <w:marRight w:val="0"/>
                          <w:marTop w:val="0"/>
                          <w:marBottom w:val="0"/>
                          <w:divBdr>
                            <w:top w:val="none" w:sz="0" w:space="0" w:color="auto"/>
                            <w:left w:val="none" w:sz="0" w:space="0" w:color="auto"/>
                            <w:bottom w:val="none" w:sz="0" w:space="0" w:color="auto"/>
                            <w:right w:val="none" w:sz="0" w:space="0" w:color="auto"/>
                          </w:divBdr>
                        </w:div>
                        <w:div w:id="597179629">
                          <w:marLeft w:val="0"/>
                          <w:marRight w:val="0"/>
                          <w:marTop w:val="0"/>
                          <w:marBottom w:val="0"/>
                          <w:divBdr>
                            <w:top w:val="none" w:sz="0" w:space="0" w:color="auto"/>
                            <w:left w:val="none" w:sz="0" w:space="0" w:color="auto"/>
                            <w:bottom w:val="none" w:sz="0" w:space="0" w:color="auto"/>
                            <w:right w:val="none" w:sz="0" w:space="0" w:color="auto"/>
                          </w:divBdr>
                        </w:div>
                        <w:div w:id="1860654996">
                          <w:marLeft w:val="0"/>
                          <w:marRight w:val="0"/>
                          <w:marTop w:val="0"/>
                          <w:marBottom w:val="0"/>
                          <w:divBdr>
                            <w:top w:val="none" w:sz="0" w:space="0" w:color="auto"/>
                            <w:left w:val="none" w:sz="0" w:space="0" w:color="auto"/>
                            <w:bottom w:val="none" w:sz="0" w:space="0" w:color="auto"/>
                            <w:right w:val="none" w:sz="0" w:space="0" w:color="auto"/>
                          </w:divBdr>
                        </w:div>
                        <w:div w:id="1822187227">
                          <w:marLeft w:val="0"/>
                          <w:marRight w:val="0"/>
                          <w:marTop w:val="0"/>
                          <w:marBottom w:val="0"/>
                          <w:divBdr>
                            <w:top w:val="none" w:sz="0" w:space="0" w:color="auto"/>
                            <w:left w:val="none" w:sz="0" w:space="0" w:color="auto"/>
                            <w:bottom w:val="none" w:sz="0" w:space="0" w:color="auto"/>
                            <w:right w:val="none" w:sz="0" w:space="0" w:color="auto"/>
                          </w:divBdr>
                        </w:div>
                        <w:div w:id="561133810">
                          <w:marLeft w:val="0"/>
                          <w:marRight w:val="0"/>
                          <w:marTop w:val="0"/>
                          <w:marBottom w:val="0"/>
                          <w:divBdr>
                            <w:top w:val="none" w:sz="0" w:space="0" w:color="auto"/>
                            <w:left w:val="none" w:sz="0" w:space="0" w:color="auto"/>
                            <w:bottom w:val="none" w:sz="0" w:space="0" w:color="auto"/>
                            <w:right w:val="none" w:sz="0" w:space="0" w:color="auto"/>
                          </w:divBdr>
                        </w:div>
                        <w:div w:id="1093428793">
                          <w:marLeft w:val="0"/>
                          <w:marRight w:val="0"/>
                          <w:marTop w:val="0"/>
                          <w:marBottom w:val="0"/>
                          <w:divBdr>
                            <w:top w:val="none" w:sz="0" w:space="0" w:color="auto"/>
                            <w:left w:val="none" w:sz="0" w:space="0" w:color="auto"/>
                            <w:bottom w:val="none" w:sz="0" w:space="0" w:color="auto"/>
                            <w:right w:val="none" w:sz="0" w:space="0" w:color="auto"/>
                          </w:divBdr>
                        </w:div>
                        <w:div w:id="764618274">
                          <w:marLeft w:val="0"/>
                          <w:marRight w:val="0"/>
                          <w:marTop w:val="0"/>
                          <w:marBottom w:val="0"/>
                          <w:divBdr>
                            <w:top w:val="none" w:sz="0" w:space="0" w:color="auto"/>
                            <w:left w:val="none" w:sz="0" w:space="0" w:color="auto"/>
                            <w:bottom w:val="none" w:sz="0" w:space="0" w:color="auto"/>
                            <w:right w:val="none" w:sz="0" w:space="0" w:color="auto"/>
                          </w:divBdr>
                        </w:div>
                        <w:div w:id="2134471520">
                          <w:marLeft w:val="0"/>
                          <w:marRight w:val="0"/>
                          <w:marTop w:val="0"/>
                          <w:marBottom w:val="0"/>
                          <w:divBdr>
                            <w:top w:val="none" w:sz="0" w:space="0" w:color="auto"/>
                            <w:left w:val="none" w:sz="0" w:space="0" w:color="auto"/>
                            <w:bottom w:val="none" w:sz="0" w:space="0" w:color="auto"/>
                            <w:right w:val="none" w:sz="0" w:space="0" w:color="auto"/>
                          </w:divBdr>
                        </w:div>
                        <w:div w:id="1510831761">
                          <w:marLeft w:val="0"/>
                          <w:marRight w:val="0"/>
                          <w:marTop w:val="0"/>
                          <w:marBottom w:val="0"/>
                          <w:divBdr>
                            <w:top w:val="none" w:sz="0" w:space="0" w:color="auto"/>
                            <w:left w:val="none" w:sz="0" w:space="0" w:color="auto"/>
                            <w:bottom w:val="none" w:sz="0" w:space="0" w:color="auto"/>
                            <w:right w:val="none" w:sz="0" w:space="0" w:color="auto"/>
                          </w:divBdr>
                        </w:div>
                        <w:div w:id="1167212019">
                          <w:marLeft w:val="0"/>
                          <w:marRight w:val="0"/>
                          <w:marTop w:val="0"/>
                          <w:marBottom w:val="0"/>
                          <w:divBdr>
                            <w:top w:val="none" w:sz="0" w:space="0" w:color="auto"/>
                            <w:left w:val="none" w:sz="0" w:space="0" w:color="auto"/>
                            <w:bottom w:val="none" w:sz="0" w:space="0" w:color="auto"/>
                            <w:right w:val="none" w:sz="0" w:space="0" w:color="auto"/>
                          </w:divBdr>
                        </w:div>
                        <w:div w:id="580066990">
                          <w:marLeft w:val="0"/>
                          <w:marRight w:val="0"/>
                          <w:marTop w:val="0"/>
                          <w:marBottom w:val="0"/>
                          <w:divBdr>
                            <w:top w:val="none" w:sz="0" w:space="0" w:color="auto"/>
                            <w:left w:val="none" w:sz="0" w:space="0" w:color="auto"/>
                            <w:bottom w:val="none" w:sz="0" w:space="0" w:color="auto"/>
                            <w:right w:val="none" w:sz="0" w:space="0" w:color="auto"/>
                          </w:divBdr>
                        </w:div>
                        <w:div w:id="158422517">
                          <w:marLeft w:val="0"/>
                          <w:marRight w:val="0"/>
                          <w:marTop w:val="0"/>
                          <w:marBottom w:val="0"/>
                          <w:divBdr>
                            <w:top w:val="none" w:sz="0" w:space="0" w:color="auto"/>
                            <w:left w:val="none" w:sz="0" w:space="0" w:color="auto"/>
                            <w:bottom w:val="none" w:sz="0" w:space="0" w:color="auto"/>
                            <w:right w:val="none" w:sz="0" w:space="0" w:color="auto"/>
                          </w:divBdr>
                        </w:div>
                        <w:div w:id="976495821">
                          <w:marLeft w:val="0"/>
                          <w:marRight w:val="0"/>
                          <w:marTop w:val="0"/>
                          <w:marBottom w:val="0"/>
                          <w:divBdr>
                            <w:top w:val="none" w:sz="0" w:space="0" w:color="auto"/>
                            <w:left w:val="none" w:sz="0" w:space="0" w:color="auto"/>
                            <w:bottom w:val="none" w:sz="0" w:space="0" w:color="auto"/>
                            <w:right w:val="none" w:sz="0" w:space="0" w:color="auto"/>
                          </w:divBdr>
                        </w:div>
                        <w:div w:id="1510371875">
                          <w:marLeft w:val="0"/>
                          <w:marRight w:val="0"/>
                          <w:marTop w:val="0"/>
                          <w:marBottom w:val="0"/>
                          <w:divBdr>
                            <w:top w:val="none" w:sz="0" w:space="0" w:color="auto"/>
                            <w:left w:val="none" w:sz="0" w:space="0" w:color="auto"/>
                            <w:bottom w:val="none" w:sz="0" w:space="0" w:color="auto"/>
                            <w:right w:val="none" w:sz="0" w:space="0" w:color="auto"/>
                          </w:divBdr>
                        </w:div>
                        <w:div w:id="1263956181">
                          <w:marLeft w:val="0"/>
                          <w:marRight w:val="0"/>
                          <w:marTop w:val="0"/>
                          <w:marBottom w:val="0"/>
                          <w:divBdr>
                            <w:top w:val="none" w:sz="0" w:space="0" w:color="auto"/>
                            <w:left w:val="none" w:sz="0" w:space="0" w:color="auto"/>
                            <w:bottom w:val="none" w:sz="0" w:space="0" w:color="auto"/>
                            <w:right w:val="none" w:sz="0" w:space="0" w:color="auto"/>
                          </w:divBdr>
                        </w:div>
                        <w:div w:id="1196772347">
                          <w:marLeft w:val="0"/>
                          <w:marRight w:val="0"/>
                          <w:marTop w:val="0"/>
                          <w:marBottom w:val="0"/>
                          <w:divBdr>
                            <w:top w:val="none" w:sz="0" w:space="0" w:color="auto"/>
                            <w:left w:val="none" w:sz="0" w:space="0" w:color="auto"/>
                            <w:bottom w:val="none" w:sz="0" w:space="0" w:color="auto"/>
                            <w:right w:val="none" w:sz="0" w:space="0" w:color="auto"/>
                          </w:divBdr>
                        </w:div>
                        <w:div w:id="2006666795">
                          <w:marLeft w:val="0"/>
                          <w:marRight w:val="0"/>
                          <w:marTop w:val="0"/>
                          <w:marBottom w:val="0"/>
                          <w:divBdr>
                            <w:top w:val="none" w:sz="0" w:space="0" w:color="auto"/>
                            <w:left w:val="none" w:sz="0" w:space="0" w:color="auto"/>
                            <w:bottom w:val="none" w:sz="0" w:space="0" w:color="auto"/>
                            <w:right w:val="none" w:sz="0" w:space="0" w:color="auto"/>
                          </w:divBdr>
                        </w:div>
                        <w:div w:id="1647320712">
                          <w:marLeft w:val="0"/>
                          <w:marRight w:val="0"/>
                          <w:marTop w:val="0"/>
                          <w:marBottom w:val="0"/>
                          <w:divBdr>
                            <w:top w:val="none" w:sz="0" w:space="0" w:color="auto"/>
                            <w:left w:val="none" w:sz="0" w:space="0" w:color="auto"/>
                            <w:bottom w:val="none" w:sz="0" w:space="0" w:color="auto"/>
                            <w:right w:val="none" w:sz="0" w:space="0" w:color="auto"/>
                          </w:divBdr>
                        </w:div>
                        <w:div w:id="1564831624">
                          <w:marLeft w:val="0"/>
                          <w:marRight w:val="0"/>
                          <w:marTop w:val="0"/>
                          <w:marBottom w:val="0"/>
                          <w:divBdr>
                            <w:top w:val="none" w:sz="0" w:space="0" w:color="auto"/>
                            <w:left w:val="none" w:sz="0" w:space="0" w:color="auto"/>
                            <w:bottom w:val="none" w:sz="0" w:space="0" w:color="auto"/>
                            <w:right w:val="none" w:sz="0" w:space="0" w:color="auto"/>
                          </w:divBdr>
                        </w:div>
                        <w:div w:id="125351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708793">
          <w:marLeft w:val="-120"/>
          <w:marRight w:val="-300"/>
          <w:marTop w:val="0"/>
          <w:marBottom w:val="0"/>
          <w:divBdr>
            <w:top w:val="none" w:sz="0" w:space="0" w:color="auto"/>
            <w:left w:val="none" w:sz="0" w:space="0" w:color="auto"/>
            <w:bottom w:val="none" w:sz="0" w:space="0" w:color="auto"/>
            <w:right w:val="none" w:sz="0" w:space="0" w:color="auto"/>
          </w:divBdr>
          <w:divsChild>
            <w:div w:id="377053639">
              <w:marLeft w:val="0"/>
              <w:marRight w:val="0"/>
              <w:marTop w:val="0"/>
              <w:marBottom w:val="0"/>
              <w:divBdr>
                <w:top w:val="none" w:sz="0" w:space="0" w:color="auto"/>
                <w:left w:val="none" w:sz="0" w:space="0" w:color="auto"/>
                <w:bottom w:val="none" w:sz="0" w:space="0" w:color="auto"/>
                <w:right w:val="none" w:sz="0" w:space="0" w:color="auto"/>
              </w:divBdr>
              <w:divsChild>
                <w:div w:id="1450784322">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0" Type="http://schemas.microsoft.com/office/2018/08/relationships/commentsExtensible" Target="commentsExtensible.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6F80DC-5FFB-466D-A755-B1D457543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3366</TotalTime>
  <Pages>10</Pages>
  <Words>3762</Words>
  <Characters>21450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lnelson</dc:creator>
  <cp:keywords/>
  <dc:description/>
  <cp:lastModifiedBy>lnelson</cp:lastModifiedBy>
  <cp:revision>7</cp:revision>
  <cp:lastPrinted>2023-12-10T14:53:00Z</cp:lastPrinted>
  <dcterms:created xsi:type="dcterms:W3CDTF">2023-12-10T14:53:00Z</dcterms:created>
  <dcterms:modified xsi:type="dcterms:W3CDTF">2023-12-14T10:38:00Z</dcterms:modified>
</cp:coreProperties>
</file>