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A0E2FB" w14:textId="77777777" w:rsidR="00081290" w:rsidRDefault="00081290" w:rsidP="00081290">
      <w:pPr>
        <w:rPr>
          <w:b/>
          <w:bCs/>
          <w:sz w:val="28"/>
          <w:szCs w:val="28"/>
        </w:rPr>
      </w:pPr>
    </w:p>
    <w:p w14:paraId="3930A015" w14:textId="77777777" w:rsidR="00081290" w:rsidRDefault="00081290" w:rsidP="00081290">
      <w:pPr>
        <w:jc w:val="center"/>
        <w:rPr>
          <w:b/>
          <w:bCs/>
          <w:sz w:val="28"/>
          <w:szCs w:val="28"/>
        </w:rPr>
      </w:pPr>
    </w:p>
    <w:p w14:paraId="197A2ADC" w14:textId="33A6DB08" w:rsidR="00081290" w:rsidRPr="000E2954" w:rsidRDefault="009556E7" w:rsidP="00081290">
      <w:pPr>
        <w:jc w:val="center"/>
      </w:pPr>
      <w:r>
        <w:rPr>
          <w:noProof/>
        </w:rPr>
        <w:drawing>
          <wp:inline distT="0" distB="0" distL="0" distR="0" wp14:anchorId="232D90CF" wp14:editId="0DAFF6DD">
            <wp:extent cx="2627246" cy="1097280"/>
            <wp:effectExtent l="0" t="0" r="1905" b="7620"/>
            <wp:docPr id="1212892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892228" name="Picture 1212892228"/>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01869" cy="1128447"/>
                    </a:xfrm>
                    <a:prstGeom prst="rect">
                      <a:avLst/>
                    </a:prstGeom>
                  </pic:spPr>
                </pic:pic>
              </a:graphicData>
            </a:graphic>
          </wp:inline>
        </w:drawing>
      </w:r>
    </w:p>
    <w:p w14:paraId="7ECAFC9B" w14:textId="77777777" w:rsidR="00081290" w:rsidRDefault="00081290" w:rsidP="00081290">
      <w:pPr>
        <w:spacing w:line="240" w:lineRule="auto"/>
        <w:jc w:val="center"/>
        <w:rPr>
          <w:b/>
          <w:bCs/>
        </w:rPr>
      </w:pPr>
      <w:r w:rsidRPr="00680A57">
        <w:rPr>
          <w:b/>
          <w:bCs/>
        </w:rPr>
        <w:t>Assessment component 1: Marketing Environment Analysis</w:t>
      </w:r>
    </w:p>
    <w:p w14:paraId="4C49B979" w14:textId="77777777" w:rsidR="00081290" w:rsidRPr="000E2954" w:rsidRDefault="00081290" w:rsidP="00081290">
      <w:pPr>
        <w:spacing w:line="240" w:lineRule="auto"/>
        <w:jc w:val="center"/>
      </w:pPr>
      <w:r w:rsidRPr="000E2954">
        <w:rPr>
          <w:b/>
          <w:bCs/>
        </w:rPr>
        <w:t>Module:</w:t>
      </w:r>
      <w:r w:rsidRPr="000E2954">
        <w:t xml:space="preserve"> </w:t>
      </w:r>
      <w:r w:rsidRPr="00680A57">
        <w:t>Marketing Management</w:t>
      </w:r>
      <w:r w:rsidRPr="000E2954">
        <w:br/>
      </w:r>
      <w:r w:rsidRPr="000E2954">
        <w:rPr>
          <w:b/>
          <w:bCs/>
        </w:rPr>
        <w:t>Module Code:</w:t>
      </w:r>
      <w:r w:rsidRPr="000E2954">
        <w:t xml:space="preserve"> LCMB702</w:t>
      </w:r>
      <w:r>
        <w:t>4</w:t>
      </w:r>
    </w:p>
    <w:p w14:paraId="435D37D7" w14:textId="77777777" w:rsidR="00081290" w:rsidRPr="000E2954" w:rsidRDefault="00081290" w:rsidP="00081290">
      <w:pPr>
        <w:spacing w:line="240" w:lineRule="auto"/>
        <w:jc w:val="center"/>
      </w:pPr>
      <w:r w:rsidRPr="000E2954">
        <w:rPr>
          <w:b/>
          <w:bCs/>
        </w:rPr>
        <w:t>Programme:</w:t>
      </w:r>
      <w:r w:rsidRPr="000E2954">
        <w:t xml:space="preserve"> Master of Business Administration (MBA)</w:t>
      </w:r>
    </w:p>
    <w:p w14:paraId="6A34079F" w14:textId="566C92EA" w:rsidR="00081290" w:rsidRPr="009556E7" w:rsidRDefault="00081290" w:rsidP="00081290">
      <w:pPr>
        <w:spacing w:line="240" w:lineRule="auto"/>
        <w:jc w:val="center"/>
        <w:rPr>
          <w:lang w:val="en-IN"/>
        </w:rPr>
      </w:pPr>
      <w:r w:rsidRPr="009556E7">
        <w:rPr>
          <w:b/>
          <w:bCs/>
          <w:lang w:val="en-IN"/>
        </w:rPr>
        <w:t>Student Name:</w:t>
      </w:r>
      <w:r w:rsidRPr="009556E7">
        <w:rPr>
          <w:lang w:val="en-IN"/>
        </w:rPr>
        <w:t xml:space="preserve"> </w:t>
      </w:r>
      <w:r w:rsidR="009556E7" w:rsidRPr="009556E7">
        <w:rPr>
          <w:color w:val="000000" w:themeColor="text1"/>
          <w:lang w:val="en-IN"/>
        </w:rPr>
        <w:t>RAJESH LILABHAI AGATH</w:t>
      </w:r>
      <w:r w:rsidRPr="009556E7">
        <w:rPr>
          <w:lang w:val="en-IN"/>
        </w:rPr>
        <w:br/>
      </w:r>
      <w:r w:rsidRPr="009556E7">
        <w:rPr>
          <w:b/>
          <w:bCs/>
          <w:lang w:val="en-IN"/>
        </w:rPr>
        <w:t>Student ID:</w:t>
      </w:r>
      <w:r w:rsidR="009556E7">
        <w:rPr>
          <w:b/>
          <w:bCs/>
          <w:lang w:val="en-IN"/>
        </w:rPr>
        <w:t xml:space="preserve"> 2531869</w:t>
      </w:r>
      <w:r w:rsidRPr="009556E7">
        <w:rPr>
          <w:lang w:val="en-IN"/>
        </w:rPr>
        <w:t xml:space="preserve"> </w:t>
      </w:r>
    </w:p>
    <w:p w14:paraId="69155AC4" w14:textId="2532172E" w:rsidR="00081290" w:rsidRPr="000E2954" w:rsidRDefault="00081290" w:rsidP="00081290">
      <w:pPr>
        <w:spacing w:line="240" w:lineRule="auto"/>
        <w:jc w:val="center"/>
      </w:pPr>
      <w:r w:rsidRPr="000E2954">
        <w:rPr>
          <w:b/>
          <w:bCs/>
        </w:rPr>
        <w:t>Lecturer:</w:t>
      </w:r>
      <w:r w:rsidRPr="000E2954">
        <w:t xml:space="preserve"> </w:t>
      </w:r>
      <w:r w:rsidR="009556E7">
        <w:t>Dr Tola Odugbsesan</w:t>
      </w:r>
    </w:p>
    <w:p w14:paraId="734802A4" w14:textId="77777777" w:rsidR="00081290" w:rsidRPr="000E2954" w:rsidRDefault="00081290" w:rsidP="00081290">
      <w:pPr>
        <w:spacing w:line="240" w:lineRule="auto"/>
        <w:jc w:val="center"/>
      </w:pPr>
      <w:r w:rsidRPr="000E2954">
        <w:rPr>
          <w:b/>
          <w:bCs/>
        </w:rPr>
        <w:t>University:</w:t>
      </w:r>
      <w:r w:rsidRPr="000E2954">
        <w:t xml:space="preserve"> University of Wales Trinity Saint David</w:t>
      </w:r>
      <w:r>
        <w:t xml:space="preserve">  </w:t>
      </w:r>
    </w:p>
    <w:p w14:paraId="2C9A4DEF" w14:textId="77777777" w:rsidR="00081290" w:rsidRPr="000E2954" w:rsidRDefault="00081290" w:rsidP="00081290">
      <w:pPr>
        <w:jc w:val="center"/>
      </w:pPr>
    </w:p>
    <w:p w14:paraId="6EDDB467" w14:textId="77777777" w:rsidR="00081290" w:rsidRDefault="00081290">
      <w:pPr>
        <w:jc w:val="center"/>
        <w:rPr>
          <w:b/>
          <w:bCs/>
          <w:sz w:val="32"/>
          <w:szCs w:val="32"/>
        </w:rPr>
      </w:pPr>
    </w:p>
    <w:p w14:paraId="30CA0507" w14:textId="77777777" w:rsidR="00081290" w:rsidRDefault="00081290">
      <w:pPr>
        <w:jc w:val="center"/>
        <w:rPr>
          <w:b/>
          <w:bCs/>
          <w:sz w:val="32"/>
          <w:szCs w:val="32"/>
        </w:rPr>
      </w:pPr>
    </w:p>
    <w:p w14:paraId="2C9E332A" w14:textId="77777777" w:rsidR="00081290" w:rsidRDefault="00081290">
      <w:pPr>
        <w:jc w:val="center"/>
        <w:rPr>
          <w:b/>
          <w:bCs/>
          <w:sz w:val="32"/>
          <w:szCs w:val="32"/>
        </w:rPr>
      </w:pPr>
    </w:p>
    <w:p w14:paraId="2962ECA0" w14:textId="77777777" w:rsidR="00081290" w:rsidRDefault="00081290">
      <w:pPr>
        <w:jc w:val="center"/>
        <w:rPr>
          <w:b/>
          <w:bCs/>
          <w:sz w:val="32"/>
          <w:szCs w:val="32"/>
        </w:rPr>
      </w:pPr>
    </w:p>
    <w:p w14:paraId="091C704B" w14:textId="77777777" w:rsidR="00081290" w:rsidRDefault="00081290">
      <w:pPr>
        <w:jc w:val="center"/>
        <w:rPr>
          <w:b/>
          <w:bCs/>
          <w:sz w:val="32"/>
          <w:szCs w:val="32"/>
        </w:rPr>
      </w:pPr>
    </w:p>
    <w:p w14:paraId="399AE70E" w14:textId="77777777" w:rsidR="00081290" w:rsidRDefault="00081290">
      <w:pPr>
        <w:jc w:val="center"/>
        <w:rPr>
          <w:b/>
          <w:bCs/>
          <w:sz w:val="32"/>
          <w:szCs w:val="32"/>
        </w:rPr>
      </w:pPr>
    </w:p>
    <w:p w14:paraId="190AAF62" w14:textId="77777777" w:rsidR="00081290" w:rsidRDefault="00081290">
      <w:pPr>
        <w:jc w:val="center"/>
        <w:rPr>
          <w:b/>
          <w:bCs/>
          <w:sz w:val="32"/>
          <w:szCs w:val="32"/>
        </w:rPr>
      </w:pPr>
    </w:p>
    <w:p w14:paraId="2379015C" w14:textId="77777777" w:rsidR="00081290" w:rsidRDefault="00081290">
      <w:pPr>
        <w:jc w:val="center"/>
        <w:rPr>
          <w:b/>
          <w:bCs/>
          <w:sz w:val="32"/>
          <w:szCs w:val="32"/>
        </w:rPr>
      </w:pPr>
    </w:p>
    <w:p w14:paraId="55088F48" w14:textId="77777777" w:rsidR="00081290" w:rsidRDefault="00081290">
      <w:pPr>
        <w:jc w:val="center"/>
        <w:rPr>
          <w:b/>
          <w:bCs/>
          <w:sz w:val="32"/>
          <w:szCs w:val="32"/>
        </w:rPr>
      </w:pPr>
    </w:p>
    <w:p w14:paraId="3B40C691" w14:textId="77777777" w:rsidR="00081290" w:rsidRDefault="00081290">
      <w:pPr>
        <w:jc w:val="center"/>
        <w:rPr>
          <w:b/>
          <w:bCs/>
          <w:sz w:val="32"/>
          <w:szCs w:val="32"/>
        </w:rPr>
      </w:pPr>
    </w:p>
    <w:p w14:paraId="2BDCC62D" w14:textId="77777777" w:rsidR="00081290" w:rsidRDefault="00081290">
      <w:pPr>
        <w:jc w:val="center"/>
        <w:rPr>
          <w:b/>
          <w:bCs/>
          <w:sz w:val="32"/>
          <w:szCs w:val="32"/>
        </w:rPr>
      </w:pPr>
    </w:p>
    <w:p w14:paraId="01397D45" w14:textId="77777777" w:rsidR="00081290" w:rsidRDefault="00081290">
      <w:pPr>
        <w:jc w:val="center"/>
        <w:rPr>
          <w:b/>
          <w:bCs/>
          <w:sz w:val="32"/>
          <w:szCs w:val="32"/>
        </w:rPr>
      </w:pPr>
    </w:p>
    <w:p w14:paraId="08E6E77C" w14:textId="77777777" w:rsidR="00081290" w:rsidRDefault="00081290">
      <w:pPr>
        <w:jc w:val="center"/>
        <w:rPr>
          <w:b/>
          <w:bCs/>
          <w:sz w:val="32"/>
          <w:szCs w:val="32"/>
        </w:rPr>
      </w:pPr>
    </w:p>
    <w:p w14:paraId="667F1A62" w14:textId="77777777" w:rsidR="00081290" w:rsidRDefault="00081290">
      <w:pPr>
        <w:jc w:val="center"/>
        <w:rPr>
          <w:b/>
          <w:bCs/>
          <w:sz w:val="32"/>
          <w:szCs w:val="32"/>
        </w:rPr>
      </w:pPr>
    </w:p>
    <w:p w14:paraId="165742E2" w14:textId="77777777" w:rsidR="000745C6" w:rsidRDefault="000745C6" w:rsidP="00081290">
      <w:pPr>
        <w:rPr>
          <w:b/>
          <w:bCs/>
          <w:sz w:val="32"/>
          <w:szCs w:val="32"/>
        </w:rPr>
      </w:pPr>
    </w:p>
    <w:p w14:paraId="2CAD8942" w14:textId="77777777" w:rsidR="000745C6" w:rsidRDefault="00000000">
      <w:pPr>
        <w:jc w:val="center"/>
        <w:rPr>
          <w:b/>
          <w:bCs/>
          <w:sz w:val="32"/>
          <w:szCs w:val="32"/>
        </w:rPr>
      </w:pPr>
      <w:r>
        <w:rPr>
          <w:b/>
          <w:bCs/>
          <w:sz w:val="32"/>
          <w:szCs w:val="32"/>
        </w:rPr>
        <w:t>Marketing Environment Analysis: Monzo (Pioneer) vs Barclays (Follower) in the UK Banking Industry</w:t>
      </w:r>
    </w:p>
    <w:p w14:paraId="18776DF3" w14:textId="77777777" w:rsidR="000745C6" w:rsidRDefault="000745C6"/>
    <w:p w14:paraId="38C1D19E" w14:textId="77777777" w:rsidR="000745C6" w:rsidRDefault="00000000">
      <w:r>
        <w:br w:type="page"/>
      </w:r>
    </w:p>
    <w:p w14:paraId="7E935D6B" w14:textId="77777777" w:rsidR="000745C6" w:rsidRDefault="00000000">
      <w:pPr>
        <w:jc w:val="center"/>
        <w:rPr>
          <w:b/>
          <w:bCs/>
          <w:sz w:val="28"/>
          <w:szCs w:val="28"/>
        </w:rPr>
      </w:pPr>
      <w:r>
        <w:rPr>
          <w:b/>
          <w:bCs/>
          <w:sz w:val="28"/>
          <w:szCs w:val="28"/>
        </w:rPr>
        <w:lastRenderedPageBreak/>
        <w:t>TABLE OF CONTENT</w:t>
      </w:r>
    </w:p>
    <w:sdt>
      <w:sdtPr>
        <w:id w:val="1555518300"/>
        <w:docPartObj>
          <w:docPartGallery w:val="Table of Contents"/>
          <w:docPartUnique/>
        </w:docPartObj>
      </w:sdtPr>
      <w:sdtContent>
        <w:p w14:paraId="69101531" w14:textId="02FB0E0E" w:rsidR="00C446C7" w:rsidRDefault="00000000">
          <w:pPr>
            <w:pStyle w:val="TOC1"/>
            <w:tabs>
              <w:tab w:val="right" w:leader="dot" w:pos="9019"/>
            </w:tabs>
            <w:rPr>
              <w:noProof/>
            </w:rPr>
          </w:pPr>
          <w:r>
            <w:fldChar w:fldCharType="begin"/>
          </w:r>
          <w:r>
            <w:instrText xml:space="preserve"> TOC \h \u \z \t "Heading 1,1,Heading 2,2,Heading 3,3,Heading 4,4,Heading 5,5,Heading 6,6,"</w:instrText>
          </w:r>
          <w:r>
            <w:fldChar w:fldCharType="separate"/>
          </w:r>
          <w:hyperlink w:anchor="_Toc225236253" w:history="1">
            <w:r w:rsidR="00C446C7" w:rsidRPr="0088092A">
              <w:rPr>
                <w:rStyle w:val="Hyperlink"/>
                <w:noProof/>
              </w:rPr>
              <w:t>1. Introduction</w:t>
            </w:r>
            <w:r w:rsidR="00C446C7">
              <w:rPr>
                <w:noProof/>
                <w:webHidden/>
              </w:rPr>
              <w:tab/>
            </w:r>
            <w:r w:rsidR="00C446C7">
              <w:rPr>
                <w:noProof/>
                <w:webHidden/>
              </w:rPr>
              <w:fldChar w:fldCharType="begin"/>
            </w:r>
            <w:r w:rsidR="00C446C7">
              <w:rPr>
                <w:noProof/>
                <w:webHidden/>
              </w:rPr>
              <w:instrText xml:space="preserve"> PAGEREF _Toc225236253 \h </w:instrText>
            </w:r>
            <w:r w:rsidR="00C446C7">
              <w:rPr>
                <w:noProof/>
                <w:webHidden/>
              </w:rPr>
            </w:r>
            <w:r w:rsidR="00C446C7">
              <w:rPr>
                <w:noProof/>
                <w:webHidden/>
              </w:rPr>
              <w:fldChar w:fldCharType="separate"/>
            </w:r>
            <w:r w:rsidR="00EC43A2">
              <w:rPr>
                <w:noProof/>
                <w:webHidden/>
              </w:rPr>
              <w:t>4</w:t>
            </w:r>
            <w:r w:rsidR="00C446C7">
              <w:rPr>
                <w:noProof/>
                <w:webHidden/>
              </w:rPr>
              <w:fldChar w:fldCharType="end"/>
            </w:r>
          </w:hyperlink>
        </w:p>
        <w:p w14:paraId="2909E2E7" w14:textId="709CD078" w:rsidR="00C446C7" w:rsidRDefault="00C446C7">
          <w:pPr>
            <w:pStyle w:val="TOC1"/>
            <w:tabs>
              <w:tab w:val="right" w:leader="dot" w:pos="9019"/>
            </w:tabs>
            <w:rPr>
              <w:noProof/>
            </w:rPr>
          </w:pPr>
          <w:hyperlink w:anchor="_Toc225236254" w:history="1">
            <w:r w:rsidRPr="0088092A">
              <w:rPr>
                <w:rStyle w:val="Hyperlink"/>
                <w:noProof/>
              </w:rPr>
              <w:t>2. Macro Environment Analysis (Task 1)</w:t>
            </w:r>
            <w:r>
              <w:rPr>
                <w:noProof/>
                <w:webHidden/>
              </w:rPr>
              <w:tab/>
            </w:r>
            <w:r>
              <w:rPr>
                <w:noProof/>
                <w:webHidden/>
              </w:rPr>
              <w:fldChar w:fldCharType="begin"/>
            </w:r>
            <w:r>
              <w:rPr>
                <w:noProof/>
                <w:webHidden/>
              </w:rPr>
              <w:instrText xml:space="preserve"> PAGEREF _Toc225236254 \h </w:instrText>
            </w:r>
            <w:r>
              <w:rPr>
                <w:noProof/>
                <w:webHidden/>
              </w:rPr>
            </w:r>
            <w:r>
              <w:rPr>
                <w:noProof/>
                <w:webHidden/>
              </w:rPr>
              <w:fldChar w:fldCharType="separate"/>
            </w:r>
            <w:r w:rsidR="00EC43A2">
              <w:rPr>
                <w:noProof/>
                <w:webHidden/>
              </w:rPr>
              <w:t>4</w:t>
            </w:r>
            <w:r>
              <w:rPr>
                <w:noProof/>
                <w:webHidden/>
              </w:rPr>
              <w:fldChar w:fldCharType="end"/>
            </w:r>
          </w:hyperlink>
        </w:p>
        <w:p w14:paraId="7B52732F" w14:textId="2F2772C4" w:rsidR="00C446C7" w:rsidRDefault="00C446C7">
          <w:pPr>
            <w:pStyle w:val="TOC2"/>
            <w:tabs>
              <w:tab w:val="right" w:leader="dot" w:pos="9019"/>
            </w:tabs>
            <w:rPr>
              <w:noProof/>
            </w:rPr>
          </w:pPr>
          <w:hyperlink w:anchor="_Toc225236255" w:history="1">
            <w:r w:rsidRPr="0088092A">
              <w:rPr>
                <w:rStyle w:val="Hyperlink"/>
                <w:noProof/>
              </w:rPr>
              <w:t>2.1 Overview of PESTEL Framework</w:t>
            </w:r>
            <w:r>
              <w:rPr>
                <w:noProof/>
                <w:webHidden/>
              </w:rPr>
              <w:tab/>
            </w:r>
            <w:r>
              <w:rPr>
                <w:noProof/>
                <w:webHidden/>
              </w:rPr>
              <w:fldChar w:fldCharType="begin"/>
            </w:r>
            <w:r>
              <w:rPr>
                <w:noProof/>
                <w:webHidden/>
              </w:rPr>
              <w:instrText xml:space="preserve"> PAGEREF _Toc225236255 \h </w:instrText>
            </w:r>
            <w:r>
              <w:rPr>
                <w:noProof/>
                <w:webHidden/>
              </w:rPr>
            </w:r>
            <w:r>
              <w:rPr>
                <w:noProof/>
                <w:webHidden/>
              </w:rPr>
              <w:fldChar w:fldCharType="separate"/>
            </w:r>
            <w:r w:rsidR="00EC43A2">
              <w:rPr>
                <w:noProof/>
                <w:webHidden/>
              </w:rPr>
              <w:t>4</w:t>
            </w:r>
            <w:r>
              <w:rPr>
                <w:noProof/>
                <w:webHidden/>
              </w:rPr>
              <w:fldChar w:fldCharType="end"/>
            </w:r>
          </w:hyperlink>
        </w:p>
        <w:p w14:paraId="2519C5EA" w14:textId="1820A590" w:rsidR="00C446C7" w:rsidRDefault="00C446C7">
          <w:pPr>
            <w:pStyle w:val="TOC2"/>
            <w:tabs>
              <w:tab w:val="right" w:leader="dot" w:pos="9019"/>
            </w:tabs>
            <w:rPr>
              <w:noProof/>
            </w:rPr>
          </w:pPr>
          <w:hyperlink w:anchor="_Toc225236256" w:history="1">
            <w:r w:rsidRPr="0088092A">
              <w:rPr>
                <w:rStyle w:val="Hyperlink"/>
                <w:noProof/>
              </w:rPr>
              <w:t>2.2 PESTEL Analysis of UK Banking Industry</w:t>
            </w:r>
            <w:r>
              <w:rPr>
                <w:noProof/>
                <w:webHidden/>
              </w:rPr>
              <w:tab/>
            </w:r>
            <w:r>
              <w:rPr>
                <w:noProof/>
                <w:webHidden/>
              </w:rPr>
              <w:fldChar w:fldCharType="begin"/>
            </w:r>
            <w:r>
              <w:rPr>
                <w:noProof/>
                <w:webHidden/>
              </w:rPr>
              <w:instrText xml:space="preserve"> PAGEREF _Toc225236256 \h </w:instrText>
            </w:r>
            <w:r>
              <w:rPr>
                <w:noProof/>
                <w:webHidden/>
              </w:rPr>
            </w:r>
            <w:r>
              <w:rPr>
                <w:noProof/>
                <w:webHidden/>
              </w:rPr>
              <w:fldChar w:fldCharType="separate"/>
            </w:r>
            <w:r w:rsidR="00EC43A2">
              <w:rPr>
                <w:noProof/>
                <w:webHidden/>
              </w:rPr>
              <w:t>5</w:t>
            </w:r>
            <w:r>
              <w:rPr>
                <w:noProof/>
                <w:webHidden/>
              </w:rPr>
              <w:fldChar w:fldCharType="end"/>
            </w:r>
          </w:hyperlink>
        </w:p>
        <w:p w14:paraId="68CA74F4" w14:textId="402B969B" w:rsidR="00C446C7" w:rsidRDefault="00C446C7">
          <w:pPr>
            <w:pStyle w:val="TOC2"/>
            <w:tabs>
              <w:tab w:val="right" w:leader="dot" w:pos="9019"/>
            </w:tabs>
            <w:rPr>
              <w:noProof/>
            </w:rPr>
          </w:pPr>
          <w:hyperlink w:anchor="_Toc225236257" w:history="1">
            <w:r w:rsidRPr="0088092A">
              <w:rPr>
                <w:rStyle w:val="Hyperlink"/>
                <w:noProof/>
              </w:rPr>
              <w:t>2.3 Technological Factors</w:t>
            </w:r>
            <w:r>
              <w:rPr>
                <w:noProof/>
                <w:webHidden/>
              </w:rPr>
              <w:tab/>
            </w:r>
            <w:r>
              <w:rPr>
                <w:noProof/>
                <w:webHidden/>
              </w:rPr>
              <w:fldChar w:fldCharType="begin"/>
            </w:r>
            <w:r>
              <w:rPr>
                <w:noProof/>
                <w:webHidden/>
              </w:rPr>
              <w:instrText xml:space="preserve"> PAGEREF _Toc225236257 \h </w:instrText>
            </w:r>
            <w:r>
              <w:rPr>
                <w:noProof/>
                <w:webHidden/>
              </w:rPr>
            </w:r>
            <w:r>
              <w:rPr>
                <w:noProof/>
                <w:webHidden/>
              </w:rPr>
              <w:fldChar w:fldCharType="separate"/>
            </w:r>
            <w:r w:rsidR="00EC43A2">
              <w:rPr>
                <w:noProof/>
                <w:webHidden/>
              </w:rPr>
              <w:t>5</w:t>
            </w:r>
            <w:r>
              <w:rPr>
                <w:noProof/>
                <w:webHidden/>
              </w:rPr>
              <w:fldChar w:fldCharType="end"/>
            </w:r>
          </w:hyperlink>
        </w:p>
        <w:p w14:paraId="39F59167" w14:textId="2BB23F10" w:rsidR="00C446C7" w:rsidRDefault="00C446C7">
          <w:pPr>
            <w:pStyle w:val="TOC2"/>
            <w:tabs>
              <w:tab w:val="right" w:leader="dot" w:pos="9019"/>
            </w:tabs>
            <w:rPr>
              <w:noProof/>
            </w:rPr>
          </w:pPr>
          <w:hyperlink w:anchor="_Toc225236258" w:history="1">
            <w:r w:rsidRPr="0088092A">
              <w:rPr>
                <w:rStyle w:val="Hyperlink"/>
                <w:noProof/>
              </w:rPr>
              <w:t>2.4 Political and Legal Factors</w:t>
            </w:r>
            <w:r>
              <w:rPr>
                <w:noProof/>
                <w:webHidden/>
              </w:rPr>
              <w:tab/>
            </w:r>
            <w:r>
              <w:rPr>
                <w:noProof/>
                <w:webHidden/>
              </w:rPr>
              <w:fldChar w:fldCharType="begin"/>
            </w:r>
            <w:r>
              <w:rPr>
                <w:noProof/>
                <w:webHidden/>
              </w:rPr>
              <w:instrText xml:space="preserve"> PAGEREF _Toc225236258 \h </w:instrText>
            </w:r>
            <w:r>
              <w:rPr>
                <w:noProof/>
                <w:webHidden/>
              </w:rPr>
            </w:r>
            <w:r>
              <w:rPr>
                <w:noProof/>
                <w:webHidden/>
              </w:rPr>
              <w:fldChar w:fldCharType="separate"/>
            </w:r>
            <w:r w:rsidR="00EC43A2">
              <w:rPr>
                <w:noProof/>
                <w:webHidden/>
              </w:rPr>
              <w:t>6</w:t>
            </w:r>
            <w:r>
              <w:rPr>
                <w:noProof/>
                <w:webHidden/>
              </w:rPr>
              <w:fldChar w:fldCharType="end"/>
            </w:r>
          </w:hyperlink>
        </w:p>
        <w:p w14:paraId="1CD7F150" w14:textId="42BBD016" w:rsidR="00C446C7" w:rsidRDefault="00C446C7">
          <w:pPr>
            <w:pStyle w:val="TOC2"/>
            <w:tabs>
              <w:tab w:val="right" w:leader="dot" w:pos="9019"/>
            </w:tabs>
            <w:rPr>
              <w:noProof/>
            </w:rPr>
          </w:pPr>
          <w:hyperlink w:anchor="_Toc225236259" w:history="1">
            <w:r w:rsidRPr="0088092A">
              <w:rPr>
                <w:rStyle w:val="Hyperlink"/>
                <w:noProof/>
              </w:rPr>
              <w:t>2.5 Critical Comparison</w:t>
            </w:r>
            <w:r>
              <w:rPr>
                <w:noProof/>
                <w:webHidden/>
              </w:rPr>
              <w:tab/>
            </w:r>
            <w:r>
              <w:rPr>
                <w:noProof/>
                <w:webHidden/>
              </w:rPr>
              <w:fldChar w:fldCharType="begin"/>
            </w:r>
            <w:r>
              <w:rPr>
                <w:noProof/>
                <w:webHidden/>
              </w:rPr>
              <w:instrText xml:space="preserve"> PAGEREF _Toc225236259 \h </w:instrText>
            </w:r>
            <w:r>
              <w:rPr>
                <w:noProof/>
                <w:webHidden/>
              </w:rPr>
            </w:r>
            <w:r>
              <w:rPr>
                <w:noProof/>
                <w:webHidden/>
              </w:rPr>
              <w:fldChar w:fldCharType="separate"/>
            </w:r>
            <w:r w:rsidR="00EC43A2">
              <w:rPr>
                <w:noProof/>
                <w:webHidden/>
              </w:rPr>
              <w:t>7</w:t>
            </w:r>
            <w:r>
              <w:rPr>
                <w:noProof/>
                <w:webHidden/>
              </w:rPr>
              <w:fldChar w:fldCharType="end"/>
            </w:r>
          </w:hyperlink>
        </w:p>
        <w:p w14:paraId="23515C30" w14:textId="34211065" w:rsidR="00C446C7" w:rsidRDefault="00C446C7">
          <w:pPr>
            <w:pStyle w:val="TOC1"/>
            <w:tabs>
              <w:tab w:val="right" w:leader="dot" w:pos="9019"/>
            </w:tabs>
            <w:rPr>
              <w:noProof/>
            </w:rPr>
          </w:pPr>
          <w:hyperlink w:anchor="_Toc225236260" w:history="1">
            <w:r w:rsidRPr="0088092A">
              <w:rPr>
                <w:rStyle w:val="Hyperlink"/>
                <w:noProof/>
              </w:rPr>
              <w:t>3. Strategic Response Analysis (Task 2)</w:t>
            </w:r>
            <w:r>
              <w:rPr>
                <w:noProof/>
                <w:webHidden/>
              </w:rPr>
              <w:tab/>
            </w:r>
            <w:r>
              <w:rPr>
                <w:noProof/>
                <w:webHidden/>
              </w:rPr>
              <w:fldChar w:fldCharType="begin"/>
            </w:r>
            <w:r>
              <w:rPr>
                <w:noProof/>
                <w:webHidden/>
              </w:rPr>
              <w:instrText xml:space="preserve"> PAGEREF _Toc225236260 \h </w:instrText>
            </w:r>
            <w:r>
              <w:rPr>
                <w:noProof/>
                <w:webHidden/>
              </w:rPr>
            </w:r>
            <w:r>
              <w:rPr>
                <w:noProof/>
                <w:webHidden/>
              </w:rPr>
              <w:fldChar w:fldCharType="separate"/>
            </w:r>
            <w:r w:rsidR="00EC43A2">
              <w:rPr>
                <w:noProof/>
                <w:webHidden/>
              </w:rPr>
              <w:t>8</w:t>
            </w:r>
            <w:r>
              <w:rPr>
                <w:noProof/>
                <w:webHidden/>
              </w:rPr>
              <w:fldChar w:fldCharType="end"/>
            </w:r>
          </w:hyperlink>
        </w:p>
        <w:p w14:paraId="034A53EA" w14:textId="12A0F2A1" w:rsidR="00C446C7" w:rsidRDefault="00C446C7">
          <w:pPr>
            <w:pStyle w:val="TOC2"/>
            <w:tabs>
              <w:tab w:val="right" w:leader="dot" w:pos="9019"/>
            </w:tabs>
            <w:rPr>
              <w:noProof/>
            </w:rPr>
          </w:pPr>
          <w:hyperlink w:anchor="_Toc225236261" w:history="1">
            <w:r w:rsidRPr="0088092A">
              <w:rPr>
                <w:rStyle w:val="Hyperlink"/>
                <w:noProof/>
              </w:rPr>
              <w:t>3.1 Porter’s Generic Strategies</w:t>
            </w:r>
            <w:r>
              <w:rPr>
                <w:noProof/>
                <w:webHidden/>
              </w:rPr>
              <w:tab/>
            </w:r>
            <w:r>
              <w:rPr>
                <w:noProof/>
                <w:webHidden/>
              </w:rPr>
              <w:fldChar w:fldCharType="begin"/>
            </w:r>
            <w:r>
              <w:rPr>
                <w:noProof/>
                <w:webHidden/>
              </w:rPr>
              <w:instrText xml:space="preserve"> PAGEREF _Toc225236261 \h </w:instrText>
            </w:r>
            <w:r>
              <w:rPr>
                <w:noProof/>
                <w:webHidden/>
              </w:rPr>
            </w:r>
            <w:r>
              <w:rPr>
                <w:noProof/>
                <w:webHidden/>
              </w:rPr>
              <w:fldChar w:fldCharType="separate"/>
            </w:r>
            <w:r w:rsidR="00EC43A2">
              <w:rPr>
                <w:noProof/>
                <w:webHidden/>
              </w:rPr>
              <w:t>8</w:t>
            </w:r>
            <w:r>
              <w:rPr>
                <w:noProof/>
                <w:webHidden/>
              </w:rPr>
              <w:fldChar w:fldCharType="end"/>
            </w:r>
          </w:hyperlink>
        </w:p>
        <w:p w14:paraId="5581ED81" w14:textId="5BB3AD84" w:rsidR="00C446C7" w:rsidRDefault="00C446C7">
          <w:pPr>
            <w:pStyle w:val="TOC2"/>
            <w:tabs>
              <w:tab w:val="right" w:leader="dot" w:pos="9019"/>
            </w:tabs>
            <w:rPr>
              <w:noProof/>
            </w:rPr>
          </w:pPr>
          <w:hyperlink w:anchor="_Toc225236262" w:history="1">
            <w:r w:rsidRPr="0088092A">
              <w:rPr>
                <w:rStyle w:val="Hyperlink"/>
                <w:noProof/>
              </w:rPr>
              <w:t>3.2 Monzo’s Strategic Response</w:t>
            </w:r>
            <w:r>
              <w:rPr>
                <w:noProof/>
                <w:webHidden/>
              </w:rPr>
              <w:tab/>
            </w:r>
            <w:r>
              <w:rPr>
                <w:noProof/>
                <w:webHidden/>
              </w:rPr>
              <w:fldChar w:fldCharType="begin"/>
            </w:r>
            <w:r>
              <w:rPr>
                <w:noProof/>
                <w:webHidden/>
              </w:rPr>
              <w:instrText xml:space="preserve"> PAGEREF _Toc225236262 \h </w:instrText>
            </w:r>
            <w:r>
              <w:rPr>
                <w:noProof/>
                <w:webHidden/>
              </w:rPr>
            </w:r>
            <w:r>
              <w:rPr>
                <w:noProof/>
                <w:webHidden/>
              </w:rPr>
              <w:fldChar w:fldCharType="separate"/>
            </w:r>
            <w:r w:rsidR="00EC43A2">
              <w:rPr>
                <w:noProof/>
                <w:webHidden/>
              </w:rPr>
              <w:t>8</w:t>
            </w:r>
            <w:r>
              <w:rPr>
                <w:noProof/>
                <w:webHidden/>
              </w:rPr>
              <w:fldChar w:fldCharType="end"/>
            </w:r>
          </w:hyperlink>
        </w:p>
        <w:p w14:paraId="7481623A" w14:textId="34C0EBDA" w:rsidR="00C446C7" w:rsidRDefault="00C446C7">
          <w:pPr>
            <w:pStyle w:val="TOC2"/>
            <w:tabs>
              <w:tab w:val="right" w:leader="dot" w:pos="9019"/>
            </w:tabs>
            <w:rPr>
              <w:noProof/>
            </w:rPr>
          </w:pPr>
          <w:hyperlink w:anchor="_Toc225236263" w:history="1">
            <w:r w:rsidRPr="0088092A">
              <w:rPr>
                <w:rStyle w:val="Hyperlink"/>
                <w:noProof/>
              </w:rPr>
              <w:t>3.3 Barclays’ Strategic Response</w:t>
            </w:r>
            <w:r>
              <w:rPr>
                <w:noProof/>
                <w:webHidden/>
              </w:rPr>
              <w:tab/>
            </w:r>
            <w:r>
              <w:rPr>
                <w:noProof/>
                <w:webHidden/>
              </w:rPr>
              <w:fldChar w:fldCharType="begin"/>
            </w:r>
            <w:r>
              <w:rPr>
                <w:noProof/>
                <w:webHidden/>
              </w:rPr>
              <w:instrText xml:space="preserve"> PAGEREF _Toc225236263 \h </w:instrText>
            </w:r>
            <w:r>
              <w:rPr>
                <w:noProof/>
                <w:webHidden/>
              </w:rPr>
            </w:r>
            <w:r>
              <w:rPr>
                <w:noProof/>
                <w:webHidden/>
              </w:rPr>
              <w:fldChar w:fldCharType="separate"/>
            </w:r>
            <w:r w:rsidR="00EC43A2">
              <w:rPr>
                <w:noProof/>
                <w:webHidden/>
              </w:rPr>
              <w:t>9</w:t>
            </w:r>
            <w:r>
              <w:rPr>
                <w:noProof/>
                <w:webHidden/>
              </w:rPr>
              <w:fldChar w:fldCharType="end"/>
            </w:r>
          </w:hyperlink>
        </w:p>
        <w:p w14:paraId="22A23F49" w14:textId="303269FD" w:rsidR="00C446C7" w:rsidRDefault="00C446C7">
          <w:pPr>
            <w:pStyle w:val="TOC2"/>
            <w:tabs>
              <w:tab w:val="right" w:leader="dot" w:pos="9019"/>
            </w:tabs>
            <w:rPr>
              <w:noProof/>
            </w:rPr>
          </w:pPr>
          <w:hyperlink w:anchor="_Toc225236264" w:history="1">
            <w:r w:rsidRPr="0088092A">
              <w:rPr>
                <w:rStyle w:val="Hyperlink"/>
                <w:noProof/>
              </w:rPr>
              <w:t>3.4 Ansoff Matrix Comparison</w:t>
            </w:r>
            <w:r>
              <w:rPr>
                <w:noProof/>
                <w:webHidden/>
              </w:rPr>
              <w:tab/>
            </w:r>
            <w:r>
              <w:rPr>
                <w:noProof/>
                <w:webHidden/>
              </w:rPr>
              <w:fldChar w:fldCharType="begin"/>
            </w:r>
            <w:r>
              <w:rPr>
                <w:noProof/>
                <w:webHidden/>
              </w:rPr>
              <w:instrText xml:space="preserve"> PAGEREF _Toc225236264 \h </w:instrText>
            </w:r>
            <w:r>
              <w:rPr>
                <w:noProof/>
                <w:webHidden/>
              </w:rPr>
            </w:r>
            <w:r>
              <w:rPr>
                <w:noProof/>
                <w:webHidden/>
              </w:rPr>
              <w:fldChar w:fldCharType="separate"/>
            </w:r>
            <w:r w:rsidR="00EC43A2">
              <w:rPr>
                <w:noProof/>
                <w:webHidden/>
              </w:rPr>
              <w:t>9</w:t>
            </w:r>
            <w:r>
              <w:rPr>
                <w:noProof/>
                <w:webHidden/>
              </w:rPr>
              <w:fldChar w:fldCharType="end"/>
            </w:r>
          </w:hyperlink>
        </w:p>
        <w:p w14:paraId="4562A2DE" w14:textId="4CABBA73" w:rsidR="00C446C7" w:rsidRDefault="00C446C7">
          <w:pPr>
            <w:pStyle w:val="TOC2"/>
            <w:tabs>
              <w:tab w:val="right" w:leader="dot" w:pos="9019"/>
            </w:tabs>
            <w:rPr>
              <w:noProof/>
            </w:rPr>
          </w:pPr>
          <w:hyperlink w:anchor="_Toc225236265" w:history="1">
            <w:r w:rsidRPr="0088092A">
              <w:rPr>
                <w:rStyle w:val="Hyperlink"/>
                <w:noProof/>
              </w:rPr>
              <w:t>3.5 Critical Evaluation</w:t>
            </w:r>
            <w:r>
              <w:rPr>
                <w:noProof/>
                <w:webHidden/>
              </w:rPr>
              <w:tab/>
            </w:r>
            <w:r>
              <w:rPr>
                <w:noProof/>
                <w:webHidden/>
              </w:rPr>
              <w:fldChar w:fldCharType="begin"/>
            </w:r>
            <w:r>
              <w:rPr>
                <w:noProof/>
                <w:webHidden/>
              </w:rPr>
              <w:instrText xml:space="preserve"> PAGEREF _Toc225236265 \h </w:instrText>
            </w:r>
            <w:r>
              <w:rPr>
                <w:noProof/>
                <w:webHidden/>
              </w:rPr>
            </w:r>
            <w:r>
              <w:rPr>
                <w:noProof/>
                <w:webHidden/>
              </w:rPr>
              <w:fldChar w:fldCharType="separate"/>
            </w:r>
            <w:r w:rsidR="00EC43A2">
              <w:rPr>
                <w:noProof/>
                <w:webHidden/>
              </w:rPr>
              <w:t>10</w:t>
            </w:r>
            <w:r>
              <w:rPr>
                <w:noProof/>
                <w:webHidden/>
              </w:rPr>
              <w:fldChar w:fldCharType="end"/>
            </w:r>
          </w:hyperlink>
        </w:p>
        <w:p w14:paraId="740F0632" w14:textId="7B870150" w:rsidR="00C446C7" w:rsidRDefault="00C446C7">
          <w:pPr>
            <w:pStyle w:val="TOC1"/>
            <w:tabs>
              <w:tab w:val="right" w:leader="dot" w:pos="9019"/>
            </w:tabs>
            <w:rPr>
              <w:noProof/>
            </w:rPr>
          </w:pPr>
          <w:hyperlink w:anchor="_Toc225236266" w:history="1">
            <w:r w:rsidRPr="0088092A">
              <w:rPr>
                <w:rStyle w:val="Hyperlink"/>
                <w:noProof/>
              </w:rPr>
              <w:t>4. Discussion</w:t>
            </w:r>
            <w:r>
              <w:rPr>
                <w:noProof/>
                <w:webHidden/>
              </w:rPr>
              <w:tab/>
            </w:r>
            <w:r>
              <w:rPr>
                <w:noProof/>
                <w:webHidden/>
              </w:rPr>
              <w:fldChar w:fldCharType="begin"/>
            </w:r>
            <w:r>
              <w:rPr>
                <w:noProof/>
                <w:webHidden/>
              </w:rPr>
              <w:instrText xml:space="preserve"> PAGEREF _Toc225236266 \h </w:instrText>
            </w:r>
            <w:r>
              <w:rPr>
                <w:noProof/>
                <w:webHidden/>
              </w:rPr>
            </w:r>
            <w:r>
              <w:rPr>
                <w:noProof/>
                <w:webHidden/>
              </w:rPr>
              <w:fldChar w:fldCharType="separate"/>
            </w:r>
            <w:r w:rsidR="00EC43A2">
              <w:rPr>
                <w:noProof/>
                <w:webHidden/>
              </w:rPr>
              <w:t>10</w:t>
            </w:r>
            <w:r>
              <w:rPr>
                <w:noProof/>
                <w:webHidden/>
              </w:rPr>
              <w:fldChar w:fldCharType="end"/>
            </w:r>
          </w:hyperlink>
        </w:p>
        <w:p w14:paraId="7F6DAD69" w14:textId="57F3F564" w:rsidR="00C446C7" w:rsidRDefault="00C446C7">
          <w:pPr>
            <w:pStyle w:val="TOC1"/>
            <w:tabs>
              <w:tab w:val="right" w:leader="dot" w:pos="9019"/>
            </w:tabs>
            <w:rPr>
              <w:noProof/>
            </w:rPr>
          </w:pPr>
          <w:hyperlink w:anchor="_Toc225236267" w:history="1">
            <w:r w:rsidRPr="0088092A">
              <w:rPr>
                <w:rStyle w:val="Hyperlink"/>
                <w:noProof/>
              </w:rPr>
              <w:t>5. Conclusion</w:t>
            </w:r>
            <w:r>
              <w:rPr>
                <w:noProof/>
                <w:webHidden/>
              </w:rPr>
              <w:tab/>
            </w:r>
            <w:r>
              <w:rPr>
                <w:noProof/>
                <w:webHidden/>
              </w:rPr>
              <w:fldChar w:fldCharType="begin"/>
            </w:r>
            <w:r>
              <w:rPr>
                <w:noProof/>
                <w:webHidden/>
              </w:rPr>
              <w:instrText xml:space="preserve"> PAGEREF _Toc225236267 \h </w:instrText>
            </w:r>
            <w:r>
              <w:rPr>
                <w:noProof/>
                <w:webHidden/>
              </w:rPr>
            </w:r>
            <w:r>
              <w:rPr>
                <w:noProof/>
                <w:webHidden/>
              </w:rPr>
              <w:fldChar w:fldCharType="separate"/>
            </w:r>
            <w:r w:rsidR="00EC43A2">
              <w:rPr>
                <w:noProof/>
                <w:webHidden/>
              </w:rPr>
              <w:t>11</w:t>
            </w:r>
            <w:r>
              <w:rPr>
                <w:noProof/>
                <w:webHidden/>
              </w:rPr>
              <w:fldChar w:fldCharType="end"/>
            </w:r>
          </w:hyperlink>
        </w:p>
        <w:p w14:paraId="2DA2A216" w14:textId="69C5325E" w:rsidR="00C446C7" w:rsidRDefault="00C446C7">
          <w:pPr>
            <w:pStyle w:val="TOC1"/>
            <w:tabs>
              <w:tab w:val="right" w:leader="dot" w:pos="9019"/>
            </w:tabs>
            <w:rPr>
              <w:noProof/>
            </w:rPr>
          </w:pPr>
          <w:hyperlink w:anchor="_Toc225236268" w:history="1">
            <w:r w:rsidRPr="0088092A">
              <w:rPr>
                <w:rStyle w:val="Hyperlink"/>
                <w:noProof/>
              </w:rPr>
              <w:t>References</w:t>
            </w:r>
            <w:r>
              <w:rPr>
                <w:noProof/>
                <w:webHidden/>
              </w:rPr>
              <w:tab/>
            </w:r>
            <w:r>
              <w:rPr>
                <w:noProof/>
                <w:webHidden/>
              </w:rPr>
              <w:fldChar w:fldCharType="begin"/>
            </w:r>
            <w:r>
              <w:rPr>
                <w:noProof/>
                <w:webHidden/>
              </w:rPr>
              <w:instrText xml:space="preserve"> PAGEREF _Toc225236268 \h </w:instrText>
            </w:r>
            <w:r>
              <w:rPr>
                <w:noProof/>
                <w:webHidden/>
              </w:rPr>
            </w:r>
            <w:r>
              <w:rPr>
                <w:noProof/>
                <w:webHidden/>
              </w:rPr>
              <w:fldChar w:fldCharType="separate"/>
            </w:r>
            <w:r w:rsidR="00EC43A2">
              <w:rPr>
                <w:noProof/>
                <w:webHidden/>
              </w:rPr>
              <w:t>12</w:t>
            </w:r>
            <w:r>
              <w:rPr>
                <w:noProof/>
                <w:webHidden/>
              </w:rPr>
              <w:fldChar w:fldCharType="end"/>
            </w:r>
          </w:hyperlink>
        </w:p>
        <w:p w14:paraId="22BAC85B" w14:textId="5330F318" w:rsidR="000745C6" w:rsidRDefault="00000000">
          <w:pPr>
            <w:widowControl w:val="0"/>
            <w:tabs>
              <w:tab w:val="right" w:leader="dot" w:pos="9025"/>
            </w:tabs>
            <w:spacing w:before="60" w:after="0" w:line="240" w:lineRule="auto"/>
            <w:jc w:val="left"/>
            <w:rPr>
              <w:b/>
              <w:bCs/>
              <w:color w:val="000000"/>
            </w:rPr>
          </w:pPr>
          <w:r>
            <w:fldChar w:fldCharType="end"/>
          </w:r>
        </w:p>
      </w:sdtContent>
    </w:sdt>
    <w:p w14:paraId="72A4FF35" w14:textId="77777777" w:rsidR="000745C6" w:rsidRDefault="00000000">
      <w:r>
        <w:br w:type="page"/>
      </w:r>
    </w:p>
    <w:p w14:paraId="3EDF7E47" w14:textId="77777777" w:rsidR="000745C6" w:rsidRDefault="00000000">
      <w:pPr>
        <w:pStyle w:val="Heading1"/>
        <w:keepNext w:val="0"/>
        <w:keepLines w:val="0"/>
      </w:pPr>
      <w:bookmarkStart w:id="0" w:name="_Toc225236253"/>
      <w:r>
        <w:lastRenderedPageBreak/>
        <w:t>1. Introduction</w:t>
      </w:r>
      <w:bookmarkEnd w:id="0"/>
    </w:p>
    <w:p w14:paraId="1EFC4489" w14:textId="77777777" w:rsidR="000745C6" w:rsidRDefault="00000000">
      <w:r>
        <w:t>The process of dramatic technological innovation combined with changes of regulations and shifts in consumer needs have radically transformed the UK banking industry in the past decade. The introduction of financial technology (fintech) companies and digital challenger banks has upset the old approaches to banks, pushing their competition to the limit and redefining the strategic environment. The concept of open banking, pioneered in the UK in 2018, has had a specific impact on the facilitation of data sharing, decreased entrance barriers, and innovation in the industry (Casolaro et al., 2025). Monzo Bank is one of the innovative organisations operating in this changing environment that has used the digital technologies to create a new customer experience based on mobile-first banking services. By 2024, the number of customers using Monzo in the UK had topped 9 million, which evidences the rapid growth of the company, associated with the innovative approach to the business (Babina et al., 2025). Barclays Bank, conversely, is a follower organisation that, despite its historical dominance, had to change its approaches to fintech disruption and governmental forces. This report presents a critical analysis of the macro-marketing environment that has had an impact on the two organisations within the framework of technological and political/legal environment, through the PESTEL. It also considers the Monzo and Barclays strategic reactions using the Porters Generic Strategies and the Ansoff Growth Matrix. The analysis will be undertaken to understand the way each of the organisations maintains a competitive advantage in a UK banking market that is becoming very dynamic and competitive.</w:t>
      </w:r>
    </w:p>
    <w:p w14:paraId="4EDDEDF9" w14:textId="77777777" w:rsidR="000745C6" w:rsidRDefault="00000000">
      <w:pPr>
        <w:pStyle w:val="Heading1"/>
      </w:pPr>
      <w:bookmarkStart w:id="1" w:name="_Toc225236254"/>
      <w:r>
        <w:t>2. Macro Environment Analysis (Task 1)</w:t>
      </w:r>
      <w:bookmarkEnd w:id="1"/>
    </w:p>
    <w:p w14:paraId="32FF37C2" w14:textId="77777777" w:rsidR="000745C6" w:rsidRDefault="00000000">
      <w:pPr>
        <w:pStyle w:val="Heading2"/>
        <w:keepNext w:val="0"/>
        <w:keepLines w:val="0"/>
      </w:pPr>
      <w:bookmarkStart w:id="2" w:name="_Toc225236255"/>
      <w:r>
        <w:t>2.1 Overview of PESTEL Framework</w:t>
      </w:r>
      <w:bookmarkEnd w:id="2"/>
    </w:p>
    <w:p w14:paraId="040AE034" w14:textId="77777777" w:rsidR="000745C6" w:rsidRDefault="00000000">
      <w:r>
        <w:t>PESTEL framework is a total instrument to the macro environmental analysis of factors that affect the performance of the organisation. Technological and political/legal are the most relevant in the UK banking context because of the fast growth of fintech and the regulatory reaction like open banking. These rivals define competitive behaviour, market entrants, and responses in strategies.</w:t>
      </w:r>
    </w:p>
    <w:p w14:paraId="3047CC63" w14:textId="77777777" w:rsidR="000745C6" w:rsidRDefault="00000000">
      <w:pPr>
        <w:pStyle w:val="Heading2"/>
      </w:pPr>
      <w:bookmarkStart w:id="3" w:name="_Toc225236256"/>
      <w:r>
        <w:lastRenderedPageBreak/>
        <w:t>2.2 PESTEL Analysis of UK Banking Industry</w:t>
      </w:r>
      <w:bookmarkEnd w:id="3"/>
    </w:p>
    <w:tbl>
      <w:tblPr>
        <w:tblStyle w:val="a"/>
        <w:tblW w:w="901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20"/>
        <w:gridCol w:w="2115"/>
        <w:gridCol w:w="2445"/>
        <w:gridCol w:w="2835"/>
      </w:tblGrid>
      <w:tr w:rsidR="000745C6" w14:paraId="7937207B" w14:textId="77777777">
        <w:trPr>
          <w:trHeight w:val="500"/>
        </w:trPr>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78ACDC" w14:textId="77777777" w:rsidR="000745C6" w:rsidRDefault="00000000">
            <w:r>
              <w:rPr>
                <w:b/>
                <w:bCs/>
              </w:rPr>
              <w:t>Factor</w:t>
            </w:r>
          </w:p>
        </w:tc>
        <w:tc>
          <w:tcPr>
            <w:tcW w:w="2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8C44EC" w14:textId="77777777" w:rsidR="000745C6" w:rsidRDefault="00000000">
            <w:r>
              <w:rPr>
                <w:b/>
                <w:bCs/>
              </w:rPr>
              <w:t>Key Issues</w:t>
            </w:r>
          </w:p>
        </w:tc>
        <w:tc>
          <w:tcPr>
            <w:tcW w:w="2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3CD2C7" w14:textId="77777777" w:rsidR="000745C6" w:rsidRDefault="00000000">
            <w:r>
              <w:rPr>
                <w:b/>
                <w:bCs/>
              </w:rPr>
              <w:t>Impact on Monzo</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6EC2E2" w14:textId="77777777" w:rsidR="000745C6" w:rsidRDefault="00000000">
            <w:r>
              <w:rPr>
                <w:b/>
                <w:bCs/>
              </w:rPr>
              <w:t>Impact on Barclays</w:t>
            </w:r>
          </w:p>
        </w:tc>
      </w:tr>
      <w:tr w:rsidR="000745C6" w14:paraId="5F29981E" w14:textId="77777777">
        <w:trPr>
          <w:trHeight w:val="1040"/>
        </w:trPr>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E5FA5B" w14:textId="77777777" w:rsidR="000745C6" w:rsidRDefault="00000000">
            <w:r>
              <w:t>Political/Legal</w:t>
            </w:r>
          </w:p>
        </w:tc>
        <w:tc>
          <w:tcPr>
            <w:tcW w:w="2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C24FA5" w14:textId="77777777" w:rsidR="000745C6" w:rsidRDefault="00000000">
            <w:r>
              <w:t>Open Banking, FCA regulations, GDPR</w:t>
            </w:r>
          </w:p>
        </w:tc>
        <w:tc>
          <w:tcPr>
            <w:tcW w:w="2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765DEF" w14:textId="77777777" w:rsidR="000745C6" w:rsidRDefault="00000000">
            <w:r>
              <w:t>Enables entry but increases compliance costs</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FE705D" w14:textId="77777777" w:rsidR="000745C6" w:rsidRDefault="00000000">
            <w:r>
              <w:t>Increases competition but strong compliance capabilities</w:t>
            </w:r>
          </w:p>
        </w:tc>
      </w:tr>
      <w:tr w:rsidR="000745C6" w14:paraId="5EA91BCA" w14:textId="77777777">
        <w:trPr>
          <w:trHeight w:val="1040"/>
        </w:trPr>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BDAC4F" w14:textId="77777777" w:rsidR="000745C6" w:rsidRDefault="00000000">
            <w:r>
              <w:t>Economic</w:t>
            </w:r>
          </w:p>
        </w:tc>
        <w:tc>
          <w:tcPr>
            <w:tcW w:w="2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8844BD" w14:textId="77777777" w:rsidR="000745C6" w:rsidRDefault="00000000">
            <w:r>
              <w:t>Interest rates, inflation, UK GDP growth</w:t>
            </w:r>
          </w:p>
        </w:tc>
        <w:tc>
          <w:tcPr>
            <w:tcW w:w="2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C1F208" w14:textId="77777777" w:rsidR="000745C6" w:rsidRDefault="00000000">
            <w:r>
              <w:t>Impacts funding and profitability</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6F01EA" w14:textId="77777777" w:rsidR="000745C6" w:rsidRDefault="00000000">
            <w:r>
              <w:t>Stable revenue streams but margin pressure</w:t>
            </w:r>
          </w:p>
        </w:tc>
      </w:tr>
      <w:tr w:rsidR="000745C6" w14:paraId="747327E9" w14:textId="77777777">
        <w:trPr>
          <w:trHeight w:val="770"/>
        </w:trPr>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9BED8D" w14:textId="77777777" w:rsidR="000745C6" w:rsidRDefault="00000000">
            <w:r>
              <w:t>Social</w:t>
            </w:r>
          </w:p>
        </w:tc>
        <w:tc>
          <w:tcPr>
            <w:tcW w:w="2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F4F38B" w14:textId="77777777" w:rsidR="000745C6" w:rsidRDefault="00000000">
            <w:r>
              <w:t>Digital adoption, trust in banks</w:t>
            </w:r>
          </w:p>
        </w:tc>
        <w:tc>
          <w:tcPr>
            <w:tcW w:w="2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2FF39D" w14:textId="77777777" w:rsidR="000745C6" w:rsidRDefault="00000000">
            <w:r>
              <w:t>Aligns with younger demographics</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A198E4" w14:textId="77777777" w:rsidR="000745C6" w:rsidRDefault="00000000">
            <w:r>
              <w:t>Struggles with legacy perceptions</w:t>
            </w:r>
          </w:p>
        </w:tc>
      </w:tr>
      <w:tr w:rsidR="000745C6" w14:paraId="2231DA95" w14:textId="77777777">
        <w:trPr>
          <w:trHeight w:val="770"/>
        </w:trPr>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CF019F" w14:textId="77777777" w:rsidR="000745C6" w:rsidRDefault="00000000">
            <w:r>
              <w:t>Technological</w:t>
            </w:r>
          </w:p>
        </w:tc>
        <w:tc>
          <w:tcPr>
            <w:tcW w:w="2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7DDA80" w14:textId="77777777" w:rsidR="000745C6" w:rsidRDefault="00000000">
            <w:r>
              <w:t>AI, APIs, mobile banking</w:t>
            </w:r>
          </w:p>
        </w:tc>
        <w:tc>
          <w:tcPr>
            <w:tcW w:w="2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341AA6" w14:textId="77777777" w:rsidR="000745C6" w:rsidRDefault="00000000">
            <w:r>
              <w:t>Core competitive advantage</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EF0F7C" w14:textId="77777777" w:rsidR="000745C6" w:rsidRDefault="00000000">
            <w:r>
              <w:t>Requires costly transformation</w:t>
            </w:r>
          </w:p>
        </w:tc>
      </w:tr>
      <w:tr w:rsidR="000745C6" w14:paraId="2ABD2ADC" w14:textId="77777777">
        <w:trPr>
          <w:trHeight w:val="770"/>
        </w:trPr>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9B4FB5" w14:textId="77777777" w:rsidR="000745C6" w:rsidRDefault="00000000">
            <w:r>
              <w:t>Environmental</w:t>
            </w:r>
          </w:p>
        </w:tc>
        <w:tc>
          <w:tcPr>
            <w:tcW w:w="2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4DBAD3" w14:textId="77777777" w:rsidR="000745C6" w:rsidRDefault="00000000">
            <w:r>
              <w:t>ESG pressures</w:t>
            </w:r>
          </w:p>
        </w:tc>
        <w:tc>
          <w:tcPr>
            <w:tcW w:w="2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053C66" w14:textId="77777777" w:rsidR="000745C6" w:rsidRDefault="00000000">
            <w:r>
              <w:t>Limited immediate impact</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EABF64" w14:textId="77777777" w:rsidR="000745C6" w:rsidRDefault="00000000">
            <w:r>
              <w:t>Greater regulatory scrutiny</w:t>
            </w:r>
          </w:p>
        </w:tc>
      </w:tr>
      <w:tr w:rsidR="000745C6" w14:paraId="26738AAF" w14:textId="77777777">
        <w:trPr>
          <w:trHeight w:val="770"/>
        </w:trPr>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21F0FF" w14:textId="77777777" w:rsidR="000745C6" w:rsidRDefault="00000000">
            <w:r>
              <w:t>Legal</w:t>
            </w:r>
          </w:p>
        </w:tc>
        <w:tc>
          <w:tcPr>
            <w:tcW w:w="2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272D85" w14:textId="77777777" w:rsidR="000745C6" w:rsidRDefault="00000000">
            <w:r>
              <w:t>Data security and privacy</w:t>
            </w:r>
          </w:p>
        </w:tc>
        <w:tc>
          <w:tcPr>
            <w:tcW w:w="2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0A1AB7" w14:textId="77777777" w:rsidR="000745C6" w:rsidRDefault="00000000">
            <w:r>
              <w:t>High compliance burden</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AF9852" w14:textId="77777777" w:rsidR="000745C6" w:rsidRDefault="00000000">
            <w:r>
              <w:t>Established infrastructure</w:t>
            </w:r>
          </w:p>
        </w:tc>
      </w:tr>
    </w:tbl>
    <w:p w14:paraId="399C3005" w14:textId="77777777" w:rsidR="000745C6" w:rsidRDefault="00000000">
      <w:pPr>
        <w:pStyle w:val="Heading2"/>
      </w:pPr>
      <w:bookmarkStart w:id="4" w:name="_Toc225236257"/>
      <w:r>
        <w:t>2.3 Technological Factors</w:t>
      </w:r>
      <w:bookmarkEnd w:id="4"/>
    </w:p>
    <w:p w14:paraId="37EAFE7E" w14:textId="77777777" w:rsidR="000745C6" w:rsidRDefault="00000000">
      <w:r>
        <w:t xml:space="preserve">The most influential element of change in the UK banking industry is the technology. New business models and better customer experiences have become possible due to the development of open banking APIs, artificial intelligence (AI), and digital platforms. More precisely, open banking enables the safe sharing of data between financial institutions and third-party </w:t>
      </w:r>
      <w:r>
        <w:lastRenderedPageBreak/>
        <w:t>providers, which contributes to enhancing competition and innovation (Casolaro et al., 2025). The use of APIs has also resulted in a considerable decrease in the barriers of entry into the fintech companies, which can now provide personalised financial services. It is shown that the use of fintechs enhances the efficiency of operations and customer satisfaction, as well as increases competition against traditional banks (Xu et al., 2025). Moreover, API-based ecosystems allow unifying the financial services, which improves the scalability and innovations (Beerbaum, 2024). In the case of Monzo, which is based on the opportunities of technology. It has a digital infrastructure which enables quick innovation and development. Agile practices provide an opportunity to continuously enhance products, which can result in an increased customer retention and satisfaction (Ogundipe et al., 2024). The capability of Monzo to launch new qualities, including real-time spending analytic and budgeting platforms, contributes to its differentiation strategy. But there are also issues with technological innovation. The availability of easy replication of the digital features decreases sustainable competitive advantage. Also, the leadership should be sustained with the constant investment into the technology (Xie and Hu, 2024). To Barclays, technological change is both an opportunity as well as a threat. Although the bank has substantial financial resources, it has its legacy systems which hamper quick innovation. The initiatives of the digital transformation are high in terms of finance, which can be measured within the billions of pounds. However, Barclays has the opportunity to use its size to implement superior technologies like AI in the risk-evaluating process and electronic banking components (Xie and Hu, 2024). Competitive influence of fintech can be seen in terms of its effect on the market dynamics, which can be seen as challenger banks gaining much bigger market shares within the last ten years. This change indicates how technology enhances the repositioning of competitors in the industry.</w:t>
      </w:r>
    </w:p>
    <w:p w14:paraId="4D31F6F9" w14:textId="77777777" w:rsidR="000745C6" w:rsidRDefault="00000000">
      <w:pPr>
        <w:pStyle w:val="Heading2"/>
      </w:pPr>
      <w:bookmarkStart w:id="5" w:name="_Toc225236258"/>
      <w:r>
        <w:t>2.4 Political and Legal Factors</w:t>
      </w:r>
      <w:bookmarkEnd w:id="5"/>
    </w:p>
    <w:p w14:paraId="10DC8813" w14:textId="77777777" w:rsidR="000745C6" w:rsidRDefault="00000000">
      <w:r>
        <w:t xml:space="preserve">The UK banking environment has been significantly affected in terms of politics and law. The entry of the open banking legislation by the United Kingdom government and Financial Conduct Authority (FCA) has radically changed the competition environment. Open banking involves banks providing the data on customers to accredited third-party providers in a secure manner that fosters competition and innovation (Babina et al., 2025). As evidence, it is speculated that open banking has led to a rise in the number of fintechs in the market, which means even more competition and market dominance by traditional banks (Babina et al., 2025). This regulatory service has been an opportunity to increase exponentially by the challengers in </w:t>
      </w:r>
      <w:r>
        <w:lastRenderedPageBreak/>
        <w:t>the banking sector like Monzo. In the case of Monzo, the open banking eliminates entry barriers and makes it easy to acquire customers. Nonetheless, adherence to regulatory measures, such as data protection legislation (e.g. GDPR) is expensive. Small companies are frequently at a disadvantage to larger institutions when it comes to the load that regulations impose on them. In the case of Barclays, the changes in regulations can be a challenge and an opportunity to the bank. As open banking enhances competitiveness, Barclays enjoys the advantage of an already built system of compliance and its experience of dealing with regulatory complexity. Bigger banks are in a better position to absorb the compliance costs and adjust to changes in the regulations. Fintech collaboration is also affected by regulation. Open banking promotes the collaboration of conventional banks and fintech companies and allows them to share knowledge and innovate (Wolska, 2024). Also, regulatory methods have the ability to influence rivalry dynamics, like comparative research of fintech regulation in other jurisdictions (Langley and Leyshon, 2023).</w:t>
      </w:r>
    </w:p>
    <w:p w14:paraId="775CFDAB" w14:textId="77777777" w:rsidR="000745C6" w:rsidRDefault="00000000">
      <w:pPr>
        <w:pStyle w:val="Heading2"/>
      </w:pPr>
      <w:bookmarkStart w:id="6" w:name="_Toc225236259"/>
      <w:r>
        <w:t>2.5 Critical Comparison</w:t>
      </w:r>
      <w:bookmarkEnd w:id="6"/>
    </w:p>
    <w:p w14:paraId="457C6EE0" w14:textId="77777777" w:rsidR="000745C6" w:rsidRDefault="00000000">
      <w:r>
        <w:t>Technological and political/legal factors analysis shows that there is dramatic change in the competitive advantage in the UK banking sector. Entry barriers have been lowered due to technological innovation, especially open banking APIs and digital platforms, and it has fueled competition, allowing challenger banks to grow fast and win market share (Casolaro et al., 2025). Fintech entry has also been increased because of regulatory frameworks like open banking, which has provided access to customer data allowing firms to reduce the traditional incumbency advantage of the banks (Babina et al., 2025). Monzo is advantaged through its nimbleness, its culture of innovation and its high level of suitability to the digital consumer constituencies, especially young people who focus more on convenience and real time financial management applications. Agile methodologies allow it to improve customer experience and ensure the continued development of its products (Ogundipe et al., 2024). Conversely, Barclays uses its resources to secure stability in the form of available and established customer base as well as regulatory expertise which restricts responsive reaction to the sudden technological transformation. Yet, the sustainability of Monzo in the long term is not very clear as the company is going through a challenging time related to profitability and acquiring new clients, which is typical of fintech companies (Xu et al., 2025). In the meantime, Barclays has to find a way to resolve structural inefficiencies and legacy in order to keep up with an ever more digital and innovation-driven market (Albuainain and Ashby, 2025).</w:t>
      </w:r>
    </w:p>
    <w:p w14:paraId="51B654A0" w14:textId="77777777" w:rsidR="000745C6" w:rsidRDefault="00000000">
      <w:pPr>
        <w:pStyle w:val="Heading1"/>
      </w:pPr>
      <w:bookmarkStart w:id="7" w:name="_Toc225236260"/>
      <w:r>
        <w:lastRenderedPageBreak/>
        <w:t>3. Strategic Response Analysis (Task 2)</w:t>
      </w:r>
      <w:bookmarkEnd w:id="7"/>
    </w:p>
    <w:p w14:paraId="5AD96261" w14:textId="77777777" w:rsidR="000745C6" w:rsidRDefault="00000000">
      <w:pPr>
        <w:pStyle w:val="Heading2"/>
      </w:pPr>
      <w:bookmarkStart w:id="8" w:name="_Toc225236261"/>
      <w:r>
        <w:t>3.1 Porter’s Generic Strategies</w:t>
      </w:r>
      <w:bookmarkEnd w:id="8"/>
    </w:p>
    <w:tbl>
      <w:tblPr>
        <w:tblStyle w:val="a0"/>
        <w:tblW w:w="856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35"/>
        <w:gridCol w:w="1775"/>
        <w:gridCol w:w="5555"/>
      </w:tblGrid>
      <w:tr w:rsidR="000745C6" w14:paraId="79DE70B6" w14:textId="77777777">
        <w:trPr>
          <w:trHeight w:val="500"/>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9FFE6D" w14:textId="77777777" w:rsidR="000745C6" w:rsidRDefault="00000000">
            <w:r>
              <w:rPr>
                <w:b/>
                <w:bCs/>
              </w:rPr>
              <w:t>Company</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F0779B" w14:textId="77777777" w:rsidR="000745C6" w:rsidRDefault="00000000">
            <w:r>
              <w:rPr>
                <w:b/>
                <w:bCs/>
              </w:rPr>
              <w:t>Strategy Type</w:t>
            </w:r>
          </w:p>
        </w:tc>
        <w:tc>
          <w:tcPr>
            <w:tcW w:w="5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29779C" w14:textId="77777777" w:rsidR="000745C6" w:rsidRDefault="00000000">
            <w:r>
              <w:rPr>
                <w:b/>
                <w:bCs/>
              </w:rPr>
              <w:t>Explanation</w:t>
            </w:r>
          </w:p>
        </w:tc>
      </w:tr>
      <w:tr w:rsidR="000745C6" w14:paraId="0E70EFF7" w14:textId="77777777">
        <w:trPr>
          <w:trHeight w:val="500"/>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96FC89" w14:textId="77777777" w:rsidR="000745C6" w:rsidRDefault="00000000">
            <w:r>
              <w:t>Monzo</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630EE0" w14:textId="77777777" w:rsidR="000745C6" w:rsidRDefault="00000000">
            <w:r>
              <w:t>Differentiation</w:t>
            </w:r>
          </w:p>
        </w:tc>
        <w:tc>
          <w:tcPr>
            <w:tcW w:w="5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3E91ED" w14:textId="77777777" w:rsidR="000745C6" w:rsidRDefault="00000000">
            <w:r>
              <w:t>Focus on user experience, innovation, and transparency</w:t>
            </w:r>
          </w:p>
        </w:tc>
      </w:tr>
      <w:tr w:rsidR="000745C6" w14:paraId="69D5EFCB" w14:textId="77777777">
        <w:trPr>
          <w:trHeight w:val="500"/>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B2996B" w14:textId="77777777" w:rsidR="000745C6" w:rsidRDefault="00000000">
            <w:r>
              <w:t>Barclays</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B46AAC" w14:textId="77777777" w:rsidR="000745C6" w:rsidRDefault="00000000">
            <w:r>
              <w:t>Hybrid Strategy</w:t>
            </w:r>
          </w:p>
        </w:tc>
        <w:tc>
          <w:tcPr>
            <w:tcW w:w="5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6D294C" w14:textId="77777777" w:rsidR="000745C6" w:rsidRDefault="00000000">
            <w:r>
              <w:t>Combines cost leadership with differentiation</w:t>
            </w:r>
          </w:p>
        </w:tc>
      </w:tr>
    </w:tbl>
    <w:p w14:paraId="4F5D3EDF" w14:textId="77777777" w:rsidR="000745C6" w:rsidRDefault="00000000">
      <w:r>
        <w:t>Monzo utilises differentiation strategy making use of a focus on high quality user experience, wonderful app features and open banking, which enables the company to be differentiated in a crowded fintech industry. Conversely, Barclays on their part are using a hybrid approach, prioritizing the cost-efficiency and service differentiation to retain the extensive customer base, investing in a digital transformation in the meantime (Xu et al., 2025). This is an indication of the alignment of the banks towards disruptive technology and competition.</w:t>
      </w:r>
    </w:p>
    <w:p w14:paraId="4741E214" w14:textId="77777777" w:rsidR="000745C6" w:rsidRDefault="00000000">
      <w:pPr>
        <w:pStyle w:val="Heading2"/>
      </w:pPr>
      <w:bookmarkStart w:id="9" w:name="_Toc225236262"/>
      <w:r>
        <w:t>3.2 Monzo’s Strategic Response</w:t>
      </w:r>
      <w:bookmarkEnd w:id="9"/>
    </w:p>
    <w:p w14:paraId="458AF6C7" w14:textId="77777777" w:rsidR="000745C6" w:rsidRDefault="00000000">
      <w:r>
        <w:t>Monzo pursues a differentiation strategy through the provision of a better digital banking experience. Its mobile-first system, live notifications, and budgeting applications bring value to the customers. The strategy is in line with the growing need towards personalised and convenient financial services. Ansoff wise, Monzo concentrates on penetrating the market and product development. Its success in the UK market has been evidenced in its quick market penetration, whereas the ability to update the features constantly portrays product development. The adoption of fintech research is justified in the strategy chosen by Monzo, as they pointed out the advantages of innovation to enhance customer satisfaction and performance (Albuainain and Ashby, 2025). Also, API implementation can promote service integration and innovation (Fitriana and Judijanto, 2025). Nevertheless, Monzo has problems with profitability. Most of the challenger banks do not manage to attain sustainable revenue models despite the high customer growth. This leaves doubt to whether its strategy is sustainable in the long run.</w:t>
      </w:r>
    </w:p>
    <w:p w14:paraId="7F29FE24" w14:textId="77777777" w:rsidR="000745C6" w:rsidRDefault="00000000">
      <w:pPr>
        <w:pStyle w:val="Heading2"/>
      </w:pPr>
      <w:bookmarkStart w:id="10" w:name="_Toc225236263"/>
      <w:r>
        <w:lastRenderedPageBreak/>
        <w:t>3.3 Barclays’ Strategic Response</w:t>
      </w:r>
      <w:bookmarkEnd w:id="10"/>
    </w:p>
    <w:p w14:paraId="0907A0B8" w14:textId="77777777" w:rsidR="000745C6" w:rsidRDefault="00000000">
      <w:r>
        <w:t>Barclays plays the hybrid strategy involving both cost-efficiency and differentiation of services. Its digital transformation initiatives have a goal to enhance customer experience and also ensure operations are efficient. The bank has a substantial investment in digital platforms, AI, and data analytics in order to stay competitive (Beerbaum, 2024). Under the Ansoff perspective, Barclays is concerned with market penetration and product development just like Monzo. But it has an enhanced diversification strategy that provides investment, wealth management, and corporate banking services. This strategic reaction of Barclays indicates how the conventional banks should respond to technical disruption (Langley and Leyshon, 2023). To survive in an increasingly digitalized market, digital transformation must be maintained (Albuainain and Ashby, 2025).</w:t>
      </w:r>
    </w:p>
    <w:p w14:paraId="04AD6D38" w14:textId="77777777" w:rsidR="000745C6" w:rsidRDefault="00000000">
      <w:pPr>
        <w:pStyle w:val="Heading2"/>
      </w:pPr>
      <w:bookmarkStart w:id="11" w:name="_Toc225236264"/>
      <w:r>
        <w:t>3.4 Ansoff Matrix Comparison</w:t>
      </w:r>
      <w:bookmarkEnd w:id="11"/>
    </w:p>
    <w:tbl>
      <w:tblPr>
        <w:tblStyle w:val="a1"/>
        <w:tblW w:w="885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30"/>
        <w:gridCol w:w="3065"/>
        <w:gridCol w:w="3455"/>
      </w:tblGrid>
      <w:tr w:rsidR="000745C6" w14:paraId="3B1D3B97" w14:textId="77777777">
        <w:trPr>
          <w:trHeight w:val="500"/>
        </w:trPr>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439D91" w14:textId="77777777" w:rsidR="000745C6" w:rsidRDefault="00000000">
            <w:r>
              <w:rPr>
                <w:b/>
                <w:bCs/>
              </w:rPr>
              <w:t>Strategy</w:t>
            </w:r>
          </w:p>
        </w:tc>
        <w:tc>
          <w:tcPr>
            <w:tcW w:w="3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007B33" w14:textId="77777777" w:rsidR="000745C6" w:rsidRDefault="00000000">
            <w:r>
              <w:rPr>
                <w:b/>
                <w:bCs/>
              </w:rPr>
              <w:t>Monzo</w:t>
            </w:r>
          </w:p>
        </w:tc>
        <w:tc>
          <w:tcPr>
            <w:tcW w:w="3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831DDB" w14:textId="77777777" w:rsidR="000745C6" w:rsidRDefault="00000000">
            <w:r>
              <w:rPr>
                <w:b/>
                <w:bCs/>
              </w:rPr>
              <w:t>Barclays</w:t>
            </w:r>
          </w:p>
        </w:tc>
      </w:tr>
      <w:tr w:rsidR="000745C6" w14:paraId="6F54C343" w14:textId="77777777">
        <w:trPr>
          <w:trHeight w:val="500"/>
        </w:trPr>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83F24F" w14:textId="77777777" w:rsidR="000745C6" w:rsidRDefault="00000000">
            <w:r>
              <w:t>Market Penetration</w:t>
            </w:r>
          </w:p>
        </w:tc>
        <w:tc>
          <w:tcPr>
            <w:tcW w:w="3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F3B477" w14:textId="77777777" w:rsidR="000745C6" w:rsidRDefault="00000000">
            <w:r>
              <w:t>Rapid UK customer growth</w:t>
            </w:r>
          </w:p>
        </w:tc>
        <w:tc>
          <w:tcPr>
            <w:tcW w:w="3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5F0523" w14:textId="77777777" w:rsidR="000745C6" w:rsidRDefault="00000000">
            <w:r>
              <w:t>Retaining existing customer base</w:t>
            </w:r>
          </w:p>
        </w:tc>
      </w:tr>
      <w:tr w:rsidR="000745C6" w14:paraId="2A97A1F7" w14:textId="77777777">
        <w:trPr>
          <w:trHeight w:val="500"/>
        </w:trPr>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D3E058" w14:textId="77777777" w:rsidR="000745C6" w:rsidRDefault="00000000">
            <w:r>
              <w:t>Product Development</w:t>
            </w:r>
          </w:p>
        </w:tc>
        <w:tc>
          <w:tcPr>
            <w:tcW w:w="3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526550" w14:textId="77777777" w:rsidR="000745C6" w:rsidRDefault="00000000">
            <w:r>
              <w:t>App features, budgeting tools</w:t>
            </w:r>
          </w:p>
        </w:tc>
        <w:tc>
          <w:tcPr>
            <w:tcW w:w="3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0583A1" w14:textId="77777777" w:rsidR="000745C6" w:rsidRDefault="00000000">
            <w:r>
              <w:t>Digital banking services</w:t>
            </w:r>
          </w:p>
        </w:tc>
      </w:tr>
      <w:tr w:rsidR="000745C6" w14:paraId="58D1D465" w14:textId="77777777">
        <w:trPr>
          <w:trHeight w:val="500"/>
        </w:trPr>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2D388E" w14:textId="77777777" w:rsidR="000745C6" w:rsidRDefault="00000000">
            <w:r>
              <w:t>Market Development</w:t>
            </w:r>
          </w:p>
        </w:tc>
        <w:tc>
          <w:tcPr>
            <w:tcW w:w="3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DF5F6C" w14:textId="77777777" w:rsidR="000745C6" w:rsidRDefault="00000000">
            <w:r>
              <w:t>International expansion</w:t>
            </w:r>
          </w:p>
        </w:tc>
        <w:tc>
          <w:tcPr>
            <w:tcW w:w="3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5CA926" w14:textId="77777777" w:rsidR="000745C6" w:rsidRDefault="00000000">
            <w:r>
              <w:t>Expanding digital reach</w:t>
            </w:r>
          </w:p>
        </w:tc>
      </w:tr>
      <w:tr w:rsidR="000745C6" w14:paraId="37CEFE5F" w14:textId="77777777">
        <w:trPr>
          <w:trHeight w:val="500"/>
        </w:trPr>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CE0C5F" w14:textId="77777777" w:rsidR="000745C6" w:rsidRDefault="00000000">
            <w:r>
              <w:t>Diversification</w:t>
            </w:r>
          </w:p>
        </w:tc>
        <w:tc>
          <w:tcPr>
            <w:tcW w:w="3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BD5EA4" w14:textId="77777777" w:rsidR="000745C6" w:rsidRDefault="00000000">
            <w:r>
              <w:t>Limited</w:t>
            </w:r>
          </w:p>
        </w:tc>
        <w:tc>
          <w:tcPr>
            <w:tcW w:w="3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E4BA61" w14:textId="77777777" w:rsidR="000745C6" w:rsidRDefault="00000000">
            <w:r>
              <w:t>Wealth management, investments</w:t>
            </w:r>
          </w:p>
        </w:tc>
      </w:tr>
    </w:tbl>
    <w:p w14:paraId="1B0141E7" w14:textId="77777777" w:rsidR="000745C6" w:rsidRDefault="00000000">
      <w:r>
        <w:t>As revealed in the Ansoff Matrix, Monzo aims at penetrating the market and developing its products by developing new features on its apps and acquiring customers quickly whereas Barclays is focused on customer retention and digital development of its services. Barclays also offers more diversification in terms of wealth and investment services, which Monzo is not as diversified. This captures the way in which the former encourages the existing players to use more diversified portfolios, and the latter focus on specialized development and innovation (Fitriana and Judijanto, 2025).</w:t>
      </w:r>
    </w:p>
    <w:p w14:paraId="1A4A0806" w14:textId="77777777" w:rsidR="000745C6" w:rsidRDefault="00000000">
      <w:pPr>
        <w:pStyle w:val="Heading2"/>
      </w:pPr>
      <w:bookmarkStart w:id="12" w:name="_Toc225236265"/>
      <w:r>
        <w:lastRenderedPageBreak/>
        <w:t>3.5 Critical Evaluation</w:t>
      </w:r>
      <w:bookmarkEnd w:id="12"/>
    </w:p>
    <w:p w14:paraId="25227E23" w14:textId="77777777" w:rsidR="000745C6" w:rsidRDefault="00000000">
      <w:r>
        <w:t>Different strategies towards competition can be pointed out by the strategic responses of Monzo and Barclays. The differentiation strategy used by Monzo allows it to be innovative and to interact with its customers fast, but it has sustainability issues. The hybrid strategy employed by Barclays gives it stability and possibly reduces agility. According to the research, the use of fintech improves the performance of banks with a corresponding growth in competition and the necessity to constantly adapt their strategies (Xu et al., 2025). Also, open banking APIs create an environment that spurs innovation but minimizes entry barriers, creating an increased level of competition (Fitriana and Judijanto, 2025). The strength of Monzo is that it can develop ideas fast, but the strong side of Barclays is its financial assets and branch portfolio. Nevertheless, the efficacy of any strategy will be based on how an organisation is flexible to the ever changing technological and regulatory advancements.</w:t>
      </w:r>
    </w:p>
    <w:p w14:paraId="374DC1C8" w14:textId="77777777" w:rsidR="000745C6" w:rsidRDefault="00000000">
      <w:pPr>
        <w:pStyle w:val="Heading1"/>
      </w:pPr>
      <w:bookmarkStart w:id="13" w:name="_Toc225236266"/>
      <w:r>
        <w:t>4. Discussion</w:t>
      </w:r>
      <w:bookmarkEnd w:id="13"/>
    </w:p>
    <w:p w14:paraId="3D0FF0EB" w14:textId="77777777" w:rsidR="000745C6" w:rsidRDefault="00000000">
      <w:r>
        <w:t xml:space="preserve">The macro-environmental analysis shows that the macro-environment has a profound impact on strategic positioning in the UK banking industry. Regulatory reforms combined with the massive opportunities that technological progress is offering through open banking APIs and digital platforms have resulted in more opportunities to be innovative as well as an increase in competitive pressure (Casolaro et al., 2025). These changes have seen entry barriers being reduced and the challenger banks being able to compete better with the established institutions. The success of Monzo is an indication of the increasing significance of digital transformation and customer-focused innovation. It has been able to grow and penetrate the market swiftly because of the use of technology, agile thinking and fast reaction to changes in market needs (Ogundipe et al., 2024). Nevertheless, its dependency on a differentiation strategy casts a doubt on the long-term profitability because fintech companies tend to be costly in terms of operations and struggle to maintain revenue streams (Xu et al., 2025). In particular, the ability to adapt and to use its vast resources and its strong customer base and expertise in regulations allow Barclays, as a follower organisation, to be resilient (Babina et al., 2025). Its hybrid approach will enable it to operate in various segments and be stable, although the constant investment in digital transformation is necessary to address limits of its legacy systems and be a competitive force (Beerbaum, 2024). The strategic flexibility is emphasized by the communication of technological and regulatory factors. In the ever-digitised and competitive banking sector, organisations need to keep adjusting their approaches, balancing both innovation and the </w:t>
      </w:r>
      <w:r>
        <w:lastRenderedPageBreak/>
        <w:t>sustainability of their financial processes to bring them to the long-term success (Albuainain and Ashby, 2025).</w:t>
      </w:r>
    </w:p>
    <w:p w14:paraId="279A4A5A" w14:textId="77777777" w:rsidR="000745C6" w:rsidRDefault="00000000">
      <w:pPr>
        <w:pStyle w:val="Heading1"/>
      </w:pPr>
      <w:bookmarkStart w:id="14" w:name="_Toc225236267"/>
      <w:r>
        <w:t>5. Conclusion</w:t>
      </w:r>
      <w:bookmarkEnd w:id="14"/>
    </w:p>
    <w:p w14:paraId="65233682" w14:textId="77777777" w:rsidR="000745C6" w:rsidRDefault="00000000">
      <w:r>
        <w:t>To sum up, the UK banking sector is experiencing a radical change influenced by the rapid technological development and changing regulatory systems. The transformations like open banking, digital platforms and API integration have changed the competitive dynamics, and so new entrants can challenge the traditional institutions. As an innovative organisation, Monzo uses digital technologies, agile processes, and customer focus in a successful way that creates a robust competitive edge on the basis of the innovation and user experience. Its responsiveness to the market needs has enabled it to grow and differentiate within a short period. Conversely, Barclays being a follower is flexible and displays a continuous digitalization journey and a strategic diversification of its range of financial services. Its infrastructure, well established capital base and regulatory prowess offer the resilience and long term stability. Nevertheless, the problem of legacy systems and organisational complexity still remains an obstacle to agility and speed of innovation. Although Monzo enjoys its innovative strength, there are the concerns about its profitability and long-term sustainability in the highly hostile environment. On the other hand, Barclays should keep up with modernisation of its operations to stay viable in digital-first world. The success of the two organisations in the future will be determined, however, by the manner in which they strike a balance between technological innovation and sustainable and scalable business models in responding appropriately to the current changes in the environment.</w:t>
      </w:r>
      <w:r>
        <w:br w:type="page"/>
      </w:r>
    </w:p>
    <w:p w14:paraId="12EF14F0" w14:textId="77777777" w:rsidR="000745C6" w:rsidRDefault="00000000">
      <w:pPr>
        <w:pStyle w:val="Heading1"/>
      </w:pPr>
      <w:bookmarkStart w:id="15" w:name="_Toc225236268"/>
      <w:r>
        <w:lastRenderedPageBreak/>
        <w:t>References</w:t>
      </w:r>
      <w:bookmarkEnd w:id="15"/>
    </w:p>
    <w:p w14:paraId="67F5E379" w14:textId="77777777" w:rsidR="00EC43A2" w:rsidRPr="00EC43A2" w:rsidRDefault="00EC43A2" w:rsidP="00EC43A2">
      <w:pPr>
        <w:pStyle w:val="ListParagraph"/>
        <w:numPr>
          <w:ilvl w:val="0"/>
          <w:numId w:val="1"/>
        </w:numPr>
        <w:spacing w:before="240" w:after="240"/>
        <w:rPr>
          <w:color w:val="222222"/>
          <w:highlight w:val="white"/>
        </w:rPr>
      </w:pPr>
      <w:r w:rsidRPr="00EC43A2">
        <w:rPr>
          <w:color w:val="222222"/>
          <w:highlight w:val="white"/>
        </w:rPr>
        <w:t xml:space="preserve">Albuainain, A. and Ashby, S., 2025. Enablers and barriers in FinTech adoption: A systematic literature review of customer adoption and its impact on bank performance. </w:t>
      </w:r>
      <w:r w:rsidRPr="00EC43A2">
        <w:rPr>
          <w:i/>
          <w:iCs/>
          <w:color w:val="222222"/>
          <w:highlight w:val="white"/>
        </w:rPr>
        <w:t>FinTech</w:t>
      </w:r>
      <w:r w:rsidRPr="00EC43A2">
        <w:rPr>
          <w:color w:val="222222"/>
          <w:highlight w:val="white"/>
        </w:rPr>
        <w:t xml:space="preserve">, </w:t>
      </w:r>
      <w:r w:rsidRPr="00EC43A2">
        <w:rPr>
          <w:i/>
          <w:iCs/>
          <w:color w:val="222222"/>
          <w:highlight w:val="white"/>
        </w:rPr>
        <w:t>4</w:t>
      </w:r>
      <w:r w:rsidRPr="00EC43A2">
        <w:rPr>
          <w:color w:val="222222"/>
          <w:highlight w:val="white"/>
        </w:rPr>
        <w:t>(3), p.49.</w:t>
      </w:r>
      <w:hyperlink r:id="rId8">
        <w:r w:rsidRPr="00EC43A2">
          <w:rPr>
            <w:color w:val="1155CC"/>
            <w:highlight w:val="white"/>
            <w:u w:val="single"/>
          </w:rPr>
          <w:t>https://www.mdpi.com/2674-1032/4/3/49</w:t>
        </w:r>
      </w:hyperlink>
      <w:r w:rsidRPr="00EC43A2">
        <w:rPr>
          <w:color w:val="222222"/>
          <w:highlight w:val="white"/>
        </w:rPr>
        <w:t xml:space="preserve"> </w:t>
      </w:r>
    </w:p>
    <w:p w14:paraId="5F24939D" w14:textId="77777777" w:rsidR="00EC43A2" w:rsidRPr="00EC43A2" w:rsidRDefault="00EC43A2" w:rsidP="00EC43A2">
      <w:pPr>
        <w:pStyle w:val="ListParagraph"/>
        <w:numPr>
          <w:ilvl w:val="0"/>
          <w:numId w:val="1"/>
        </w:numPr>
        <w:spacing w:before="240" w:after="240"/>
        <w:rPr>
          <w:color w:val="222222"/>
          <w:highlight w:val="white"/>
        </w:rPr>
      </w:pPr>
      <w:r w:rsidRPr="00EC43A2">
        <w:rPr>
          <w:color w:val="222222"/>
          <w:highlight w:val="white"/>
        </w:rPr>
        <w:t xml:space="preserve">Babina, T., Bahaj, S., Buchak, G., De Marco, F., Foulis, A., Gornall, W., Mazzola, F. and Yu, T., 2025. Customer data access and fintech entry: Early evidence from open banking. </w:t>
      </w:r>
      <w:r w:rsidRPr="00EC43A2">
        <w:rPr>
          <w:i/>
          <w:iCs/>
          <w:color w:val="222222"/>
          <w:highlight w:val="white"/>
        </w:rPr>
        <w:t>Journal of Financial Economics</w:t>
      </w:r>
      <w:r w:rsidRPr="00EC43A2">
        <w:rPr>
          <w:color w:val="222222"/>
          <w:highlight w:val="white"/>
        </w:rPr>
        <w:t xml:space="preserve">, </w:t>
      </w:r>
      <w:r w:rsidRPr="00EC43A2">
        <w:rPr>
          <w:i/>
          <w:iCs/>
          <w:color w:val="222222"/>
          <w:highlight w:val="white"/>
        </w:rPr>
        <w:t>169</w:t>
      </w:r>
      <w:r w:rsidRPr="00EC43A2">
        <w:rPr>
          <w:color w:val="222222"/>
          <w:highlight w:val="white"/>
        </w:rPr>
        <w:t>, p.103950.</w:t>
      </w:r>
      <w:hyperlink r:id="rId9">
        <w:r w:rsidRPr="00EC43A2">
          <w:rPr>
            <w:color w:val="1155CC"/>
            <w:highlight w:val="white"/>
            <w:u w:val="single"/>
          </w:rPr>
          <w:t>https://www.sciencedirect.com/science/article/pii/S0304405X24001739</w:t>
        </w:r>
      </w:hyperlink>
      <w:r w:rsidRPr="00EC43A2">
        <w:rPr>
          <w:color w:val="222222"/>
          <w:highlight w:val="white"/>
        </w:rPr>
        <w:t xml:space="preserve"> </w:t>
      </w:r>
    </w:p>
    <w:p w14:paraId="193FD524" w14:textId="77777777" w:rsidR="00EC43A2" w:rsidRPr="00EC43A2" w:rsidRDefault="00EC43A2" w:rsidP="00EC43A2">
      <w:pPr>
        <w:pStyle w:val="ListParagraph"/>
        <w:numPr>
          <w:ilvl w:val="0"/>
          <w:numId w:val="1"/>
        </w:numPr>
        <w:spacing w:before="240" w:after="240"/>
        <w:rPr>
          <w:color w:val="222222"/>
          <w:highlight w:val="white"/>
        </w:rPr>
      </w:pPr>
      <w:r w:rsidRPr="00EC43A2">
        <w:rPr>
          <w:color w:val="222222"/>
          <w:highlight w:val="white"/>
        </w:rPr>
        <w:t xml:space="preserve">Beerbaum, D., 2024. Digital Transformation in Financial Services: API Economy and Agile Manifestation. </w:t>
      </w:r>
      <w:r w:rsidRPr="00EC43A2">
        <w:rPr>
          <w:i/>
          <w:iCs/>
          <w:color w:val="222222"/>
          <w:highlight w:val="white"/>
        </w:rPr>
        <w:t>Digital Transformation in Financial Services: API Economy and Agile Manifestation (October 03, 2024)</w:t>
      </w:r>
      <w:r w:rsidRPr="00EC43A2">
        <w:rPr>
          <w:color w:val="222222"/>
          <w:highlight w:val="white"/>
        </w:rPr>
        <w:t>.</w:t>
      </w:r>
      <w:hyperlink r:id="rId10">
        <w:r w:rsidRPr="00EC43A2">
          <w:rPr>
            <w:color w:val="1155CC"/>
            <w:highlight w:val="white"/>
            <w:u w:val="single"/>
          </w:rPr>
          <w:t>https://papers.ssrn.com/sol3/Delivery.cfm?abstractid=4975465</w:t>
        </w:r>
      </w:hyperlink>
      <w:r w:rsidRPr="00EC43A2">
        <w:rPr>
          <w:color w:val="222222"/>
          <w:highlight w:val="white"/>
        </w:rPr>
        <w:t xml:space="preserve"> </w:t>
      </w:r>
    </w:p>
    <w:p w14:paraId="40E07728" w14:textId="77777777" w:rsidR="00EC43A2" w:rsidRPr="00EC43A2" w:rsidRDefault="00EC43A2" w:rsidP="00EC43A2">
      <w:pPr>
        <w:pStyle w:val="ListParagraph"/>
        <w:numPr>
          <w:ilvl w:val="0"/>
          <w:numId w:val="1"/>
        </w:numPr>
        <w:spacing w:before="240" w:after="240"/>
        <w:rPr>
          <w:color w:val="222222"/>
          <w:highlight w:val="white"/>
        </w:rPr>
      </w:pPr>
      <w:r w:rsidRPr="00EC43A2">
        <w:rPr>
          <w:color w:val="222222"/>
          <w:highlight w:val="white"/>
        </w:rPr>
        <w:t xml:space="preserve">Briones de Araluze, G.K. and Cassinello Plaza, N., 2022. Open banking: A bibliometric analysis-driven definition. </w:t>
      </w:r>
      <w:r w:rsidRPr="00EC43A2">
        <w:rPr>
          <w:i/>
          <w:iCs/>
          <w:color w:val="222222"/>
          <w:highlight w:val="white"/>
        </w:rPr>
        <w:t>PloS one</w:t>
      </w:r>
      <w:r w:rsidRPr="00EC43A2">
        <w:rPr>
          <w:color w:val="222222"/>
          <w:highlight w:val="white"/>
        </w:rPr>
        <w:t xml:space="preserve">, </w:t>
      </w:r>
      <w:r w:rsidRPr="00EC43A2">
        <w:rPr>
          <w:i/>
          <w:iCs/>
          <w:color w:val="222222"/>
          <w:highlight w:val="white"/>
        </w:rPr>
        <w:t>17</w:t>
      </w:r>
      <w:r w:rsidRPr="00EC43A2">
        <w:rPr>
          <w:color w:val="222222"/>
          <w:highlight w:val="white"/>
        </w:rPr>
        <w:t>(10), p.e0275496.</w:t>
      </w:r>
      <w:hyperlink r:id="rId11">
        <w:r w:rsidRPr="00EC43A2">
          <w:rPr>
            <w:color w:val="1155CC"/>
            <w:highlight w:val="white"/>
            <w:u w:val="single"/>
          </w:rPr>
          <w:t>https://journals.plos.org/plosone/article/file?id=10.1371/journal.pone.0275496&amp;type=printable</w:t>
        </w:r>
      </w:hyperlink>
      <w:r w:rsidRPr="00EC43A2">
        <w:rPr>
          <w:color w:val="222222"/>
          <w:highlight w:val="white"/>
        </w:rPr>
        <w:t xml:space="preserve"> </w:t>
      </w:r>
    </w:p>
    <w:p w14:paraId="7E481265" w14:textId="77777777" w:rsidR="00EC43A2" w:rsidRPr="00EC43A2" w:rsidRDefault="00EC43A2" w:rsidP="00EC43A2">
      <w:pPr>
        <w:pStyle w:val="ListParagraph"/>
        <w:numPr>
          <w:ilvl w:val="0"/>
          <w:numId w:val="1"/>
        </w:numPr>
        <w:spacing w:before="240" w:after="240"/>
        <w:rPr>
          <w:color w:val="222222"/>
          <w:highlight w:val="white"/>
        </w:rPr>
      </w:pPr>
      <w:r w:rsidRPr="00EC43A2">
        <w:rPr>
          <w:color w:val="222222"/>
          <w:highlight w:val="white"/>
        </w:rPr>
        <w:t xml:space="preserve">Casolaro, A.M.B., Rauber, G.N. and de Lima, U.S.M., 2025. Open banking: a systematic literature review. </w:t>
      </w:r>
      <w:r w:rsidRPr="00EC43A2">
        <w:rPr>
          <w:i/>
          <w:iCs/>
          <w:color w:val="222222"/>
          <w:highlight w:val="white"/>
        </w:rPr>
        <w:t>Journal of Banking Regulation</w:t>
      </w:r>
      <w:r w:rsidRPr="00EC43A2">
        <w:rPr>
          <w:color w:val="222222"/>
          <w:highlight w:val="white"/>
        </w:rPr>
        <w:t xml:space="preserve">, </w:t>
      </w:r>
      <w:r w:rsidRPr="00EC43A2">
        <w:rPr>
          <w:i/>
          <w:iCs/>
          <w:color w:val="222222"/>
          <w:highlight w:val="white"/>
        </w:rPr>
        <w:t>26</w:t>
      </w:r>
      <w:r w:rsidRPr="00EC43A2">
        <w:rPr>
          <w:color w:val="222222"/>
          <w:highlight w:val="white"/>
        </w:rPr>
        <w:t>(3), pp.340-355.</w:t>
      </w:r>
      <w:hyperlink r:id="rId12">
        <w:r w:rsidRPr="00EC43A2">
          <w:rPr>
            <w:color w:val="1155CC"/>
            <w:highlight w:val="white"/>
            <w:u w:val="single"/>
          </w:rPr>
          <w:t>https://link.springer.com/article/10.1057/s41261-024-00262-x</w:t>
        </w:r>
      </w:hyperlink>
      <w:r w:rsidRPr="00EC43A2">
        <w:rPr>
          <w:color w:val="222222"/>
          <w:highlight w:val="white"/>
        </w:rPr>
        <w:t xml:space="preserve"> </w:t>
      </w:r>
    </w:p>
    <w:p w14:paraId="2DF696DE" w14:textId="77777777" w:rsidR="00EC43A2" w:rsidRPr="00EC43A2" w:rsidRDefault="00EC43A2" w:rsidP="00EC43A2">
      <w:pPr>
        <w:pStyle w:val="ListParagraph"/>
        <w:numPr>
          <w:ilvl w:val="0"/>
          <w:numId w:val="1"/>
        </w:numPr>
        <w:spacing w:before="240" w:after="240"/>
        <w:rPr>
          <w:color w:val="222222"/>
          <w:highlight w:val="white"/>
        </w:rPr>
      </w:pPr>
      <w:r w:rsidRPr="00EC43A2">
        <w:rPr>
          <w:color w:val="222222"/>
          <w:highlight w:val="white"/>
        </w:rPr>
        <w:t xml:space="preserve">Fitriana, R. and Judijanto, L., 2025. Open banking Api implementation: Implications for financial services competition and innovation. </w:t>
      </w:r>
      <w:r w:rsidRPr="00EC43A2">
        <w:rPr>
          <w:i/>
          <w:iCs/>
          <w:color w:val="222222"/>
          <w:highlight w:val="white"/>
        </w:rPr>
        <w:t>INTERNATIONAL JOURNAL OF FINANCIAL ECONOMICS</w:t>
      </w:r>
      <w:r w:rsidRPr="00EC43A2">
        <w:rPr>
          <w:color w:val="222222"/>
          <w:highlight w:val="white"/>
        </w:rPr>
        <w:t xml:space="preserve">, </w:t>
      </w:r>
      <w:r w:rsidRPr="00EC43A2">
        <w:rPr>
          <w:i/>
          <w:iCs/>
          <w:color w:val="222222"/>
          <w:highlight w:val="white"/>
        </w:rPr>
        <w:t>2</w:t>
      </w:r>
      <w:r w:rsidRPr="00EC43A2">
        <w:rPr>
          <w:color w:val="222222"/>
          <w:highlight w:val="white"/>
        </w:rPr>
        <w:t>(6), pp.659-667.</w:t>
      </w:r>
      <w:hyperlink r:id="rId13">
        <w:r w:rsidRPr="00EC43A2">
          <w:rPr>
            <w:color w:val="1155CC"/>
            <w:highlight w:val="white"/>
            <w:u w:val="single"/>
          </w:rPr>
          <w:t>https://wikep.net/index.php/IJEFE/article/download/134/130</w:t>
        </w:r>
      </w:hyperlink>
      <w:r w:rsidRPr="00EC43A2">
        <w:rPr>
          <w:color w:val="222222"/>
          <w:highlight w:val="white"/>
        </w:rPr>
        <w:t xml:space="preserve"> </w:t>
      </w:r>
    </w:p>
    <w:p w14:paraId="680684F5" w14:textId="77777777" w:rsidR="00EC43A2" w:rsidRDefault="00EC43A2" w:rsidP="00EC43A2">
      <w:pPr>
        <w:pStyle w:val="ListParagraph"/>
        <w:numPr>
          <w:ilvl w:val="0"/>
          <w:numId w:val="1"/>
        </w:numPr>
        <w:spacing w:before="240" w:after="240"/>
      </w:pPr>
      <w:r w:rsidRPr="00EC43A2">
        <w:rPr>
          <w:color w:val="222222"/>
          <w:highlight w:val="white"/>
        </w:rPr>
        <w:t xml:space="preserve">Fitriana, R. and Judijanto, L., 2025. Open banking Api implementation: Implications for financial services competition and innovation. </w:t>
      </w:r>
      <w:r w:rsidRPr="00EC43A2">
        <w:rPr>
          <w:i/>
          <w:iCs/>
          <w:color w:val="222222"/>
          <w:highlight w:val="white"/>
        </w:rPr>
        <w:t>INTERNATIONAL JOURNAL OF FINANCIAL ECONOMICS</w:t>
      </w:r>
      <w:r w:rsidRPr="00EC43A2">
        <w:rPr>
          <w:color w:val="222222"/>
          <w:highlight w:val="white"/>
        </w:rPr>
        <w:t xml:space="preserve">, </w:t>
      </w:r>
      <w:r w:rsidRPr="00EC43A2">
        <w:rPr>
          <w:i/>
          <w:iCs/>
          <w:color w:val="222222"/>
          <w:highlight w:val="white"/>
        </w:rPr>
        <w:t>2</w:t>
      </w:r>
      <w:r w:rsidRPr="00EC43A2">
        <w:rPr>
          <w:color w:val="222222"/>
          <w:highlight w:val="white"/>
        </w:rPr>
        <w:t>(6), pp.659-667.</w:t>
      </w:r>
      <w:hyperlink r:id="rId14">
        <w:r w:rsidRPr="00EC43A2">
          <w:rPr>
            <w:color w:val="1155CC"/>
            <w:highlight w:val="white"/>
            <w:u w:val="single"/>
          </w:rPr>
          <w:t>https://wikep.net/index.php/IJEFE/article/download/134/130</w:t>
        </w:r>
      </w:hyperlink>
      <w:r w:rsidRPr="00EC43A2">
        <w:rPr>
          <w:color w:val="222222"/>
          <w:highlight w:val="white"/>
        </w:rPr>
        <w:t xml:space="preserve"> </w:t>
      </w:r>
    </w:p>
    <w:p w14:paraId="5D27A1B0" w14:textId="77777777" w:rsidR="00EC43A2" w:rsidRPr="00EC43A2" w:rsidRDefault="00EC43A2" w:rsidP="00EC43A2">
      <w:pPr>
        <w:pStyle w:val="ListParagraph"/>
        <w:numPr>
          <w:ilvl w:val="0"/>
          <w:numId w:val="1"/>
        </w:numPr>
        <w:spacing w:before="240" w:after="240"/>
        <w:rPr>
          <w:color w:val="222222"/>
          <w:highlight w:val="white"/>
        </w:rPr>
      </w:pPr>
      <w:r w:rsidRPr="00EC43A2">
        <w:rPr>
          <w:color w:val="222222"/>
          <w:highlight w:val="white"/>
        </w:rPr>
        <w:t xml:space="preserve">Langley, P. and Leyshon, A., 2023. FinTech platform regulation: regulating with/against platforms in the UK and China. </w:t>
      </w:r>
      <w:r w:rsidRPr="00EC43A2">
        <w:rPr>
          <w:i/>
          <w:iCs/>
          <w:color w:val="222222"/>
          <w:highlight w:val="white"/>
        </w:rPr>
        <w:t>Cambridge journal of regions, economy and society</w:t>
      </w:r>
      <w:r w:rsidRPr="00EC43A2">
        <w:rPr>
          <w:color w:val="222222"/>
          <w:highlight w:val="white"/>
        </w:rPr>
        <w:t xml:space="preserve">, </w:t>
      </w:r>
      <w:r w:rsidRPr="00EC43A2">
        <w:rPr>
          <w:i/>
          <w:iCs/>
          <w:color w:val="222222"/>
          <w:highlight w:val="white"/>
        </w:rPr>
        <w:t>16</w:t>
      </w:r>
      <w:r w:rsidRPr="00EC43A2">
        <w:rPr>
          <w:color w:val="222222"/>
          <w:highlight w:val="white"/>
        </w:rPr>
        <w:t>(2), pp.257-268.</w:t>
      </w:r>
      <w:hyperlink r:id="rId15">
        <w:r w:rsidRPr="00EC43A2">
          <w:rPr>
            <w:color w:val="1155CC"/>
            <w:highlight w:val="white"/>
            <w:u w:val="single"/>
          </w:rPr>
          <w:t>https://academic.oup.com/cjres/article-pdf/16/2/257/50997139/rsad005.pdf</w:t>
        </w:r>
      </w:hyperlink>
      <w:r w:rsidRPr="00EC43A2">
        <w:rPr>
          <w:color w:val="222222"/>
          <w:highlight w:val="white"/>
        </w:rPr>
        <w:t xml:space="preserve"> </w:t>
      </w:r>
    </w:p>
    <w:p w14:paraId="5472D259" w14:textId="77777777" w:rsidR="00EC43A2" w:rsidRPr="00EC43A2" w:rsidRDefault="00EC43A2" w:rsidP="00EC43A2">
      <w:pPr>
        <w:pStyle w:val="ListParagraph"/>
        <w:numPr>
          <w:ilvl w:val="0"/>
          <w:numId w:val="1"/>
        </w:numPr>
        <w:spacing w:before="240" w:after="240"/>
        <w:rPr>
          <w:color w:val="222222"/>
          <w:highlight w:val="white"/>
        </w:rPr>
      </w:pPr>
      <w:r w:rsidRPr="00EC43A2">
        <w:rPr>
          <w:color w:val="222222"/>
          <w:highlight w:val="white"/>
        </w:rPr>
        <w:t xml:space="preserve">Ogundipe, D.O., Odejide, O.A. and Edunjobi, T.E., 2024. Agile methodologies in digital banking: Theoretical underpinnings and implications for customer satisfaction. </w:t>
      </w:r>
      <w:r w:rsidRPr="00EC43A2">
        <w:rPr>
          <w:i/>
          <w:iCs/>
          <w:color w:val="222222"/>
          <w:highlight w:val="white"/>
        </w:rPr>
        <w:lastRenderedPageBreak/>
        <w:t>Open Access Research Journal of Science and Technology</w:t>
      </w:r>
      <w:r w:rsidRPr="00EC43A2">
        <w:rPr>
          <w:color w:val="222222"/>
          <w:highlight w:val="white"/>
        </w:rPr>
        <w:t xml:space="preserve">, </w:t>
      </w:r>
      <w:r w:rsidRPr="00EC43A2">
        <w:rPr>
          <w:i/>
          <w:iCs/>
          <w:color w:val="222222"/>
          <w:highlight w:val="white"/>
        </w:rPr>
        <w:t>10</w:t>
      </w:r>
      <w:r w:rsidRPr="00EC43A2">
        <w:rPr>
          <w:color w:val="222222"/>
          <w:highlight w:val="white"/>
        </w:rPr>
        <w:t>(2), pp.021-030.</w:t>
      </w:r>
      <w:hyperlink r:id="rId16">
        <w:r w:rsidRPr="00EC43A2">
          <w:rPr>
            <w:color w:val="1155CC"/>
            <w:highlight w:val="white"/>
            <w:u w:val="single"/>
          </w:rPr>
          <w:t>https://pdfs.semanticscholar.org/73f8/78bc5a3c7a3407b11060a2de55efe6f37705.pdf</w:t>
        </w:r>
      </w:hyperlink>
      <w:r w:rsidRPr="00EC43A2">
        <w:rPr>
          <w:color w:val="222222"/>
          <w:highlight w:val="white"/>
        </w:rPr>
        <w:t xml:space="preserve"> </w:t>
      </w:r>
    </w:p>
    <w:p w14:paraId="53FC925F" w14:textId="77777777" w:rsidR="00EC43A2" w:rsidRPr="00EC43A2" w:rsidRDefault="00EC43A2" w:rsidP="00EC43A2">
      <w:pPr>
        <w:pStyle w:val="ListParagraph"/>
        <w:numPr>
          <w:ilvl w:val="0"/>
          <w:numId w:val="1"/>
        </w:numPr>
        <w:spacing w:before="240" w:after="240"/>
        <w:rPr>
          <w:color w:val="222222"/>
          <w:highlight w:val="white"/>
        </w:rPr>
      </w:pPr>
      <w:r w:rsidRPr="00EC43A2">
        <w:rPr>
          <w:color w:val="222222"/>
          <w:highlight w:val="white"/>
        </w:rPr>
        <w:t xml:space="preserve">Wolska, A., 2024. Bridging the Gap: The Impact of Open Banking on Traditional Banking and FinTech Collaboration. </w:t>
      </w:r>
      <w:r w:rsidRPr="00EC43A2">
        <w:rPr>
          <w:i/>
          <w:iCs/>
          <w:color w:val="222222"/>
          <w:highlight w:val="white"/>
        </w:rPr>
        <w:t>FinTech and AI in Finance (FinTAF)</w:t>
      </w:r>
      <w:r w:rsidRPr="00EC43A2">
        <w:rPr>
          <w:color w:val="222222"/>
          <w:highlight w:val="white"/>
        </w:rPr>
        <w:t xml:space="preserve">, </w:t>
      </w:r>
      <w:r w:rsidRPr="00EC43A2">
        <w:rPr>
          <w:i/>
          <w:iCs/>
          <w:color w:val="222222"/>
          <w:highlight w:val="white"/>
        </w:rPr>
        <w:t>2</w:t>
      </w:r>
      <w:r w:rsidRPr="00EC43A2">
        <w:rPr>
          <w:color w:val="222222"/>
          <w:highlight w:val="white"/>
        </w:rPr>
        <w:t>(1).</w:t>
      </w:r>
      <w:hyperlink r:id="rId17">
        <w:r w:rsidRPr="00EC43A2">
          <w:rPr>
            <w:color w:val="1155CC"/>
            <w:highlight w:val="white"/>
            <w:u w:val="single"/>
          </w:rPr>
          <w:t>https://journals.shu.ac.uk/index.php/FinTAF/article/download/414/188</w:t>
        </w:r>
      </w:hyperlink>
      <w:r w:rsidRPr="00EC43A2">
        <w:rPr>
          <w:color w:val="222222"/>
          <w:highlight w:val="white"/>
        </w:rPr>
        <w:t xml:space="preserve"> </w:t>
      </w:r>
    </w:p>
    <w:p w14:paraId="1B8831E3" w14:textId="77777777" w:rsidR="00EC43A2" w:rsidRPr="00EC43A2" w:rsidRDefault="00EC43A2" w:rsidP="00EC43A2">
      <w:pPr>
        <w:pStyle w:val="ListParagraph"/>
        <w:numPr>
          <w:ilvl w:val="0"/>
          <w:numId w:val="1"/>
        </w:numPr>
        <w:spacing w:before="240" w:after="240"/>
        <w:rPr>
          <w:color w:val="222222"/>
          <w:highlight w:val="white"/>
        </w:rPr>
      </w:pPr>
      <w:r w:rsidRPr="00EC43A2">
        <w:rPr>
          <w:color w:val="222222"/>
          <w:highlight w:val="white"/>
        </w:rPr>
        <w:t xml:space="preserve">Xie, C. and Hu, S., 2024. Open banking: An early review. </w:t>
      </w:r>
      <w:r w:rsidRPr="00EC43A2">
        <w:rPr>
          <w:i/>
          <w:iCs/>
          <w:color w:val="222222"/>
          <w:highlight w:val="white"/>
        </w:rPr>
        <w:t>Journal of Internet and Digital Economics</w:t>
      </w:r>
      <w:r w:rsidRPr="00EC43A2">
        <w:rPr>
          <w:color w:val="222222"/>
          <w:highlight w:val="white"/>
        </w:rPr>
        <w:t xml:space="preserve">, </w:t>
      </w:r>
      <w:r w:rsidRPr="00EC43A2">
        <w:rPr>
          <w:i/>
          <w:iCs/>
          <w:color w:val="222222"/>
          <w:highlight w:val="white"/>
        </w:rPr>
        <w:t>4</w:t>
      </w:r>
      <w:r w:rsidRPr="00EC43A2">
        <w:rPr>
          <w:color w:val="222222"/>
          <w:highlight w:val="white"/>
        </w:rPr>
        <w:t>(2), pp.73-82.</w:t>
      </w:r>
      <w:hyperlink r:id="rId18">
        <w:r w:rsidRPr="00EC43A2">
          <w:rPr>
            <w:color w:val="1155CC"/>
            <w:highlight w:val="white"/>
            <w:u w:val="single"/>
          </w:rPr>
          <w:t>https://www.emerald.com/jide/article-pdf/4/2/73/9487600/jide-03-2024-0009.pdf</w:t>
        </w:r>
      </w:hyperlink>
      <w:r w:rsidRPr="00EC43A2">
        <w:rPr>
          <w:color w:val="222222"/>
          <w:highlight w:val="white"/>
        </w:rPr>
        <w:t xml:space="preserve"> </w:t>
      </w:r>
    </w:p>
    <w:p w14:paraId="52EE901B" w14:textId="77777777" w:rsidR="00EC43A2" w:rsidRPr="00EC43A2" w:rsidRDefault="00EC43A2" w:rsidP="00EC43A2">
      <w:pPr>
        <w:pStyle w:val="ListParagraph"/>
        <w:numPr>
          <w:ilvl w:val="0"/>
          <w:numId w:val="1"/>
        </w:numPr>
        <w:spacing w:before="240" w:after="240"/>
        <w:rPr>
          <w:color w:val="222222"/>
          <w:highlight w:val="white"/>
        </w:rPr>
      </w:pPr>
      <w:r w:rsidRPr="00EC43A2">
        <w:rPr>
          <w:color w:val="222222"/>
          <w:highlight w:val="white"/>
        </w:rPr>
        <w:t xml:space="preserve">Xu, F., Kasperskaya, Y. and Sagarra, M., 2025. The impact of FinTech on bank performance: A systematic literature review. </w:t>
      </w:r>
      <w:r w:rsidRPr="00EC43A2">
        <w:rPr>
          <w:i/>
          <w:iCs/>
          <w:color w:val="222222"/>
          <w:highlight w:val="white"/>
        </w:rPr>
        <w:t>Digital Business</w:t>
      </w:r>
      <w:r w:rsidRPr="00EC43A2">
        <w:rPr>
          <w:color w:val="222222"/>
          <w:highlight w:val="white"/>
        </w:rPr>
        <w:t xml:space="preserve">, </w:t>
      </w:r>
      <w:r w:rsidRPr="00EC43A2">
        <w:rPr>
          <w:i/>
          <w:iCs/>
          <w:color w:val="222222"/>
          <w:highlight w:val="white"/>
        </w:rPr>
        <w:t>5</w:t>
      </w:r>
      <w:r w:rsidRPr="00EC43A2">
        <w:rPr>
          <w:color w:val="222222"/>
          <w:highlight w:val="white"/>
        </w:rPr>
        <w:t>(2), p.100131.</w:t>
      </w:r>
      <w:hyperlink r:id="rId19">
        <w:r w:rsidRPr="00EC43A2">
          <w:rPr>
            <w:color w:val="1155CC"/>
            <w:highlight w:val="white"/>
            <w:u w:val="single"/>
          </w:rPr>
          <w:t>https://www.sciencedirect.com/science/article/pii/S2666954425000262</w:t>
        </w:r>
      </w:hyperlink>
      <w:r w:rsidRPr="00EC43A2">
        <w:rPr>
          <w:color w:val="222222"/>
          <w:highlight w:val="white"/>
        </w:rPr>
        <w:t xml:space="preserve"> </w:t>
      </w:r>
    </w:p>
    <w:sectPr w:rsidR="00EC43A2" w:rsidRPr="00EC43A2" w:rsidSect="00081290">
      <w:footerReference w:type="default" r:id="rId20"/>
      <w:headerReference w:type="first" r:id="rId21"/>
      <w:footerReference w:type="first" r:id="rId2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0C4B73" w14:textId="77777777" w:rsidR="00F42E0F" w:rsidRDefault="00F42E0F">
      <w:pPr>
        <w:spacing w:before="0" w:after="0" w:line="240" w:lineRule="auto"/>
      </w:pPr>
      <w:r>
        <w:separator/>
      </w:r>
    </w:p>
  </w:endnote>
  <w:endnote w:type="continuationSeparator" w:id="0">
    <w:p w14:paraId="67CEDEBE" w14:textId="77777777" w:rsidR="00F42E0F" w:rsidRDefault="00F42E0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7E8239E6-5FA1-41C6-8E7F-1A9F234615DD}"/>
  </w:font>
  <w:font w:name="Cambria">
    <w:panose1 w:val="02040503050406030204"/>
    <w:charset w:val="00"/>
    <w:family w:val="roman"/>
    <w:pitch w:val="variable"/>
    <w:sig w:usb0="E00006FF" w:usb1="420024FF" w:usb2="02000000" w:usb3="00000000" w:csb0="0000019F" w:csb1="00000000"/>
    <w:embedRegular r:id="rId2" w:fontKey="{DFA75CD9-7E46-427B-B74A-54BF387971E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87ED4" w14:textId="77777777" w:rsidR="000745C6" w:rsidRDefault="00000000">
    <w:pPr>
      <w:jc w:val="right"/>
    </w:pPr>
    <w:r>
      <w:fldChar w:fldCharType="begin"/>
    </w:r>
    <w:r>
      <w:instrText>PAGE</w:instrText>
    </w:r>
    <w:r>
      <w:fldChar w:fldCharType="separate"/>
    </w:r>
    <w:r w:rsidR="00C446C7">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BF2EC0" w14:textId="77777777" w:rsidR="000745C6" w:rsidRDefault="000745C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E170A7" w14:textId="77777777" w:rsidR="00F42E0F" w:rsidRDefault="00F42E0F">
      <w:pPr>
        <w:spacing w:before="0" w:after="0" w:line="240" w:lineRule="auto"/>
      </w:pPr>
      <w:r>
        <w:separator/>
      </w:r>
    </w:p>
  </w:footnote>
  <w:footnote w:type="continuationSeparator" w:id="0">
    <w:p w14:paraId="0504FD3C" w14:textId="77777777" w:rsidR="00F42E0F" w:rsidRDefault="00F42E0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2660FC" w14:textId="77777777" w:rsidR="000745C6" w:rsidRDefault="000745C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0F51B4"/>
    <w:multiLevelType w:val="hybridMultilevel"/>
    <w:tmpl w:val="4022E2F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642580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45C6"/>
    <w:rsid w:val="000745C6"/>
    <w:rsid w:val="00081290"/>
    <w:rsid w:val="0019563B"/>
    <w:rsid w:val="00252E08"/>
    <w:rsid w:val="00564EC0"/>
    <w:rsid w:val="0083360C"/>
    <w:rsid w:val="009556E7"/>
    <w:rsid w:val="00C446C7"/>
    <w:rsid w:val="00EC43A2"/>
    <w:rsid w:val="00F42E0F"/>
    <w:rsid w:val="00FD4D7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4A109"/>
  <w15:docId w15:val="{1B4E0D22-229A-4CEA-B82F-36AF4CC1F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1">
    <w:name w:val="toc 1"/>
    <w:basedOn w:val="Normal"/>
    <w:next w:val="Normal"/>
    <w:autoRedefine/>
    <w:uiPriority w:val="39"/>
    <w:unhideWhenUsed/>
    <w:rsid w:val="00C446C7"/>
    <w:pPr>
      <w:spacing w:after="100"/>
    </w:pPr>
  </w:style>
  <w:style w:type="paragraph" w:styleId="TOC2">
    <w:name w:val="toc 2"/>
    <w:basedOn w:val="Normal"/>
    <w:next w:val="Normal"/>
    <w:autoRedefine/>
    <w:uiPriority w:val="39"/>
    <w:unhideWhenUsed/>
    <w:rsid w:val="00C446C7"/>
    <w:pPr>
      <w:spacing w:after="100"/>
      <w:ind w:left="240"/>
    </w:pPr>
  </w:style>
  <w:style w:type="character" w:styleId="Hyperlink">
    <w:name w:val="Hyperlink"/>
    <w:basedOn w:val="DefaultParagraphFont"/>
    <w:uiPriority w:val="99"/>
    <w:unhideWhenUsed/>
    <w:rsid w:val="00C446C7"/>
    <w:rPr>
      <w:color w:val="0000FF" w:themeColor="hyperlink"/>
      <w:u w:val="single"/>
    </w:rPr>
  </w:style>
  <w:style w:type="paragraph" w:styleId="ListParagraph">
    <w:name w:val="List Paragraph"/>
    <w:basedOn w:val="Normal"/>
    <w:uiPriority w:val="34"/>
    <w:qFormat/>
    <w:rsid w:val="00EC43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mdpi.com/2674-1032/4/3/49" TargetMode="External"/><Relationship Id="rId13" Type="http://schemas.openxmlformats.org/officeDocument/2006/relationships/hyperlink" Target="https://wikep.net/index.php/IJEFE/article/download/134/130" TargetMode="External"/><Relationship Id="rId18" Type="http://schemas.openxmlformats.org/officeDocument/2006/relationships/hyperlink" Target="https://www.emerald.com/jide/article-pdf/4/2/73/9487600/jide-03-2024-0009.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https://link.springer.com/article/10.1057/s41261-024-00262-x" TargetMode="External"/><Relationship Id="rId17" Type="http://schemas.openxmlformats.org/officeDocument/2006/relationships/hyperlink" Target="https://journals.shu.ac.uk/index.php/FinTAF/article/download/414/188" TargetMode="External"/><Relationship Id="rId2" Type="http://schemas.openxmlformats.org/officeDocument/2006/relationships/styles" Target="styles.xml"/><Relationship Id="rId16" Type="http://schemas.openxmlformats.org/officeDocument/2006/relationships/hyperlink" Target="https://pdfs.semanticscholar.org/73f8/78bc5a3c7a3407b11060a2de55efe6f37705.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plos.org/plosone/article/file?id=10.1371/journal.pone.0275496&amp;type=printabl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cademic.oup.com/cjres/article-pdf/16/2/257/50997139/rsad005.pdf" TargetMode="External"/><Relationship Id="rId23" Type="http://schemas.openxmlformats.org/officeDocument/2006/relationships/fontTable" Target="fontTable.xml"/><Relationship Id="rId10" Type="http://schemas.openxmlformats.org/officeDocument/2006/relationships/hyperlink" Target="https://papers.ssrn.com/sol3/Delivery.cfm?abstractid=4975465" TargetMode="External"/><Relationship Id="rId19" Type="http://schemas.openxmlformats.org/officeDocument/2006/relationships/hyperlink" Target="https://www.sciencedirect.com/science/article/pii/S2666954425000262" TargetMode="External"/><Relationship Id="rId4" Type="http://schemas.openxmlformats.org/officeDocument/2006/relationships/webSettings" Target="webSettings.xml"/><Relationship Id="rId9" Type="http://schemas.openxmlformats.org/officeDocument/2006/relationships/hyperlink" Target="https://www.sciencedirect.com/science/article/pii/S0304405X24001739" TargetMode="External"/><Relationship Id="rId14" Type="http://schemas.openxmlformats.org/officeDocument/2006/relationships/hyperlink" Target="https://wikep.net/index.php/IJEFE/article/download/134/130" TargetMode="External"/><Relationship Id="rId22"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13</Pages>
  <Words>3485</Words>
  <Characters>19868</Characters>
  <Application>Microsoft Office Word</Application>
  <DocSecurity>0</DocSecurity>
  <Lines>165</Lines>
  <Paragraphs>46</Paragraphs>
  <ScaleCrop>false</ScaleCrop>
  <Company/>
  <LinksUpToDate>false</LinksUpToDate>
  <CharactersWithSpaces>23307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Ranjit Keahvala</cp:lastModifiedBy>
  <cp:revision>2</cp:revision>
  <dcterms:created xsi:type="dcterms:W3CDTF">2026-03-24T03:47:00Z</dcterms:created>
  <dcterms:modified xsi:type="dcterms:W3CDTF">2026-03-25T20:04:00Z</dcterms:modified>
</cp:coreProperties>
</file>