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246CF22" w:rsidP="70D23EBE" w:rsidRDefault="1246CF22" w14:paraId="7668AD9F" w14:textId="158792ED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</w:pPr>
      <w:r w:rsidR="1090CA35">
        <w:rPr/>
        <w:t>In analysing the applicability of Bo</w:t>
      </w:r>
      <w:r w:rsidR="672F33F0">
        <w:rPr/>
        <w:t>u</w:t>
      </w:r>
      <w:r w:rsidR="1090CA35">
        <w:rPr/>
        <w:t xml:space="preserve">rdieu’s theory </w:t>
      </w:r>
      <w:r w:rsidR="2EF0E523">
        <w:rPr/>
        <w:t xml:space="preserve">of </w:t>
      </w:r>
      <w:r w:rsidR="1090CA35">
        <w:rPr/>
        <w:t xml:space="preserve">practice </w:t>
      </w:r>
      <w:r w:rsidR="7C17F8D3">
        <w:rPr/>
        <w:t xml:space="preserve">to Source A – and the relevance of the results of that analysis to </w:t>
      </w:r>
      <w:r w:rsidR="1A00D185">
        <w:rPr/>
        <w:t xml:space="preserve">Chalcolithic Cyprus – what is most </w:t>
      </w:r>
      <w:r w:rsidR="1A00D185">
        <w:rPr/>
        <w:t>apparent</w:t>
      </w:r>
      <w:r w:rsidR="1A00D185">
        <w:rPr/>
        <w:t xml:space="preserve"> </w:t>
      </w:r>
      <w:r w:rsidR="3CEEE180">
        <w:rPr/>
        <w:t xml:space="preserve">is the level of the social roles clearly </w:t>
      </w:r>
      <w:r w:rsidR="3CEEE180">
        <w:rPr/>
        <w:t>indicated</w:t>
      </w:r>
      <w:r w:rsidR="3CEEE180">
        <w:rPr/>
        <w:t xml:space="preserve"> by each subsection of the domicile </w:t>
      </w:r>
      <w:r w:rsidR="255E201A">
        <w:rPr/>
        <w:t xml:space="preserve">on Maslow’s hierarchy of needs. Namely, while in other contexts the </w:t>
      </w:r>
      <w:r w:rsidR="255E201A">
        <w:rPr/>
        <w:t>habitus</w:t>
      </w:r>
      <w:r w:rsidR="54DA9D98">
        <w:rPr/>
        <w:t>es</w:t>
      </w:r>
      <w:r w:rsidR="255E201A">
        <w:rPr/>
        <w:t xml:space="preserve"> of a given society may be deemed </w:t>
      </w:r>
      <w:r w:rsidR="5254A827">
        <w:rPr/>
        <w:t xml:space="preserve">mostly or even exclusively created </w:t>
      </w:r>
      <w:r w:rsidR="0D73A3E1">
        <w:rPr/>
        <w:t xml:space="preserve">or contingent </w:t>
      </w:r>
      <w:r w:rsidR="5254A827">
        <w:rPr/>
        <w:t xml:space="preserve">– for example, the treatment of homosexual men in Edwardian Britain – the </w:t>
      </w:r>
      <w:r w:rsidR="010031EC">
        <w:rPr/>
        <w:t>Chalcolithic household, due to the con</w:t>
      </w:r>
      <w:r w:rsidR="48C1E31E">
        <w:rPr/>
        <w:t xml:space="preserve">text of its society’s technological base and the brute realities of its era, appears in its designation of roles and division of space </w:t>
      </w:r>
      <w:r w:rsidR="4B098EBB">
        <w:rPr/>
        <w:t xml:space="preserve">mostly </w:t>
      </w:r>
      <w:r w:rsidR="48C1E31E">
        <w:rPr/>
        <w:t>utilitarian</w:t>
      </w:r>
      <w:r w:rsidR="2B59FBFD">
        <w:rPr/>
        <w:t xml:space="preserve"> and informed by scarcity</w:t>
      </w:r>
      <w:r w:rsidR="48C1E31E">
        <w:rPr/>
        <w:t xml:space="preserve"> in </w:t>
      </w:r>
      <w:r w:rsidR="0A1CFDED">
        <w:rPr/>
        <w:t xml:space="preserve">the </w:t>
      </w:r>
      <w:r w:rsidR="0A1CFDED">
        <w:rPr/>
        <w:t>habitus</w:t>
      </w:r>
      <w:r w:rsidR="20422885">
        <w:rPr/>
        <w:t>es</w:t>
      </w:r>
      <w:r w:rsidR="0A1CFDED">
        <w:rPr/>
        <w:t xml:space="preserve"> it implies. </w:t>
      </w:r>
      <w:r w:rsidR="2ACA8B54">
        <w:rPr/>
        <w:t xml:space="preserve">As such, while Bourdieu’s theory </w:t>
      </w:r>
      <w:r w:rsidR="2ACA8B54">
        <w:rPr/>
        <w:t>is applicable</w:t>
      </w:r>
      <w:r w:rsidR="2ACA8B54">
        <w:rPr/>
        <w:t xml:space="preserve"> to t</w:t>
      </w:r>
      <w:r w:rsidR="38C887B1">
        <w:rPr/>
        <w:t xml:space="preserve">he Chalcolithic Cypriot context, its emphasis on socialised norms and tendencies as being </w:t>
      </w:r>
      <w:bookmarkStart w:name="_Int_P3JJATKc" w:id="932582111"/>
      <w:r w:rsidR="38C887B1">
        <w:rPr/>
        <w:t>largely created</w:t>
      </w:r>
      <w:bookmarkEnd w:id="932582111"/>
      <w:r w:rsidR="38C887B1">
        <w:rPr/>
        <w:t xml:space="preserve"> by culture must be qualified by the condition that that same c</w:t>
      </w:r>
      <w:r w:rsidR="65BF0FBE">
        <w:rPr/>
        <w:t xml:space="preserve">ulture </w:t>
      </w:r>
      <w:bookmarkStart w:name="_Int_4qpMMIuT" w:id="1150783053"/>
      <w:r w:rsidR="65BF0FBE">
        <w:rPr/>
        <w:t>in itself develops</w:t>
      </w:r>
      <w:bookmarkEnd w:id="1150783053"/>
      <w:r w:rsidR="65BF0FBE">
        <w:rPr/>
        <w:t xml:space="preserve"> such norms and tendencies as an outcome of needs and factors outside the cultural </w:t>
      </w:r>
      <w:r w:rsidR="1246CF22">
        <w:rPr/>
        <w:t>sphere.</w:t>
      </w:r>
      <w:r w:rsidR="0A7AD01B">
        <w:rPr/>
        <w:t xml:space="preserve"> The theory, therefore, is useful but fundamentally limited in applicability in the context of the Source provided.</w:t>
      </w:r>
      <w:r w:rsidR="2502E5BC">
        <w:rPr/>
        <w:t xml:space="preserve"> </w:t>
      </w:r>
      <w:r w:rsidR="3885C726">
        <w:rPr/>
        <w:t>On a</w:t>
      </w:r>
      <w:r w:rsidR="0BADB1EB">
        <w:rPr/>
        <w:t xml:space="preserve"> </w:t>
      </w:r>
      <w:r w:rsidR="3885C726">
        <w:rPr/>
        <w:t xml:space="preserve">more fundamental level, </w:t>
      </w:r>
      <w:r w:rsidR="22ACF835">
        <w:rPr/>
        <w:t xml:space="preserve">as noted by King in </w:t>
      </w:r>
      <w:r w:rsidRPr="4A06368B" w:rsidR="22ACF835">
        <w:rPr>
          <w:i w:val="1"/>
          <w:iCs w:val="1"/>
        </w:rPr>
        <w:t>Thinking with Bourdieu against Bourdieu</w:t>
      </w:r>
      <w:r w:rsidR="22ACF835">
        <w:rPr/>
        <w:t xml:space="preserve">, the theory of practice first outlined in Bourdieu’s </w:t>
      </w:r>
      <w:r w:rsidR="53D1EBAF">
        <w:rPr/>
        <w:t xml:space="preserve">Outline of a Theory of Practice seems in fundamental conflict with its facet as the theory of </w:t>
      </w:r>
      <w:r w:rsidR="53D1EBAF">
        <w:rPr/>
        <w:t>habitus</w:t>
      </w:r>
      <w:r w:rsidR="53D1EBAF">
        <w:rPr/>
        <w:t xml:space="preserve">, as the former is predicated on a notion of </w:t>
      </w:r>
      <w:r w:rsidR="556DBC10">
        <w:rPr/>
        <w:t>“virtuosic, intersubjective social practice”</w:t>
      </w:r>
      <w:r w:rsidRPr="70D23EBE">
        <w:rPr>
          <w:rStyle w:val="FootnoteReference"/>
        </w:rPr>
        <w:footnoteReference w:id="7872"/>
      </w:r>
      <w:r w:rsidR="1ED68DB1">
        <w:rPr/>
        <w:t xml:space="preserve"> that </w:t>
      </w:r>
      <w:r w:rsidR="1F3A1D13">
        <w:rPr/>
        <w:t xml:space="preserve">conflicts with the </w:t>
      </w:r>
      <w:r w:rsidR="1F3A1D13">
        <w:rPr/>
        <w:t>habitus</w:t>
      </w:r>
      <w:r w:rsidR="1F3A1D13">
        <w:rPr/>
        <w:t>’ deference to the “</w:t>
      </w:r>
      <w:r w:rsidR="5DDF0244">
        <w:rPr/>
        <w:t>objective structures (e.g. of language, economy, etc.)”</w:t>
      </w:r>
      <w:r w:rsidRPr="70D23EBE">
        <w:rPr>
          <w:rStyle w:val="FootnoteReference"/>
        </w:rPr>
        <w:footnoteReference w:id="23011"/>
      </w:r>
      <w:r w:rsidR="54C23643">
        <w:rPr/>
        <w:t xml:space="preserve"> in terms of ontological and methodological principle. </w:t>
      </w:r>
      <w:r w:rsidR="25CF63BC">
        <w:rPr/>
        <w:t xml:space="preserve">Therefore</w:t>
      </w:r>
      <w:r w:rsidR="54C23643">
        <w:rPr/>
        <w:t xml:space="preserve">, Bourdieu’s theor</w:t>
      </w:r>
      <w:r w:rsidR="5B28CCA7">
        <w:rPr/>
        <w:t xml:space="preserve">y of practice, </w:t>
      </w:r>
      <w:bookmarkStart w:name="_Int_AT7cK4Kr" w:id="1126020429"/>
      <w:r w:rsidR="5B28CCA7">
        <w:rPr/>
        <w:t>insofar as</w:t>
      </w:r>
      <w:bookmarkEnd w:id="1126020429"/>
      <w:r w:rsidR="5B28CCA7">
        <w:rPr/>
        <w:t xml:space="preserve"> it can be applied to the source, </w:t>
      </w:r>
      <w:r w:rsidR="68D0EB03">
        <w:rPr/>
        <w:t xml:space="preserve">must be limited and qualified</w:t>
      </w:r>
      <w:r w:rsidR="3EA96529">
        <w:rPr/>
        <w:t xml:space="preserve"> in its application.</w:t>
      </w:r>
    </w:p>
    <w:p w:rsidR="1246CF22" w:rsidP="265D24A7" w:rsidRDefault="1246CF22" w14:paraId="4C4AB59D" w14:textId="4227158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246CF22">
        <w:rPr/>
        <w:t>This is not to argue that the</w:t>
      </w:r>
      <w:r w:rsidR="5650EF2F">
        <w:rPr/>
        <w:t xml:space="preserve"> organisation and planning of the</w:t>
      </w:r>
      <w:r w:rsidR="1246CF22">
        <w:rPr/>
        <w:t xml:space="preserve"> household </w:t>
      </w:r>
      <w:r w:rsidR="43A15E25">
        <w:rPr/>
        <w:t xml:space="preserve">depicted </w:t>
      </w:r>
      <w:r w:rsidR="1246CF22">
        <w:rPr/>
        <w:t>in Source A is</w:t>
      </w:r>
      <w:r w:rsidR="3B97BDC4">
        <w:rPr/>
        <w:t xml:space="preserve"> entirely driven </w:t>
      </w:r>
      <w:r w:rsidR="1246CF22">
        <w:rPr/>
        <w:t xml:space="preserve">by immediate material needs – the existence of tool storage and an area for work </w:t>
      </w:r>
      <w:r w:rsidR="3C7FF134">
        <w:rPr/>
        <w:t xml:space="preserve">in the household </w:t>
      </w:r>
      <w:r w:rsidR="1246CF22">
        <w:rPr/>
        <w:t xml:space="preserve">implies </w:t>
      </w:r>
      <w:bookmarkStart w:name="_Int_1Pgfy9x1" w:id="1900015436"/>
      <w:r w:rsidR="1246CF22">
        <w:rPr/>
        <w:t>in itself the</w:t>
      </w:r>
      <w:bookmarkEnd w:id="1900015436"/>
      <w:r w:rsidR="1246CF22">
        <w:rPr/>
        <w:t xml:space="preserve"> existen</w:t>
      </w:r>
      <w:r w:rsidR="67C73E34">
        <w:rPr/>
        <w:t>ce of a competitive economy</w:t>
      </w:r>
      <w:r w:rsidR="3E34F2EB">
        <w:rPr/>
        <w:t>. Further, t</w:t>
      </w:r>
      <w:r w:rsidR="1D876584">
        <w:rPr/>
        <w:t>he simple fact that the Source details a household at all is indicative of a settled society and its</w:t>
      </w:r>
      <w:r w:rsidR="4F1D50CD">
        <w:rPr/>
        <w:t xml:space="preserve"> </w:t>
      </w:r>
      <w:r w:rsidR="48FA259B">
        <w:rPr/>
        <w:t>attendant abstraction</w:t>
      </w:r>
      <w:r w:rsidR="539AB992">
        <w:rPr/>
        <w:t xml:space="preserve"> of priorities</w:t>
      </w:r>
      <w:r w:rsidR="48FA259B">
        <w:rPr/>
        <w:t xml:space="preserve"> from the more </w:t>
      </w:r>
      <w:r w:rsidR="0BD90860">
        <w:rPr/>
        <w:t xml:space="preserve">purely </w:t>
      </w:r>
      <w:r w:rsidR="48FA259B">
        <w:rPr/>
        <w:t xml:space="preserve">subsistence-oriented </w:t>
      </w:r>
      <w:r w:rsidR="1FAD269B">
        <w:rPr/>
        <w:t xml:space="preserve">nomadism </w:t>
      </w:r>
      <w:r w:rsidR="48FA259B">
        <w:rPr/>
        <w:t xml:space="preserve">of the hunter-gatherer </w:t>
      </w:r>
      <w:r w:rsidR="604F3ABB">
        <w:rPr/>
        <w:t>mode</w:t>
      </w:r>
      <w:r w:rsidR="5663D442">
        <w:rPr/>
        <w:t>, reflecting the relative sophistication of Chalcolithic Cypriot society</w:t>
      </w:r>
      <w:r w:rsidR="45A341A2">
        <w:rPr/>
        <w:t xml:space="preserve">. </w:t>
      </w:r>
      <w:bookmarkStart w:name="_Int_PhoEhbpf" w:id="1303537600"/>
      <w:r w:rsidR="45A341A2">
        <w:rPr/>
        <w:t xml:space="preserve">It can be </w:t>
      </w:r>
      <w:r w:rsidR="45A341A2">
        <w:rPr/>
        <w:t>observed</w:t>
      </w:r>
      <w:r w:rsidR="45A341A2">
        <w:rPr/>
        <w:t xml:space="preserve"> th</w:t>
      </w:r>
      <w:r w:rsidR="6198B5EF">
        <w:rPr/>
        <w:t xml:space="preserve">at the existence of the workstation in a domestic environment </w:t>
      </w:r>
      <w:r w:rsidR="3B064911">
        <w:rPr/>
        <w:t xml:space="preserve">implies the formation of an economic habitus wherein </w:t>
      </w:r>
      <w:r w:rsidR="17AC09FE">
        <w:rPr/>
        <w:t>domestic manufacturing, work in textiles and so on has been normalised by the technological development of Chalcol</w:t>
      </w:r>
      <w:r w:rsidR="590724CC">
        <w:rPr/>
        <w:t>ithic society in much the same way the phenomenon of former artisans working in factories was made a habitus in the context of Victorian Britain.</w:t>
      </w:r>
      <w:bookmarkEnd w:id="1303537600"/>
      <w:r w:rsidR="590724CC">
        <w:rPr/>
        <w:t xml:space="preserve"> </w:t>
      </w:r>
    </w:p>
    <w:p w:rsidR="1246CF22" w:rsidP="265D24A7" w:rsidRDefault="1246CF22" w14:paraId="35CB5585" w14:textId="045CA3B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242D71D2">
        <w:rPr/>
        <w:t>However, we must also consider the impetus for such wor</w:t>
      </w:r>
      <w:r w:rsidR="6BEF2304">
        <w:rPr/>
        <w:t xml:space="preserve">k in the Chalcolithic context. Social </w:t>
      </w:r>
      <w:r w:rsidR="3B7B3FC3">
        <w:rPr/>
        <w:t>mobility</w:t>
      </w:r>
      <w:r w:rsidR="270AB818">
        <w:rPr/>
        <w:t xml:space="preserve"> </w:t>
      </w:r>
      <w:r w:rsidR="3B7B3FC3">
        <w:rPr/>
        <w:t>was</w:t>
      </w:r>
      <w:r w:rsidR="3B7B3FC3">
        <w:rPr/>
        <w:t xml:space="preserve"> not a defining characteristic of the era</w:t>
      </w:r>
      <w:r w:rsidR="091F5538">
        <w:rPr/>
        <w:t xml:space="preserve"> – while Cyprus became a prominent trader in later periods, during the Chalcolithic period it </w:t>
      </w:r>
      <w:r w:rsidR="1D83E7F9">
        <w:rPr/>
        <w:t xml:space="preserve">was isolated if not isolationist, and so there was </w:t>
      </w:r>
      <w:r w:rsidR="5EDF02C7">
        <w:rPr/>
        <w:t>a limited base for a mercantile class</w:t>
      </w:r>
      <w:r w:rsidR="14F256D6">
        <w:rPr/>
        <w:t xml:space="preserve">. </w:t>
      </w:r>
      <w:bookmarkStart w:name="_Int_ko3O9JXi" w:id="768852850"/>
      <w:r w:rsidR="14F256D6">
        <w:rPr/>
        <w:t xml:space="preserve">More fundamentally, examining the evidence allotted to us, </w:t>
      </w:r>
      <w:bookmarkStart w:name="_Int_ywn1ohg6" w:id="951692341"/>
      <w:r w:rsidR="14F256D6">
        <w:rPr/>
        <w:t>the overwhelming majority of</w:t>
      </w:r>
      <w:bookmarkEnd w:id="951692341"/>
      <w:r w:rsidR="14F256D6">
        <w:rPr/>
        <w:t xml:space="preserve"> areas and their associated habitus pertain to the lowest or physiological rung of Maslow’s hierarchy of needs</w:t>
      </w:r>
      <w:bookmarkStart w:name="_Int_DPtaU3l4" w:id="980454509"/>
      <w:r w:rsidR="14F256D6">
        <w:rPr/>
        <w:t>.</w:t>
      </w:r>
      <w:bookmarkEnd w:id="768852850"/>
      <w:r w:rsidR="6948A3DC">
        <w:rPr/>
        <w:t xml:space="preserve"> </w:t>
      </w:r>
      <w:r w:rsidR="14F256D6">
        <w:rPr/>
        <w:t xml:space="preserve"> </w:t>
      </w:r>
      <w:bookmarkEnd w:id="980454509"/>
      <w:r w:rsidR="22F05333">
        <w:rPr/>
        <w:t>A hearth</w:t>
      </w:r>
      <w:r w:rsidR="1141F60F">
        <w:rPr/>
        <w:t xml:space="preserve"> to regulate the household’s temperature</w:t>
      </w:r>
      <w:r w:rsidR="22F05333">
        <w:rPr/>
        <w:t>; a living and sleeping area</w:t>
      </w:r>
      <w:r w:rsidR="17A88C73">
        <w:rPr/>
        <w:t xml:space="preserve">, to fulfil the basic need of rest; </w:t>
      </w:r>
      <w:r w:rsidR="50708316">
        <w:rPr/>
        <w:t xml:space="preserve">a cooking area, to prepare food safe for consumption; a covered porch and propped door, to keep out the cold; and a common burial zone, </w:t>
      </w:r>
      <w:r w:rsidR="05FA2F4F">
        <w:rPr/>
        <w:t xml:space="preserve">to ensure dead family members did not rot and provide the psychological relief of </w:t>
      </w:r>
      <w:r w:rsidR="47554A1D">
        <w:rPr/>
        <w:t>the mediation of death. Each is not expressive of a created or constructed social norm. Rather, each answers a basic need, either p</w:t>
      </w:r>
      <w:r w:rsidR="5BB9DCDE">
        <w:rPr/>
        <w:t xml:space="preserve">hysiological or psychological. </w:t>
      </w:r>
      <w:r w:rsidR="5F4906E5">
        <w:rPr/>
        <w:t xml:space="preserve">It is difficult, for example, to </w:t>
      </w:r>
      <w:r w:rsidR="514B0A88">
        <w:rPr/>
        <w:t>categorise the presence of a hearth as much other than a practical measure against cold and its attendant risks to health (with the formatio</w:t>
      </w:r>
      <w:r w:rsidR="4E10A2C9">
        <w:rPr/>
        <w:t xml:space="preserve">n of </w:t>
      </w:r>
      <w:r w:rsidR="4E10A2C9">
        <w:rPr/>
        <w:t>habituses</w:t>
      </w:r>
      <w:r w:rsidR="4E10A2C9">
        <w:rPr/>
        <w:t xml:space="preserve"> and social reproduction implicit generated </w:t>
      </w:r>
      <w:r w:rsidR="4E10A2C9">
        <w:rPr/>
        <w:t>largely by</w:t>
      </w:r>
      <w:r w:rsidR="4E10A2C9">
        <w:rPr/>
        <w:t xml:space="preserve"> this primary function).</w:t>
      </w:r>
      <w:r w:rsidR="5F4906E5">
        <w:rPr/>
        <w:t xml:space="preserve"> </w:t>
      </w:r>
    </w:p>
    <w:p w:rsidR="2DC9DADB" w:rsidP="363AB5C2" w:rsidRDefault="2DC9DADB" w14:paraId="4FDC8AB6" w14:textId="3F8A481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2DC9DADB">
        <w:rPr/>
        <w:t>On a basic level, Bourdieu’s theory is hampered by the same constraint</w:t>
      </w:r>
      <w:r w:rsidR="0D225FE9">
        <w:rPr/>
        <w:t xml:space="preserve"> </w:t>
      </w:r>
      <w:r w:rsidR="2DC9DADB">
        <w:rPr/>
        <w:t xml:space="preserve">as all arguments for the primacy of cultural relativism in the </w:t>
      </w:r>
      <w:r w:rsidR="612D0BC1">
        <w:rPr/>
        <w:t>conduct of human behaviour</w:t>
      </w:r>
      <w:r w:rsidR="1FEC387C">
        <w:rPr/>
        <w:t xml:space="preserve"> – namely, the prerequisites necessary for such an argument to be made. If a habitus exists that is </w:t>
      </w:r>
      <w:r w:rsidR="58103FC0">
        <w:rPr/>
        <w:t xml:space="preserve">without </w:t>
      </w:r>
      <w:r w:rsidR="26F95060">
        <w:rPr/>
        <w:t xml:space="preserve">a </w:t>
      </w:r>
      <w:r w:rsidR="58103FC0">
        <w:rPr/>
        <w:t>justification</w:t>
      </w:r>
      <w:r w:rsidR="2F57C676">
        <w:rPr/>
        <w:t xml:space="preserve"> rooted in material conditions before the Industrial Revolution</w:t>
      </w:r>
      <w:r w:rsidR="58103FC0">
        <w:rPr/>
        <w:t xml:space="preserve">, the simple likelihood is that the habitus under examination is necessarily supported by an interlocking mesh of </w:t>
      </w:r>
      <w:r w:rsidR="3762B259">
        <w:rPr/>
        <w:t>other practices and folkways informed by hard practical constraints on the exercise of human behaviou</w:t>
      </w:r>
      <w:r w:rsidR="7C317EE7">
        <w:rPr/>
        <w:t xml:space="preserve">r. For example, </w:t>
      </w:r>
      <w:r w:rsidR="659AE8AB">
        <w:rPr/>
        <w:t xml:space="preserve">even if we take the luxurious lifestyle of the Roman senatorial classes from the late Republican period onward, </w:t>
      </w:r>
      <w:r w:rsidR="243FCDDD">
        <w:rPr/>
        <w:t xml:space="preserve">any analysis of the </w:t>
      </w:r>
      <w:r w:rsidR="243FCDDD">
        <w:rPr/>
        <w:t>class'</w:t>
      </w:r>
      <w:r w:rsidR="243FCDDD">
        <w:rPr/>
        <w:t xml:space="preserve"> habitus </w:t>
      </w:r>
      <w:r w:rsidR="03924076">
        <w:rPr/>
        <w:t xml:space="preserve">would necessarily be incomplete if it </w:t>
      </w:r>
      <w:bookmarkStart w:name="_Int_qPtVneWb" w:id="1309401073"/>
      <w:r w:rsidR="03924076">
        <w:rPr/>
        <w:t>was</w:t>
      </w:r>
      <w:bookmarkEnd w:id="1309401073"/>
      <w:r w:rsidR="03924076">
        <w:rPr/>
        <w:t xml:space="preserve"> not predicated on the imposed habitus-framework of the system of Roman slavery that informed and propped up the habitus of the </w:t>
      </w:r>
      <w:r w:rsidR="1B2301DC">
        <w:rPr/>
        <w:t>subject.</w:t>
      </w:r>
    </w:p>
    <w:p w:rsidR="11909606" w:rsidP="70D23EBE" w:rsidRDefault="11909606" w14:paraId="5793BF3C" w14:textId="4B6BFEB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1909606">
        <w:rPr/>
        <w:t xml:space="preserve">On a more methodological scale, as noted by King, Bourdieu’s theory of practice </w:t>
      </w:r>
      <w:bookmarkStart w:name="_Int_Dm0xC2K5" w:id="1367502639"/>
      <w:r w:rsidR="11909606">
        <w:rPr/>
        <w:t>insofar as</w:t>
      </w:r>
      <w:bookmarkEnd w:id="1367502639"/>
      <w:r w:rsidR="11909606">
        <w:rPr/>
        <w:t xml:space="preserve"> it includes the habitus is fundamentally at odds with itself.</w:t>
      </w:r>
      <w:r w:rsidR="5662EB17">
        <w:rPr/>
        <w:t xml:space="preserve"> Within the context of its formulation, it was conceived of as a third way</w:t>
      </w:r>
      <w:r w:rsidR="3C1BF414">
        <w:rPr/>
        <w:t xml:space="preserve"> in social theory</w:t>
      </w:r>
      <w:r w:rsidR="4763BAD4">
        <w:rPr/>
        <w:t xml:space="preserve"> </w:t>
      </w:r>
      <w:r w:rsidR="5662EB17">
        <w:rPr/>
        <w:t>“</w:t>
      </w:r>
      <w:r w:rsidR="045D72E2">
        <w:rPr/>
        <w:t xml:space="preserve">without resort to </w:t>
      </w:r>
      <w:r w:rsidR="5CC9817B">
        <w:rPr/>
        <w:t>facile (</w:t>
      </w:r>
      <w:r w:rsidR="5CC9817B">
        <w:rPr/>
        <w:t>Sartrean</w:t>
      </w:r>
      <w:r w:rsidR="5CC9817B">
        <w:rPr/>
        <w:t xml:space="preserve">) voluntarism or </w:t>
      </w:r>
      <w:r w:rsidR="6811483B">
        <w:rPr/>
        <w:t>deterministic (Levi-</w:t>
      </w:r>
      <w:r w:rsidR="6811483B">
        <w:rPr/>
        <w:t>Straussian</w:t>
      </w:r>
      <w:r w:rsidR="6811483B">
        <w:rPr/>
        <w:t xml:space="preserve">) </w:t>
      </w:r>
      <w:bookmarkStart w:name="_Int_Y9FEie2i" w:id="2079548523"/>
      <w:r w:rsidR="6811483B">
        <w:rPr/>
        <w:t>structuralism</w:t>
      </w:r>
      <w:r w:rsidR="6811483B">
        <w:rPr/>
        <w:t>”</w:t>
      </w:r>
      <w:r w:rsidRPr="70D23EBE">
        <w:rPr>
          <w:rStyle w:val="FootnoteReference"/>
        </w:rPr>
        <w:footnoteReference w:id="11858"/>
      </w:r>
      <w:bookmarkEnd w:id="2079548523"/>
      <w:r w:rsidR="5D7CA31E">
        <w:rPr/>
        <w:t xml:space="preserve">, which King argues is true of </w:t>
      </w:r>
      <w:r w:rsidR="67DB77A0">
        <w:rPr/>
        <w:t xml:space="preserve">the </w:t>
      </w:r>
      <w:r w:rsidR="67DB77A0">
        <w:rPr/>
        <w:t>initial</w:t>
      </w:r>
      <w:r w:rsidR="67DB77A0">
        <w:rPr/>
        <w:t xml:space="preserve"> theory of practice</w:t>
      </w:r>
      <w:r w:rsidR="3B27C5D3">
        <w:rPr/>
        <w:t xml:space="preserve">. However, in King’s formulation of Bourdieu’s theory, the addition of habitus </w:t>
      </w:r>
      <w:r w:rsidR="3B27C5D3">
        <w:rPr/>
        <w:t>constitutes not</w:t>
      </w:r>
      <w:r w:rsidR="3B27C5D3">
        <w:rPr/>
        <w:t xml:space="preserve"> an evolution of the method, but rather a retreat into objectivism. </w:t>
      </w:r>
      <w:r w:rsidR="4925C230">
        <w:rPr/>
        <w:t xml:space="preserve">The initial theory </w:t>
      </w:r>
      <w:r w:rsidR="0A80DCFF">
        <w:rPr/>
        <w:t>proposed that the only way to approach a clearer if not yet truly clear understanding of social phenomena as it exists</w:t>
      </w:r>
      <w:r w:rsidR="5E8B88D7">
        <w:rPr/>
        <w:t xml:space="preserve"> in practice is to </w:t>
      </w:r>
      <w:r w:rsidR="1FE6A3A6">
        <w:rPr/>
        <w:t>acknowledge that the observer is not objective - “</w:t>
      </w:r>
      <w:r w:rsidR="1FE6A3A6">
        <w:rPr/>
        <w:t>For Bourdieu, the "objective" and external position which the social scientist adopts ensures that the social life under study is misrepresented”</w:t>
      </w:r>
      <w:r w:rsidRPr="70D23EBE">
        <w:rPr>
          <w:rStyle w:val="FootnoteReference"/>
        </w:rPr>
        <w:footnoteReference w:id="27491"/>
      </w:r>
      <w:r w:rsidR="63F7F411">
        <w:rPr/>
        <w:t>, leading to the creation of artificial rules and forms to compensate for a lack of engagement with and in the subject’s system. In this formulation, the nature of social practice is such that one must be</w:t>
      </w:r>
      <w:r w:rsidR="5ADB006E">
        <w:rPr/>
        <w:t xml:space="preserve"> on the inside looking out rather than vice versa to form effective insights. </w:t>
      </w:r>
      <w:r w:rsidR="7521F771">
        <w:rPr/>
        <w:t>Accordingly</w:t>
      </w:r>
      <w:r w:rsidR="7521F771">
        <w:rPr/>
        <w:t xml:space="preserve">, King argues that by Bourdieu’s own theory, the conceptual framework of habitus </w:t>
      </w:r>
      <w:r w:rsidR="5D91360B">
        <w:rPr/>
        <w:t xml:space="preserve">by virtue of its </w:t>
      </w:r>
      <w:r w:rsidR="1EEC50DA">
        <w:rPr/>
        <w:t xml:space="preserve">conceptual </w:t>
      </w:r>
      <w:r w:rsidR="5D91360B">
        <w:rPr/>
        <w:t xml:space="preserve">scope, </w:t>
      </w:r>
      <w:bookmarkStart w:name="_Int_N68g9bGV" w:id="2119726427"/>
      <w:r w:rsidR="5D91360B">
        <w:rPr/>
        <w:t>universalism</w:t>
      </w:r>
      <w:bookmarkEnd w:id="2119726427"/>
      <w:r w:rsidR="5D91360B">
        <w:rPr/>
        <w:t xml:space="preserve"> an</w:t>
      </w:r>
      <w:r w:rsidR="3F99DE41">
        <w:rPr/>
        <w:t xml:space="preserve">d concessions to certain </w:t>
      </w:r>
      <w:r w:rsidR="3F99DE41">
        <w:rPr/>
        <w:t>objective</w:t>
      </w:r>
      <w:r w:rsidR="3F99DE41">
        <w:rPr/>
        <w:t xml:space="preserve"> realities of society (already listed) </w:t>
      </w:r>
      <w:r w:rsidR="032E2CE9">
        <w:rPr/>
        <w:t xml:space="preserve">is “radically </w:t>
      </w:r>
      <w:bookmarkStart w:name="_Int_II1HdGlX" w:id="832906502"/>
      <w:r w:rsidR="032E2CE9">
        <w:rPr/>
        <w:t>incompatible”</w:t>
      </w:r>
      <w:r w:rsidRPr="70D23EBE">
        <w:rPr>
          <w:rStyle w:val="FootnoteReference"/>
        </w:rPr>
        <w:footnoteReference w:id="19769"/>
      </w:r>
      <w:bookmarkEnd w:id="832906502"/>
      <w:r w:rsidR="032E2CE9">
        <w:rPr/>
        <w:t xml:space="preserve"> with the </w:t>
      </w:r>
      <w:r w:rsidR="032E2CE9">
        <w:rPr/>
        <w:t>remainder</w:t>
      </w:r>
      <w:r w:rsidR="032E2CE9">
        <w:rPr/>
        <w:t xml:space="preserve"> of Bourdieu’s theory of practice.</w:t>
      </w:r>
    </w:p>
    <w:p w:rsidR="7F949B1D" w:rsidP="4A06368B" w:rsidRDefault="7F949B1D" w14:paraId="5C8A01F0" w14:textId="2614605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="7F949B1D">
        <w:rPr/>
        <w:t xml:space="preserve">Both King and Bourdieu’s analyses of folkways, customs, and </w:t>
      </w:r>
      <w:r w:rsidR="7F949B1D">
        <w:rPr/>
        <w:t>habituses</w:t>
      </w:r>
      <w:r w:rsidR="3A891F88">
        <w:rPr/>
        <w:t xml:space="preserve"> are, however, fundamentally limited in their applicability to the Chalcolithic context of the source by virtue of Bourdieu’s own analysis</w:t>
      </w:r>
      <w:r w:rsidR="5019103A">
        <w:rPr/>
        <w:t xml:space="preserve"> - “one cannot grasp the most profound logic of the social world unless one become immersed in the specificity of an empirical </w:t>
      </w:r>
      <w:bookmarkStart w:name="_Int_6PflBhLG" w:id="67448242"/>
      <w:r w:rsidR="5019103A">
        <w:rPr/>
        <w:t>reality</w:t>
      </w:r>
      <w:r w:rsidR="5019103A">
        <w:rPr/>
        <w:t>”</w:t>
      </w:r>
      <w:r w:rsidRPr="4A06368B">
        <w:rPr>
          <w:rStyle w:val="FootnoteReference"/>
        </w:rPr>
        <w:footnoteReference w:id="18950"/>
      </w:r>
      <w:bookmarkEnd w:id="67448242"/>
      <w:r w:rsidR="3A891F88">
        <w:rPr/>
        <w:t>.</w:t>
      </w:r>
      <w:r w:rsidR="3A891F88">
        <w:rPr/>
        <w:t xml:space="preserve"> </w:t>
      </w:r>
      <w:r w:rsidR="7BE43A56">
        <w:rPr/>
        <w:t>The oeuvre within which the work of both was situated</w:t>
      </w:r>
      <w:r w:rsidR="6B478386">
        <w:rPr/>
        <w:t xml:space="preserve"> – that of Western intellectual life</w:t>
      </w:r>
      <w:r w:rsidR="0BF510EE">
        <w:rPr/>
        <w:t xml:space="preserve"> </w:t>
      </w:r>
      <w:r w:rsidR="6B478386">
        <w:rPr/>
        <w:t xml:space="preserve">from the </w:t>
      </w:r>
      <w:r w:rsidR="30033257">
        <w:rPr/>
        <w:t>late</w:t>
      </w:r>
      <w:r w:rsidR="6B478386">
        <w:rPr/>
        <w:t>-20</w:t>
      </w:r>
      <w:r w:rsidRPr="4A06368B" w:rsidR="6B478386">
        <w:rPr>
          <w:vertAlign w:val="superscript"/>
        </w:rPr>
        <w:t>th</w:t>
      </w:r>
      <w:r w:rsidR="6B478386">
        <w:rPr/>
        <w:t xml:space="preserve"> century to the</w:t>
      </w:r>
      <w:r w:rsidR="380FFE93">
        <w:rPr/>
        <w:t xml:space="preserve"> very</w:t>
      </w:r>
      <w:r w:rsidR="6B478386">
        <w:rPr/>
        <w:t xml:space="preserve"> beginning of the 21</w:t>
      </w:r>
      <w:r w:rsidRPr="4A06368B" w:rsidR="6B478386">
        <w:rPr>
          <w:vertAlign w:val="superscript"/>
        </w:rPr>
        <w:t>st</w:t>
      </w:r>
      <w:r w:rsidR="53B6C220">
        <w:rPr/>
        <w:t xml:space="preserve"> – can be defined by relative insulation from the kind of primeval, pressing, and immediate scarcity </w:t>
      </w:r>
      <w:r w:rsidR="215AD795">
        <w:rPr/>
        <w:t xml:space="preserve">laboured under by Chalcolithic Cypriots of the sort that would populate the household depicted in Source A. </w:t>
      </w:r>
      <w:bookmarkStart w:name="_Int_4TI7DsD4" w:id="1719143496"/>
      <w:r w:rsidR="0A054E65">
        <w:rPr/>
        <w:t>In order for</w:t>
      </w:r>
      <w:bookmarkEnd w:id="1719143496"/>
      <w:r w:rsidR="0A054E65">
        <w:rPr/>
        <w:t xml:space="preserve"> a framework that prioritises </w:t>
      </w:r>
      <w:r w:rsidR="4EB4CD52">
        <w:rPr/>
        <w:t xml:space="preserve">immersion in the subjectivity of the subject </w:t>
      </w:r>
      <w:r w:rsidR="78DB2362">
        <w:rPr/>
        <w:t xml:space="preserve">as </w:t>
      </w:r>
      <w:r w:rsidR="78DB2362">
        <w:rPr/>
        <w:t xml:space="preserve">a determinative </w:t>
      </w:r>
      <w:r w:rsidR="72748CFE">
        <w:rPr/>
        <w:t xml:space="preserve">factor to the extent that Bourdieu’s concessions to objective factors – collective history, the economy, language, all human and therefore fundamentally contingent factors – can be argued legitimately by King </w:t>
      </w:r>
      <w:r w:rsidR="6C0DF69A">
        <w:rPr/>
        <w:t xml:space="preserve">to be a retreat into objectivism to exist, there must exist - as with the </w:t>
      </w:r>
      <w:r w:rsidR="752AC29B">
        <w:rPr/>
        <w:t>utilitarian survival-</w:t>
      </w:r>
      <w:r w:rsidR="752AC29B">
        <w:rPr/>
        <w:t>habituses</w:t>
      </w:r>
      <w:r w:rsidR="752AC29B">
        <w:rPr/>
        <w:t xml:space="preserve"> that make the habitus of a work station and the implied existence of a communal economy possible – a</w:t>
      </w:r>
      <w:r w:rsidR="3CEC73CE">
        <w:rPr/>
        <w:t xml:space="preserve">ll the underlying industrial </w:t>
      </w:r>
      <w:r w:rsidR="3CEC73CE">
        <w:rPr/>
        <w:t>habituses</w:t>
      </w:r>
      <w:r w:rsidR="3CEC73CE">
        <w:rPr/>
        <w:t xml:space="preserve"> of late-20</w:t>
      </w:r>
      <w:r w:rsidRPr="4A06368B" w:rsidR="3CEC73CE">
        <w:rPr>
          <w:vertAlign w:val="superscript"/>
        </w:rPr>
        <w:t>th</w:t>
      </w:r>
      <w:r w:rsidR="3CEC73CE">
        <w:rPr/>
        <w:t xml:space="preserve"> century Western society. In the Medieval period, the military duties of the </w:t>
      </w:r>
      <w:r w:rsidR="57336AD1">
        <w:rPr/>
        <w:t xml:space="preserve">Second Estate allowed for the clerical duties of the First; in </w:t>
      </w:r>
      <w:r w:rsidR="7B8B8E25">
        <w:rPr/>
        <w:t xml:space="preserve">the </w:t>
      </w:r>
      <w:r w:rsidR="1C391B8D">
        <w:rPr/>
        <w:t>late Roman Republic</w:t>
      </w:r>
      <w:r w:rsidR="7B8B8E25">
        <w:rPr/>
        <w:t xml:space="preserve">, the lifestyles of the Senatorial elite were necessarily founded on the widespread use of slave-crewed </w:t>
      </w:r>
      <w:r w:rsidRPr="4A06368B" w:rsidR="7B8B8E25">
        <w:rPr>
          <w:i w:val="1"/>
          <w:iCs w:val="1"/>
        </w:rPr>
        <w:t>latifundia</w:t>
      </w:r>
      <w:r w:rsidRPr="4A06368B" w:rsidR="29D37523">
        <w:rPr>
          <w:i w:val="0"/>
          <w:iCs w:val="0"/>
        </w:rPr>
        <w:t xml:space="preserve">, and, accordingly, the philosophical speculations and prioritisation of a Gnostic subjectivity over the irreducibly </w:t>
      </w:r>
      <w:r w:rsidRPr="4A06368B" w:rsidR="36801290">
        <w:rPr>
          <w:i w:val="0"/>
          <w:iCs w:val="0"/>
        </w:rPr>
        <w:t xml:space="preserve">tangible condition of scarcity in the consideration of the formation of </w:t>
      </w:r>
      <w:r w:rsidRPr="4A06368B" w:rsidR="36801290">
        <w:rPr>
          <w:i w:val="0"/>
          <w:iCs w:val="0"/>
        </w:rPr>
        <w:t>habituses</w:t>
      </w:r>
      <w:r w:rsidRPr="4A06368B" w:rsidR="36801290">
        <w:rPr>
          <w:i w:val="0"/>
          <w:iCs w:val="0"/>
        </w:rPr>
        <w:t xml:space="preserve"> during this period necessarily rests upon the foundations of 20</w:t>
      </w:r>
      <w:r w:rsidRPr="4A06368B" w:rsidR="36801290">
        <w:rPr>
          <w:i w:val="0"/>
          <w:iCs w:val="0"/>
          <w:vertAlign w:val="superscript"/>
        </w:rPr>
        <w:t>th</w:t>
      </w:r>
      <w:r w:rsidRPr="4A06368B" w:rsidR="36801290">
        <w:rPr>
          <w:i w:val="0"/>
          <w:iCs w:val="0"/>
        </w:rPr>
        <w:t xml:space="preserve">-century </w:t>
      </w:r>
      <w:r w:rsidRPr="4A06368B" w:rsidR="572D9FF7">
        <w:rPr>
          <w:i w:val="0"/>
          <w:iCs w:val="0"/>
        </w:rPr>
        <w:t>industrial society: the energy economy and internationa</w:t>
      </w:r>
      <w:r w:rsidRPr="4A06368B" w:rsidR="3353E3EB">
        <w:rPr>
          <w:i w:val="0"/>
          <w:iCs w:val="0"/>
        </w:rPr>
        <w:t xml:space="preserve">l capitalism. Only with the historically unprecedented abstraction of scarcity implicit to this is </w:t>
      </w:r>
      <w:r w:rsidRPr="4A06368B" w:rsidR="604A6BF8">
        <w:rPr>
          <w:i w:val="0"/>
          <w:iCs w:val="0"/>
        </w:rPr>
        <w:t xml:space="preserve">such </w:t>
      </w:r>
      <w:r w:rsidRPr="4A06368B" w:rsidR="213A1323">
        <w:rPr>
          <w:i w:val="0"/>
          <w:iCs w:val="0"/>
        </w:rPr>
        <w:t>abstracted</w:t>
      </w:r>
      <w:r w:rsidRPr="4A06368B" w:rsidR="604A6BF8">
        <w:rPr>
          <w:i w:val="0"/>
          <w:iCs w:val="0"/>
        </w:rPr>
        <w:t xml:space="preserve"> thinking likely to arise from a culture’s intellectual class.</w:t>
      </w:r>
    </w:p>
    <w:p w:rsidR="3A7B3F40" w:rsidP="4A06368B" w:rsidRDefault="3A7B3F40" w14:paraId="555FC6CD" w14:textId="2366C57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Pr="4A06368B" w:rsidR="4A3F909F">
        <w:rPr>
          <w:i w:val="0"/>
          <w:iCs w:val="0"/>
        </w:rPr>
        <w:t>Accordingly</w:t>
      </w:r>
      <w:r w:rsidRPr="4A06368B" w:rsidR="4A3F909F">
        <w:rPr>
          <w:i w:val="0"/>
          <w:iCs w:val="0"/>
        </w:rPr>
        <w:t xml:space="preserve">, if Bourdieu’s own analysis of the requisite conditions of virtuosic involvement are applied </w:t>
      </w:r>
      <w:r w:rsidRPr="4A06368B" w:rsidR="1A1CD9ED">
        <w:rPr>
          <w:i w:val="0"/>
          <w:iCs w:val="0"/>
        </w:rPr>
        <w:t xml:space="preserve">in the case of Source A, the </w:t>
      </w:r>
      <w:r w:rsidRPr="4A06368B" w:rsidR="7BA15000">
        <w:rPr>
          <w:i w:val="0"/>
          <w:iCs w:val="0"/>
        </w:rPr>
        <w:t xml:space="preserve">implicit </w:t>
      </w:r>
      <w:r w:rsidRPr="4A06368B" w:rsidR="1A1CD9ED">
        <w:rPr>
          <w:i w:val="0"/>
          <w:iCs w:val="0"/>
        </w:rPr>
        <w:t>contextual gulf</w:t>
      </w:r>
      <w:r w:rsidRPr="4A06368B" w:rsidR="4A05E280">
        <w:rPr>
          <w:i w:val="0"/>
          <w:iCs w:val="0"/>
        </w:rPr>
        <w:t xml:space="preserve"> is so great that any application, if not outright invalid, must necessarily be qualified with respect to the conditions of the case study. </w:t>
      </w:r>
      <w:r w:rsidRPr="4A06368B" w:rsidR="1C4EDD68">
        <w:rPr>
          <w:i w:val="0"/>
          <w:iCs w:val="0"/>
        </w:rPr>
        <w:t>Realistically, there is no way for the outside observer to bridge this gap – temporally, spatially, by any rubric, the Chalcolithic is so remote</w:t>
      </w:r>
      <w:r w:rsidRPr="4A06368B" w:rsidR="2D987E1D">
        <w:rPr>
          <w:i w:val="0"/>
          <w:iCs w:val="0"/>
        </w:rPr>
        <w:t xml:space="preserve"> from the 20</w:t>
      </w:r>
      <w:r w:rsidRPr="4A06368B" w:rsidR="2D987E1D">
        <w:rPr>
          <w:i w:val="0"/>
          <w:iCs w:val="0"/>
          <w:vertAlign w:val="superscript"/>
        </w:rPr>
        <w:t>th</w:t>
      </w:r>
      <w:r w:rsidRPr="4A06368B" w:rsidR="2D987E1D">
        <w:rPr>
          <w:i w:val="0"/>
          <w:iCs w:val="0"/>
        </w:rPr>
        <w:t xml:space="preserve"> and early 21</w:t>
      </w:r>
      <w:r w:rsidRPr="4A06368B" w:rsidR="2D987E1D">
        <w:rPr>
          <w:i w:val="0"/>
          <w:iCs w:val="0"/>
          <w:vertAlign w:val="superscript"/>
        </w:rPr>
        <w:t>st</w:t>
      </w:r>
      <w:r w:rsidRPr="4A06368B" w:rsidR="2D987E1D">
        <w:rPr>
          <w:i w:val="0"/>
          <w:iCs w:val="0"/>
        </w:rPr>
        <w:t xml:space="preserve"> centuries</w:t>
      </w:r>
      <w:r w:rsidRPr="4A06368B" w:rsidR="1C4EDD68">
        <w:rPr>
          <w:i w:val="0"/>
          <w:iCs w:val="0"/>
        </w:rPr>
        <w:t xml:space="preserve"> that </w:t>
      </w:r>
      <w:r w:rsidRPr="4A06368B" w:rsidR="04BE1C02">
        <w:rPr>
          <w:i w:val="0"/>
          <w:iCs w:val="0"/>
        </w:rPr>
        <w:t xml:space="preserve">the assumptions implicit to an attempt would do more harm than good. As such, </w:t>
      </w:r>
      <w:r w:rsidRPr="4A06368B" w:rsidR="26E38285">
        <w:rPr>
          <w:i w:val="0"/>
          <w:iCs w:val="0"/>
        </w:rPr>
        <w:t>the application of Bourdieu’s theory of practice to the Source must necessarily be an act of compromise, as the</w:t>
      </w:r>
      <w:r w:rsidRPr="4A06368B" w:rsidR="3666E4EA">
        <w:rPr>
          <w:i w:val="0"/>
          <w:iCs w:val="0"/>
        </w:rPr>
        <w:t xml:space="preserve"> application of the</w:t>
      </w:r>
      <w:r w:rsidRPr="4A06368B" w:rsidR="26E38285">
        <w:rPr>
          <w:i w:val="0"/>
          <w:iCs w:val="0"/>
        </w:rPr>
        <w:t xml:space="preserve"> main body of practice versus </w:t>
      </w:r>
      <w:r w:rsidRPr="4A06368B" w:rsidR="26E38285">
        <w:rPr>
          <w:i w:val="0"/>
          <w:iCs w:val="0"/>
        </w:rPr>
        <w:t>th</w:t>
      </w:r>
      <w:r w:rsidRPr="4A06368B" w:rsidR="255862CE">
        <w:rPr>
          <w:i w:val="0"/>
          <w:iCs w:val="0"/>
        </w:rPr>
        <w:t xml:space="preserve">e habitus facet </w:t>
      </w:r>
      <w:r w:rsidRPr="4A06368B" w:rsidR="4A4EAC6E">
        <w:rPr>
          <w:i w:val="0"/>
          <w:iCs w:val="0"/>
        </w:rPr>
        <w:t xml:space="preserve">leads to radically different conclusions. </w:t>
      </w:r>
    </w:p>
    <w:p w:rsidR="3A7B3F40" w:rsidP="4A06368B" w:rsidRDefault="3A7B3F40" w14:paraId="0ED47390" w14:textId="2A1504C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Pr="4A06368B" w:rsidR="5CC83A03">
        <w:rPr>
          <w:i w:val="0"/>
          <w:iCs w:val="0"/>
        </w:rPr>
        <w:t xml:space="preserve">The most obvious measure must be the acknowledgement of the existentially defining role played by scarcity in the Chalcolithic </w:t>
      </w:r>
      <w:r w:rsidRPr="4A06368B" w:rsidR="09BEC211">
        <w:rPr>
          <w:i w:val="0"/>
          <w:iCs w:val="0"/>
        </w:rPr>
        <w:t xml:space="preserve">Cypriot context – a role borne out by the </w:t>
      </w:r>
      <w:r w:rsidRPr="4A06368B" w:rsidR="17BCBE6E">
        <w:rPr>
          <w:i w:val="0"/>
          <w:iCs w:val="0"/>
        </w:rPr>
        <w:t xml:space="preserve">Source’s subdivisions, each of which answers basic human needs fitting into either </w:t>
      </w:r>
      <w:r w:rsidRPr="4A06368B" w:rsidR="5917D93C">
        <w:rPr>
          <w:i w:val="0"/>
          <w:iCs w:val="0"/>
        </w:rPr>
        <w:t>the category of physiological needs (i.e. food, water, shelter and so on) or safety and security (property and the psychological stability</w:t>
      </w:r>
      <w:r w:rsidRPr="4A06368B" w:rsidR="50864819">
        <w:rPr>
          <w:i w:val="0"/>
          <w:iCs w:val="0"/>
        </w:rPr>
        <w:t xml:space="preserve"> and protection</w:t>
      </w:r>
      <w:r w:rsidRPr="4A06368B" w:rsidR="5917D93C">
        <w:rPr>
          <w:i w:val="0"/>
          <w:iCs w:val="0"/>
        </w:rPr>
        <w:t xml:space="preserve"> provided by fam</w:t>
      </w:r>
      <w:r w:rsidRPr="4A06368B" w:rsidR="418717D6">
        <w:rPr>
          <w:i w:val="0"/>
          <w:iCs w:val="0"/>
        </w:rPr>
        <w:t xml:space="preserve">ily). </w:t>
      </w:r>
      <w:r w:rsidRPr="4A06368B" w:rsidR="3B208172">
        <w:rPr>
          <w:i w:val="0"/>
          <w:iCs w:val="0"/>
        </w:rPr>
        <w:t>An argument can be made that the common burial zone</w:t>
      </w:r>
      <w:r w:rsidRPr="4A06368B" w:rsidR="0E81515D">
        <w:rPr>
          <w:i w:val="0"/>
          <w:iCs w:val="0"/>
        </w:rPr>
        <w:t xml:space="preserve"> for infants (the most likely specific custom in the Chalcolithic context, but by no means the only one possible)</w:t>
      </w:r>
      <w:r w:rsidRPr="4A06368B" w:rsidR="3B208172">
        <w:rPr>
          <w:i w:val="0"/>
          <w:iCs w:val="0"/>
        </w:rPr>
        <w:t xml:space="preserve"> </w:t>
      </w:r>
      <w:r w:rsidRPr="4A06368B" w:rsidR="3B208172">
        <w:rPr>
          <w:i w:val="0"/>
          <w:iCs w:val="0"/>
        </w:rPr>
        <w:t xml:space="preserve">falls </w:t>
      </w:r>
      <w:r w:rsidRPr="4A06368B" w:rsidR="3B208172">
        <w:rPr>
          <w:i w:val="0"/>
          <w:iCs w:val="0"/>
        </w:rPr>
        <w:t>mainly under the category of love and belonging in Maslow’s hierarchy</w:t>
      </w:r>
      <w:r w:rsidRPr="4A06368B" w:rsidR="34825A64">
        <w:rPr>
          <w:i w:val="0"/>
          <w:iCs w:val="0"/>
        </w:rPr>
        <w:t>, but it is more easily termed a subset of security, answering the human need for psychological or ritual mechanisms to process death</w:t>
      </w:r>
      <w:r w:rsidRPr="4A06368B" w:rsidR="4E8354E5">
        <w:rPr>
          <w:i w:val="0"/>
          <w:iCs w:val="0"/>
        </w:rPr>
        <w:t xml:space="preserve"> (and being in-keeping with Cypriot religious norms at the time)</w:t>
      </w:r>
      <w:r w:rsidRPr="4A06368B" w:rsidR="34825A64">
        <w:rPr>
          <w:i w:val="0"/>
          <w:iCs w:val="0"/>
        </w:rPr>
        <w:t>.</w:t>
      </w:r>
      <w:r w:rsidRPr="4A06368B" w:rsidR="0BFEFEA6">
        <w:rPr>
          <w:i w:val="0"/>
          <w:iCs w:val="0"/>
        </w:rPr>
        <w:t xml:space="preserve"> </w:t>
      </w:r>
    </w:p>
    <w:p w:rsidR="3A7B3F40" w:rsidP="4A06368B" w:rsidRDefault="3A7B3F40" w14:paraId="577F3CC9" w14:textId="13AA6A0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Pr="4A06368B" w:rsidR="55C4F15E">
        <w:rPr>
          <w:i w:val="0"/>
          <w:iCs w:val="0"/>
        </w:rPr>
        <w:t xml:space="preserve">Sayer’s analysis of Bourdieu’s work </w:t>
      </w:r>
      <w:r w:rsidRPr="4A06368B" w:rsidR="18ADCC7A">
        <w:rPr>
          <w:i w:val="0"/>
          <w:iCs w:val="0"/>
        </w:rPr>
        <w:t xml:space="preserve">highlights one of the greater issues in its application to the Source and any resulting insights – Bourdieu's aversion to </w:t>
      </w:r>
      <w:r w:rsidRPr="4A06368B" w:rsidR="72FFA9D8">
        <w:rPr>
          <w:i w:val="0"/>
          <w:iCs w:val="0"/>
        </w:rPr>
        <w:t xml:space="preserve">“our inner </w:t>
      </w:r>
      <w:bookmarkStart w:name="_Int_muLzCpZX" w:id="791952799"/>
      <w:r w:rsidRPr="4A06368B" w:rsidR="72FFA9D8">
        <w:rPr>
          <w:i w:val="0"/>
          <w:iCs w:val="0"/>
        </w:rPr>
        <w:t>conversations”</w:t>
      </w:r>
      <w:r w:rsidRPr="4A06368B">
        <w:rPr>
          <w:rStyle w:val="FootnoteReference"/>
          <w:i w:val="0"/>
          <w:iCs w:val="0"/>
        </w:rPr>
        <w:footnoteReference w:id="28891"/>
      </w:r>
      <w:bookmarkEnd w:id="791952799"/>
      <w:r w:rsidRPr="4A06368B" w:rsidR="71C3BB75">
        <w:rPr>
          <w:i w:val="0"/>
          <w:iCs w:val="0"/>
        </w:rPr>
        <w:t>, which as Reay notes “</w:t>
      </w:r>
      <w:r w:rsidRPr="4A06368B" w:rsidR="695AA2CB">
        <w:rPr>
          <w:i w:val="0"/>
          <w:iCs w:val="0"/>
        </w:rPr>
        <w:t xml:space="preserve">denies or marginalizes the life of the mind in </w:t>
      </w:r>
      <w:bookmarkStart w:name="_Int_gtEqcA2L" w:id="1300527728"/>
      <w:r w:rsidRPr="4A06368B" w:rsidR="695AA2CB">
        <w:rPr>
          <w:i w:val="0"/>
          <w:iCs w:val="0"/>
        </w:rPr>
        <w:t>others”</w:t>
      </w:r>
      <w:r w:rsidRPr="4A06368B">
        <w:rPr>
          <w:rStyle w:val="FootnoteReference"/>
          <w:i w:val="0"/>
          <w:iCs w:val="0"/>
        </w:rPr>
        <w:footnoteReference w:id="25719"/>
      </w:r>
      <w:bookmarkEnd w:id="1300527728"/>
      <w:r w:rsidRPr="4A06368B" w:rsidR="190E90D4">
        <w:rPr>
          <w:i w:val="0"/>
          <w:iCs w:val="0"/>
        </w:rPr>
        <w:t xml:space="preserve">. To </w:t>
      </w:r>
      <w:r w:rsidRPr="4A06368B" w:rsidR="6E950D5E">
        <w:rPr>
          <w:i w:val="0"/>
          <w:iCs w:val="0"/>
        </w:rPr>
        <w:t>be more precise, Bourdieu</w:t>
      </w:r>
      <w:r w:rsidRPr="4A06368B" w:rsidR="4ABB5152">
        <w:rPr>
          <w:i w:val="0"/>
          <w:iCs w:val="0"/>
        </w:rPr>
        <w:t xml:space="preserve"> undervalued both the conscious awareness of a given individual </w:t>
      </w:r>
      <w:r w:rsidRPr="4A06368B" w:rsidR="4A371F30">
        <w:rPr>
          <w:i w:val="0"/>
          <w:iCs w:val="0"/>
        </w:rPr>
        <w:t>and the impact of human decisions upon human behaviour</w:t>
      </w:r>
      <w:r w:rsidRPr="4A06368B" w:rsidR="77F3EBDC">
        <w:rPr>
          <w:i w:val="0"/>
          <w:iCs w:val="0"/>
        </w:rPr>
        <w:t>, and the resulting capacity for change in behaviour on the day-to-day scale</w:t>
      </w:r>
      <w:r w:rsidRPr="4A06368B" w:rsidR="4A371F30">
        <w:rPr>
          <w:i w:val="0"/>
          <w:iCs w:val="0"/>
        </w:rPr>
        <w:t xml:space="preserve"> (“</w:t>
      </w:r>
      <w:r w:rsidRPr="4A06368B" w:rsidR="4A371F30">
        <w:rPr>
          <w:i w:val="0"/>
          <w:iCs w:val="0"/>
        </w:rPr>
        <w:t xml:space="preserve">It is not a lack of action that is problematic, but </w:t>
      </w:r>
      <w:r w:rsidRPr="4A06368B" w:rsidR="4A371F30">
        <w:rPr>
          <w:i w:val="0"/>
          <w:iCs w:val="0"/>
        </w:rPr>
        <w:t>rather the</w:t>
      </w:r>
      <w:r w:rsidRPr="4A06368B" w:rsidR="4A371F30">
        <w:rPr>
          <w:i w:val="0"/>
          <w:iCs w:val="0"/>
        </w:rPr>
        <w:t xml:space="preserve"> focus on pre-reflective dimensions of action”</w:t>
      </w:r>
      <w:r w:rsidRPr="4A06368B">
        <w:rPr>
          <w:rStyle w:val="FootnoteReference"/>
          <w:i w:val="0"/>
          <w:iCs w:val="0"/>
        </w:rPr>
        <w:footnoteReference w:id="7755"/>
      </w:r>
      <w:r w:rsidRPr="4A06368B" w:rsidR="3EEF5870">
        <w:rPr>
          <w:i w:val="0"/>
          <w:iCs w:val="0"/>
        </w:rPr>
        <w:t>)</w:t>
      </w:r>
      <w:r w:rsidRPr="4A06368B" w:rsidR="668F05A1">
        <w:rPr>
          <w:i w:val="0"/>
          <w:iCs w:val="0"/>
        </w:rPr>
        <w:t xml:space="preserve"> and the mediation of a given habitus through reflection and conscious thought. This is not to say that, for example, each t</w:t>
      </w:r>
      <w:r w:rsidRPr="4A06368B" w:rsidR="1E83DD86">
        <w:rPr>
          <w:i w:val="0"/>
          <w:iCs w:val="0"/>
        </w:rPr>
        <w:t xml:space="preserve">ime an older member of the family unit might sit at the hearth he or she would be engaged in a conscious act of social reproduction – but rather that </w:t>
      </w:r>
      <w:r w:rsidRPr="4A06368B" w:rsidR="0B076933">
        <w:rPr>
          <w:i w:val="0"/>
          <w:iCs w:val="0"/>
        </w:rPr>
        <w:t xml:space="preserve">the theory of practice as it stood and stands (especially </w:t>
      </w:r>
      <w:bookmarkStart w:name="_Int_nVdT01v0" w:id="1481425015"/>
      <w:r w:rsidRPr="4A06368B" w:rsidR="0B076933">
        <w:rPr>
          <w:i w:val="0"/>
          <w:iCs w:val="0"/>
        </w:rPr>
        <w:t>in regard to</w:t>
      </w:r>
      <w:bookmarkEnd w:id="1481425015"/>
      <w:r w:rsidRPr="4A06368B" w:rsidR="0B076933">
        <w:rPr>
          <w:i w:val="0"/>
          <w:iCs w:val="0"/>
        </w:rPr>
        <w:t xml:space="preserve"> the element of habitus) leaves little room for individual flexibility </w:t>
      </w:r>
      <w:r w:rsidRPr="4A06368B" w:rsidR="37FDF140">
        <w:rPr>
          <w:i w:val="1"/>
          <w:iCs w:val="1"/>
        </w:rPr>
        <w:t>informed</w:t>
      </w:r>
      <w:r w:rsidRPr="4A06368B" w:rsidR="37FDF140">
        <w:rPr>
          <w:i w:val="0"/>
          <w:iCs w:val="0"/>
        </w:rPr>
        <w:t xml:space="preserve"> rather than dictated by habitus.</w:t>
      </w:r>
    </w:p>
    <w:p w:rsidR="3A7B3F40" w:rsidP="4A06368B" w:rsidRDefault="3A7B3F40" w14:paraId="16D89489" w14:textId="03D8FE5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Pr="4A06368B" w:rsidR="37FDF140">
        <w:rPr>
          <w:i w:val="0"/>
          <w:iCs w:val="0"/>
        </w:rPr>
        <w:t xml:space="preserve">Beyond these qualifications, the simple gulf in understanding of Chalcolithic Cypriot society compared to the likes of, for example, Achaemenid Persia, </w:t>
      </w:r>
      <w:r w:rsidRPr="4A06368B" w:rsidR="37FDF140">
        <w:rPr>
          <w:i w:val="0"/>
          <w:iCs w:val="0"/>
        </w:rPr>
        <w:t>necessitates</w:t>
      </w:r>
      <w:r w:rsidRPr="4A06368B" w:rsidR="37FDF140">
        <w:rPr>
          <w:i w:val="0"/>
          <w:iCs w:val="0"/>
        </w:rPr>
        <w:t xml:space="preserve"> a limited approach </w:t>
      </w:r>
      <w:r w:rsidRPr="4A06368B" w:rsidR="344D9079">
        <w:rPr>
          <w:i w:val="0"/>
          <w:iCs w:val="0"/>
        </w:rPr>
        <w:t xml:space="preserve">simply due to a lack of information or certainty </w:t>
      </w:r>
      <w:r w:rsidRPr="4A06368B" w:rsidR="344D9079">
        <w:rPr>
          <w:i w:val="0"/>
          <w:iCs w:val="0"/>
        </w:rPr>
        <w:t>regarding</w:t>
      </w:r>
      <w:r w:rsidRPr="4A06368B" w:rsidR="344D9079">
        <w:rPr>
          <w:i w:val="0"/>
          <w:iCs w:val="0"/>
        </w:rPr>
        <w:t xml:space="preserve"> the </w:t>
      </w:r>
      <w:r w:rsidRPr="4A06368B" w:rsidR="2DE6FA15">
        <w:rPr>
          <w:i w:val="0"/>
          <w:iCs w:val="0"/>
        </w:rPr>
        <w:t xml:space="preserve">conclusions that can be drawn from the archaeological evidence, to say nothing of the likelihood of heterogeneity in Cypriot </w:t>
      </w:r>
      <w:r w:rsidRPr="4A06368B" w:rsidR="2DE6FA15">
        <w:rPr>
          <w:i w:val="0"/>
          <w:iCs w:val="0"/>
        </w:rPr>
        <w:t>habituses</w:t>
      </w:r>
      <w:r w:rsidRPr="4A06368B" w:rsidR="2DE6FA15">
        <w:rPr>
          <w:i w:val="0"/>
          <w:iCs w:val="0"/>
        </w:rPr>
        <w:t xml:space="preserve"> and folkways. </w:t>
      </w:r>
      <w:r w:rsidRPr="4A06368B" w:rsidR="6F4214E3">
        <w:rPr>
          <w:i w:val="0"/>
          <w:iCs w:val="0"/>
        </w:rPr>
        <w:t xml:space="preserve">While the exemplary household provided in Source A is relatively easy to interpret through the lens of the theory of practice, and the conclusions that can be drawn regarding Cypriot society </w:t>
      </w:r>
      <w:bookmarkStart w:name="_Int_jn88QglR" w:id="440315995"/>
      <w:r w:rsidRPr="4A06368B" w:rsidR="6F4214E3">
        <w:rPr>
          <w:i w:val="0"/>
          <w:iCs w:val="0"/>
        </w:rPr>
        <w:t xml:space="preserve">as a whole </w:t>
      </w:r>
      <w:r w:rsidRPr="4A06368B" w:rsidR="309D2FB2">
        <w:rPr>
          <w:i w:val="0"/>
          <w:iCs w:val="0"/>
        </w:rPr>
        <w:t>readily</w:t>
      </w:r>
      <w:bookmarkEnd w:id="440315995"/>
      <w:r w:rsidRPr="4A06368B" w:rsidR="309D2FB2">
        <w:rPr>
          <w:i w:val="0"/>
          <w:iCs w:val="0"/>
        </w:rPr>
        <w:t xml:space="preserve"> </w:t>
      </w:r>
      <w:r w:rsidRPr="4A06368B" w:rsidR="6F4214E3">
        <w:rPr>
          <w:i w:val="0"/>
          <w:iCs w:val="0"/>
        </w:rPr>
        <w:t>apparent</w:t>
      </w:r>
      <w:r w:rsidRPr="4A06368B" w:rsidR="04A7DB8B">
        <w:rPr>
          <w:i w:val="0"/>
          <w:iCs w:val="0"/>
        </w:rPr>
        <w:t xml:space="preserve"> – with the obvious utility of most of the dwelling’s facets and the overriding acknowledgement of scarcity in Chalcolithic conditions implicit to the very walls – this is </w:t>
      </w:r>
      <w:r w:rsidRPr="4A06368B" w:rsidR="39B9FBB3">
        <w:rPr>
          <w:i w:val="0"/>
          <w:iCs w:val="0"/>
        </w:rPr>
        <w:t xml:space="preserve">rarely the case in archaeological case studies. The universalism of Bourdieu’s theory, by both his own logic and simple </w:t>
      </w:r>
      <w:r w:rsidRPr="4A06368B" w:rsidR="66B083C0">
        <w:rPr>
          <w:i w:val="0"/>
          <w:iCs w:val="0"/>
        </w:rPr>
        <w:t>prudence in research, must necessarily be constrained</w:t>
      </w:r>
      <w:r w:rsidRPr="4A06368B" w:rsidR="75AFB403">
        <w:rPr>
          <w:i w:val="0"/>
          <w:iCs w:val="0"/>
        </w:rPr>
        <w:t xml:space="preserve"> and subordinated to the realities of archaeological study of a given source.</w:t>
      </w:r>
    </w:p>
    <w:p w:rsidR="3A7B3F40" w:rsidP="4A06368B" w:rsidRDefault="3A7B3F40" w14:paraId="47B5B23A" w14:textId="2EF528C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Pr="4A06368B" w:rsidR="5A8FD9F1">
        <w:rPr>
          <w:i w:val="0"/>
          <w:iCs w:val="0"/>
        </w:rPr>
        <w:t>To conclude, while the application of Bourdieu’s theory of practice is a useful tool in the analysis of Source A and arch</w:t>
      </w:r>
      <w:r w:rsidRPr="4A06368B" w:rsidR="4965AEEF">
        <w:rPr>
          <w:i w:val="0"/>
          <w:iCs w:val="0"/>
        </w:rPr>
        <w:t>a</w:t>
      </w:r>
      <w:r w:rsidRPr="4A06368B" w:rsidR="5A8FD9F1">
        <w:rPr>
          <w:i w:val="0"/>
          <w:iCs w:val="0"/>
        </w:rPr>
        <w:t xml:space="preserve">eological research more generally, </w:t>
      </w:r>
      <w:r w:rsidRPr="4A06368B" w:rsidR="626D1EBA">
        <w:rPr>
          <w:i w:val="0"/>
          <w:iCs w:val="0"/>
        </w:rPr>
        <w:t>this is contingent on the theory’s use as precisely that – a tool and framework subordinated to and useful in the purpose of analysing the practical realit</w:t>
      </w:r>
      <w:r w:rsidRPr="4A06368B" w:rsidR="3C988227">
        <w:rPr>
          <w:i w:val="0"/>
          <w:iCs w:val="0"/>
        </w:rPr>
        <w:t xml:space="preserve">y of the object of study. The theory, if applied under its own framework completely, </w:t>
      </w:r>
      <w:r w:rsidRPr="4A06368B" w:rsidR="0B3FDD34">
        <w:rPr>
          <w:i w:val="0"/>
          <w:iCs w:val="0"/>
        </w:rPr>
        <w:t xml:space="preserve">at once contradicts its own premises and </w:t>
      </w:r>
      <w:r w:rsidRPr="4A06368B" w:rsidR="3C988227">
        <w:rPr>
          <w:i w:val="0"/>
          <w:iCs w:val="0"/>
        </w:rPr>
        <w:t>fails to</w:t>
      </w:r>
      <w:r w:rsidRPr="4A06368B" w:rsidR="3C988227">
        <w:rPr>
          <w:i w:val="0"/>
          <w:iCs w:val="0"/>
        </w:rPr>
        <w:t xml:space="preserve"> </w:t>
      </w:r>
      <w:r w:rsidRPr="4A06368B" w:rsidR="5D460F8E">
        <w:rPr>
          <w:i w:val="0"/>
          <w:iCs w:val="0"/>
        </w:rPr>
        <w:t xml:space="preserve">place sufficient emphasis on the overriding factor in the </w:t>
      </w:r>
      <w:r w:rsidRPr="4A06368B" w:rsidR="3BE6C608">
        <w:rPr>
          <w:i w:val="0"/>
          <w:iCs w:val="0"/>
        </w:rPr>
        <w:t>formation of any system of Chalcolithic habitus – scarcity, which is to say th</w:t>
      </w:r>
      <w:r w:rsidRPr="4A06368B" w:rsidR="68DD4E15">
        <w:rPr>
          <w:i w:val="0"/>
          <w:iCs w:val="0"/>
        </w:rPr>
        <w:t xml:space="preserve">at material concerns shape folkways much more than the inverse </w:t>
      </w:r>
      <w:bookmarkStart w:name="_Int_6qacnORb" w:id="2043948604"/>
      <w:r w:rsidRPr="4A06368B" w:rsidR="68DD4E15">
        <w:rPr>
          <w:i w:val="0"/>
          <w:iCs w:val="0"/>
        </w:rPr>
        <w:t>state of affairs</w:t>
      </w:r>
      <w:bookmarkEnd w:id="2043948604"/>
      <w:r w:rsidRPr="4A06368B" w:rsidR="68DD4E15">
        <w:rPr>
          <w:i w:val="0"/>
          <w:iCs w:val="0"/>
        </w:rPr>
        <w:t xml:space="preserve">. </w:t>
      </w:r>
      <w:r w:rsidRPr="4A06368B" w:rsidR="0C41111A">
        <w:rPr>
          <w:i w:val="0"/>
          <w:iCs w:val="0"/>
        </w:rPr>
        <w:t>As such, the conclusion is simple – the subordination of</w:t>
      </w:r>
      <w:r w:rsidRPr="4A06368B" w:rsidR="1A3F0D77">
        <w:rPr>
          <w:i w:val="0"/>
          <w:iCs w:val="0"/>
        </w:rPr>
        <w:t xml:space="preserve"> the abstract to the tangible, of method to subject and of</w:t>
      </w:r>
      <w:r w:rsidRPr="4A06368B" w:rsidR="0C41111A">
        <w:rPr>
          <w:i w:val="0"/>
          <w:iCs w:val="0"/>
        </w:rPr>
        <w:t xml:space="preserve"> theory to practice and condition.</w:t>
      </w:r>
      <w:r w:rsidRPr="4A06368B" w:rsidR="6E49B94F">
        <w:rPr>
          <w:i w:val="0"/>
          <w:iCs w:val="0"/>
        </w:rPr>
        <w:t xml:space="preserve"> Scarcity, which </w:t>
      </w:r>
      <w:r w:rsidRPr="4A06368B" w:rsidR="6E49B94F">
        <w:rPr>
          <w:i w:val="0"/>
          <w:iCs w:val="0"/>
        </w:rPr>
        <w:t>Bordieu’s</w:t>
      </w:r>
      <w:r w:rsidRPr="4A06368B" w:rsidR="6E49B94F">
        <w:rPr>
          <w:i w:val="0"/>
          <w:iCs w:val="0"/>
        </w:rPr>
        <w:t xml:space="preserve"> analysis and the source alike </w:t>
      </w:r>
      <w:r w:rsidRPr="4A06368B" w:rsidR="6E49B94F">
        <w:rPr>
          <w:i w:val="0"/>
          <w:iCs w:val="0"/>
        </w:rPr>
        <w:t>demonstrate</w:t>
      </w:r>
      <w:r w:rsidRPr="4A06368B" w:rsidR="6E49B94F">
        <w:rPr>
          <w:i w:val="0"/>
          <w:iCs w:val="0"/>
        </w:rPr>
        <w:t xml:space="preserve"> to be the most formative influence on Chalcolithic Cyprus, </w:t>
      </w:r>
      <w:r w:rsidRPr="4A06368B" w:rsidR="49EBCB21">
        <w:rPr>
          <w:i w:val="0"/>
          <w:iCs w:val="0"/>
        </w:rPr>
        <w:t>is both the conclusion and the essential modifier to useful research.</w:t>
      </w:r>
    </w:p>
    <w:p w:rsidR="3A7B3F40" w:rsidP="4A06368B" w:rsidRDefault="3A7B3F40" w14:paraId="4FAF35A0" w14:textId="21321F5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A7B3F40" w:rsidP="4A06368B" w:rsidRDefault="3A7B3F40" w14:paraId="64C46611" w14:textId="08003EA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</w:p>
    <w:p w:rsidR="3A7B3F40" w:rsidP="4A06368B" w:rsidRDefault="3A7B3F40" w14:paraId="6D49DDD1" w14:textId="64209CC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</w:rPr>
      </w:pPr>
      <w:r w:rsidR="3A7B3F40">
        <w:rPr/>
        <w:t>Reference List</w:t>
      </w:r>
    </w:p>
    <w:p w:rsidR="3A7B3F40" w:rsidP="4A06368B" w:rsidRDefault="3A7B3F40" w14:paraId="19A70A04" w14:textId="4329AAFE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/>
      </w:pPr>
      <w:r w:rsidRPr="4A06368B" w:rsidR="3A7B3F40">
        <w:rPr>
          <w:noProof w:val="0"/>
          <w:lang w:val="en-GB"/>
        </w:rPr>
        <w:t xml:space="preserve">King, A. (2000). Thinking with Bourdieu against Bourdieu: A “Practical” Critique of the Habitus. </w:t>
      </w:r>
      <w:r w:rsidRPr="4A06368B" w:rsidR="3A7B3F40">
        <w:rPr>
          <w:i w:val="1"/>
          <w:iCs w:val="1"/>
          <w:noProof w:val="0"/>
          <w:lang w:val="en-GB"/>
        </w:rPr>
        <w:t>Sociological Theory</w:t>
      </w:r>
      <w:r w:rsidRPr="4A06368B" w:rsidR="3A7B3F40">
        <w:rPr>
          <w:noProof w:val="0"/>
          <w:lang w:val="en-GB"/>
        </w:rPr>
        <w:t xml:space="preserve">, </w:t>
      </w:r>
      <w:r w:rsidRPr="4A06368B" w:rsidR="3A7B3F40">
        <w:rPr>
          <w:i w:val="1"/>
          <w:iCs w:val="1"/>
          <w:noProof w:val="0"/>
          <w:lang w:val="en-GB"/>
        </w:rPr>
        <w:t>18</w:t>
      </w:r>
      <w:r w:rsidRPr="4A06368B" w:rsidR="3A7B3F40">
        <w:rPr>
          <w:noProof w:val="0"/>
          <w:lang w:val="en-GB"/>
        </w:rPr>
        <w:t xml:space="preserve">(3), 417–433. </w:t>
      </w:r>
      <w:hyperlink r:id="Rc3e6c7ae82cd41ec">
        <w:r w:rsidRPr="4A06368B" w:rsidR="3A7B3F40">
          <w:rPr>
            <w:rStyle w:val="Hyperlink"/>
            <w:noProof w:val="0"/>
            <w:lang w:val="en-GB"/>
          </w:rPr>
          <w:t>http://www.jstor.org/stable/223327</w:t>
        </w:r>
      </w:hyperlink>
    </w:p>
    <w:p w:rsidR="3A7B3F40" w:rsidP="4A06368B" w:rsidRDefault="3A7B3F40" w14:paraId="4024CECD" w14:textId="76317E57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/>
      </w:pPr>
      <w:r w:rsidR="3A7B3F40">
        <w:rPr/>
        <w:t xml:space="preserve">Bourdieu, P. (1977). Outline of a Theory of Practice. Cambridge University Press. </w:t>
      </w:r>
    </w:p>
    <w:p w:rsidR="26B62D6D" w:rsidP="4A06368B" w:rsidRDefault="26B62D6D" w14:paraId="3C7DEAB0" w14:textId="5ACAF20E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Style w:val="Hyperlink"/>
          <w:noProof w:val="0"/>
          <w:lang w:val="en-GB"/>
        </w:rPr>
      </w:pPr>
      <w:r w:rsidRPr="4A06368B" w:rsidR="26B62D6D">
        <w:rPr>
          <w:noProof w:val="0"/>
          <w:lang w:val="en-GB"/>
        </w:rPr>
        <w:t xml:space="preserve">King, A. (2000). Thinking with Bourdieu against Bourdieu: A “Practical” Critique of the Habitus. </w:t>
      </w:r>
      <w:r w:rsidRPr="4A06368B" w:rsidR="26B62D6D">
        <w:rPr>
          <w:i w:val="1"/>
          <w:iCs w:val="1"/>
          <w:noProof w:val="0"/>
          <w:lang w:val="en-GB"/>
        </w:rPr>
        <w:t>Sociological Theory</w:t>
      </w:r>
      <w:r w:rsidRPr="4A06368B" w:rsidR="26B62D6D">
        <w:rPr>
          <w:noProof w:val="0"/>
          <w:lang w:val="en-GB"/>
        </w:rPr>
        <w:t xml:space="preserve">, </w:t>
      </w:r>
      <w:r w:rsidRPr="4A06368B" w:rsidR="26B62D6D">
        <w:rPr>
          <w:i w:val="1"/>
          <w:iCs w:val="1"/>
          <w:noProof w:val="0"/>
          <w:lang w:val="en-GB"/>
        </w:rPr>
        <w:t>18</w:t>
      </w:r>
      <w:r w:rsidRPr="4A06368B" w:rsidR="26B62D6D">
        <w:rPr>
          <w:noProof w:val="0"/>
          <w:lang w:val="en-GB"/>
        </w:rPr>
        <w:t xml:space="preserve">(3), 417–433. </w:t>
      </w:r>
      <w:hyperlink r:id="R1ebf85dd205d4e85">
        <w:r w:rsidRPr="4A06368B" w:rsidR="26B62D6D">
          <w:rPr>
            <w:rStyle w:val="Hyperlink"/>
            <w:noProof w:val="0"/>
            <w:lang w:val="en-GB"/>
          </w:rPr>
          <w:t>http://www.jstor.org/stable/223327</w:t>
        </w:r>
      </w:hyperlink>
    </w:p>
    <w:p w:rsidR="3C6DAF9C" w:rsidP="4A06368B" w:rsidRDefault="3C6DAF9C" w14:paraId="3FC5A4E8" w14:textId="08EEC970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Style w:val="Hyperlink"/>
          <w:noProof w:val="0"/>
          <w:lang w:val="en-GB"/>
        </w:rPr>
      </w:pPr>
      <w:r w:rsidRPr="4A06368B" w:rsidR="1EAB0480">
        <w:rPr>
          <w:noProof w:val="0"/>
          <w:lang w:val="en-GB"/>
        </w:rPr>
        <w:t xml:space="preserve">King, A. (2000). Thinking with Bourdieu against Bourdieu: A “Practical” Critique of the Habitus. </w:t>
      </w:r>
      <w:r w:rsidRPr="4A06368B" w:rsidR="1EAB0480">
        <w:rPr>
          <w:i w:val="1"/>
          <w:iCs w:val="1"/>
          <w:noProof w:val="0"/>
          <w:lang w:val="en-GB"/>
        </w:rPr>
        <w:t>Sociological Theory</w:t>
      </w:r>
      <w:r w:rsidRPr="4A06368B" w:rsidR="1EAB0480">
        <w:rPr>
          <w:noProof w:val="0"/>
          <w:lang w:val="en-GB"/>
        </w:rPr>
        <w:t xml:space="preserve">, </w:t>
      </w:r>
      <w:r w:rsidRPr="4A06368B" w:rsidR="1EAB0480">
        <w:rPr>
          <w:i w:val="1"/>
          <w:iCs w:val="1"/>
          <w:noProof w:val="0"/>
          <w:lang w:val="en-GB"/>
        </w:rPr>
        <w:t>18</w:t>
      </w:r>
      <w:r w:rsidRPr="4A06368B" w:rsidR="1EAB0480">
        <w:rPr>
          <w:noProof w:val="0"/>
          <w:lang w:val="en-GB"/>
        </w:rPr>
        <w:t xml:space="preserve">(3), 417–433. </w:t>
      </w:r>
      <w:hyperlink r:id="Re68d52c6ecb44b96">
        <w:r w:rsidRPr="4A06368B" w:rsidR="1EAB0480">
          <w:rPr>
            <w:rStyle w:val="Hyperlink"/>
            <w:noProof w:val="0"/>
            <w:lang w:val="en-GB"/>
          </w:rPr>
          <w:t>http://www.jstor.org/stable/223327</w:t>
        </w:r>
      </w:hyperlink>
    </w:p>
    <w:p w:rsidR="3C6DAF9C" w:rsidP="4A06368B" w:rsidRDefault="3C6DAF9C" w14:paraId="7EF7285D" w14:textId="3AB3C759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Style w:val="Hyperlink"/>
          <w:noProof w:val="0"/>
          <w:lang w:val="en-GB"/>
        </w:rPr>
      </w:pPr>
      <w:r w:rsidRPr="4A06368B" w:rsidR="3C6DAF9C">
        <w:rPr>
          <w:noProof w:val="0"/>
          <w:lang w:val="en-GB"/>
        </w:rPr>
        <w:t xml:space="preserve">King, A. (2000). Thinking with Bourdieu against Bourdieu: A “Practical” Critique of the Habitus. </w:t>
      </w:r>
      <w:r w:rsidRPr="4A06368B" w:rsidR="3C6DAF9C">
        <w:rPr>
          <w:i w:val="1"/>
          <w:iCs w:val="1"/>
          <w:noProof w:val="0"/>
          <w:lang w:val="en-GB"/>
        </w:rPr>
        <w:t>Sociological Theory</w:t>
      </w:r>
      <w:r w:rsidRPr="4A06368B" w:rsidR="3C6DAF9C">
        <w:rPr>
          <w:noProof w:val="0"/>
          <w:lang w:val="en-GB"/>
        </w:rPr>
        <w:t xml:space="preserve">, </w:t>
      </w:r>
      <w:r w:rsidRPr="4A06368B" w:rsidR="3C6DAF9C">
        <w:rPr>
          <w:i w:val="1"/>
          <w:iCs w:val="1"/>
          <w:noProof w:val="0"/>
          <w:lang w:val="en-GB"/>
        </w:rPr>
        <w:t>18</w:t>
      </w:r>
      <w:r w:rsidRPr="4A06368B" w:rsidR="3C6DAF9C">
        <w:rPr>
          <w:noProof w:val="0"/>
          <w:lang w:val="en-GB"/>
        </w:rPr>
        <w:t xml:space="preserve">(3), 417–433. </w:t>
      </w:r>
      <w:hyperlink r:id="R6ef1598177f14215">
        <w:r w:rsidRPr="4A06368B" w:rsidR="3C6DAF9C">
          <w:rPr>
            <w:rStyle w:val="Hyperlink"/>
            <w:noProof w:val="0"/>
            <w:lang w:val="en-GB"/>
          </w:rPr>
          <w:t>http://www.jstor.org/stable/223327</w:t>
        </w:r>
      </w:hyperlink>
    </w:p>
    <w:p w:rsidR="7E06952A" w:rsidP="4A06368B" w:rsidRDefault="7E06952A" w14:paraId="7366D707" w14:textId="1D74D564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lang w:val="en-GB"/>
        </w:rPr>
      </w:pPr>
      <w:r w:rsidRPr="4A06368B" w:rsidR="7E06952A">
        <w:rPr>
          <w:noProof w:val="0"/>
          <w:lang w:val="en-GB"/>
        </w:rPr>
        <w:t>Bourdieu P. (1993) ‘Concluding Remarks. For a Sociogenetic Understanding of Intellectual Works</w:t>
      </w:r>
      <w:r w:rsidRPr="4A06368B" w:rsidR="7E06952A">
        <w:rPr>
          <w:noProof w:val="0"/>
          <w:lang w:val="en-GB"/>
        </w:rPr>
        <w:t>’,</w:t>
      </w:r>
      <w:r w:rsidRPr="4A06368B" w:rsidR="7E06952A">
        <w:rPr>
          <w:noProof w:val="0"/>
          <w:lang w:val="en-GB"/>
        </w:rPr>
        <w:t xml:space="preserve"> in Calhoun C., et al. (eds) </w:t>
      </w:r>
      <w:r w:rsidRPr="4A06368B" w:rsidR="7E06952A">
        <w:rPr>
          <w:i w:val="1"/>
          <w:iCs w:val="1"/>
          <w:noProof w:val="0"/>
          <w:lang w:val="en-GB"/>
        </w:rPr>
        <w:t>Bourdieu: Critical Perspectives</w:t>
      </w:r>
      <w:r w:rsidRPr="4A06368B" w:rsidR="7E06952A">
        <w:rPr>
          <w:noProof w:val="0"/>
          <w:lang w:val="en-GB"/>
        </w:rPr>
        <w:t>. Chicago, IL: Polity Press, pp. 263–75.</w:t>
      </w:r>
    </w:p>
    <w:p w:rsidR="454C827B" w:rsidP="4A06368B" w:rsidRDefault="454C827B" w14:paraId="7FD0A935" w14:textId="3918616F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lang w:val="en-GB"/>
        </w:rPr>
      </w:pPr>
      <w:r w:rsidR="454C827B">
        <w:rPr/>
        <w:t xml:space="preserve">Sayer, A. (2004). The moral significance of class. </w:t>
      </w:r>
      <w:r w:rsidRPr="4A06368B" w:rsidR="5C81C5D5">
        <w:rPr>
          <w:noProof w:val="0"/>
          <w:lang w:val="en-GB"/>
        </w:rPr>
        <w:t>Cambridge University Press.</w:t>
      </w:r>
    </w:p>
    <w:p w:rsidR="3D9BA6F5" w:rsidP="4A06368B" w:rsidRDefault="3D9BA6F5" w14:paraId="67AA0CF2" w14:textId="3F177F9F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lang w:val="en-GB"/>
        </w:rPr>
      </w:pPr>
      <w:r w:rsidRPr="4A06368B" w:rsidR="3D9BA6F5">
        <w:rPr>
          <w:noProof w:val="0"/>
          <w:lang w:val="en-GB"/>
        </w:rPr>
        <w:t xml:space="preserve">Reay, D. (2004). “It’s All Becoming a Habitus”: Beyond the Habitual Use of Habitus in Educational Research. </w:t>
      </w:r>
      <w:r w:rsidRPr="4A06368B" w:rsidR="3D9BA6F5">
        <w:rPr>
          <w:i w:val="1"/>
          <w:iCs w:val="1"/>
          <w:noProof w:val="0"/>
          <w:lang w:val="en-GB"/>
        </w:rPr>
        <w:t>British Journal of Sociology of Education</w:t>
      </w:r>
      <w:r w:rsidRPr="4A06368B" w:rsidR="3D9BA6F5">
        <w:rPr>
          <w:noProof w:val="0"/>
          <w:lang w:val="en-GB"/>
        </w:rPr>
        <w:t xml:space="preserve">, </w:t>
      </w:r>
      <w:r w:rsidRPr="4A06368B" w:rsidR="3D9BA6F5">
        <w:rPr>
          <w:i w:val="1"/>
          <w:iCs w:val="1"/>
          <w:noProof w:val="0"/>
          <w:lang w:val="en-GB"/>
        </w:rPr>
        <w:t>25</w:t>
      </w:r>
      <w:r w:rsidRPr="4A06368B" w:rsidR="3D9BA6F5">
        <w:rPr>
          <w:noProof w:val="0"/>
          <w:lang w:val="en-GB"/>
        </w:rPr>
        <w:t xml:space="preserve">(4), 431–444. </w:t>
      </w:r>
      <w:hyperlink r:id="Rb761d68fa6e1485d">
        <w:r w:rsidRPr="4A06368B" w:rsidR="3D9BA6F5">
          <w:rPr>
            <w:rStyle w:val="Hyperlink"/>
            <w:noProof w:val="0"/>
            <w:lang w:val="en-GB"/>
          </w:rPr>
          <w:t>http://www.jstor.org/stable/4128669</w:t>
        </w:r>
      </w:hyperlink>
    </w:p>
    <w:p w:rsidR="426392E1" w:rsidP="4A06368B" w:rsidRDefault="426392E1" w14:paraId="05335341" w14:textId="2C27918B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lang w:val="en-GB"/>
        </w:rPr>
      </w:pPr>
      <w:r w:rsidRPr="4A06368B" w:rsidR="426392E1">
        <w:rPr>
          <w:noProof w:val="0"/>
          <w:lang w:val="en-GB"/>
        </w:rPr>
        <w:t xml:space="preserve">Reay, D. (2004). “It’s All Becoming a Habitus”: Beyond the Habitual Use of Habitus in Educational Research. </w:t>
      </w:r>
      <w:r w:rsidRPr="4A06368B" w:rsidR="426392E1">
        <w:rPr>
          <w:i w:val="1"/>
          <w:iCs w:val="1"/>
          <w:noProof w:val="0"/>
          <w:lang w:val="en-GB"/>
        </w:rPr>
        <w:t>British Journal of Sociology of Education</w:t>
      </w:r>
      <w:r w:rsidRPr="4A06368B" w:rsidR="426392E1">
        <w:rPr>
          <w:noProof w:val="0"/>
          <w:lang w:val="en-GB"/>
        </w:rPr>
        <w:t xml:space="preserve">, </w:t>
      </w:r>
      <w:r w:rsidRPr="4A06368B" w:rsidR="426392E1">
        <w:rPr>
          <w:i w:val="1"/>
          <w:iCs w:val="1"/>
          <w:noProof w:val="0"/>
          <w:lang w:val="en-GB"/>
        </w:rPr>
        <w:t>25</w:t>
      </w:r>
      <w:r w:rsidRPr="4A06368B" w:rsidR="426392E1">
        <w:rPr>
          <w:noProof w:val="0"/>
          <w:lang w:val="en-GB"/>
        </w:rPr>
        <w:t xml:space="preserve">(4), 431–444. </w:t>
      </w:r>
      <w:hyperlink r:id="Rbfbdf4b8da75422c">
        <w:r w:rsidRPr="4A06368B" w:rsidR="426392E1">
          <w:rPr>
            <w:rStyle w:val="Hyperlink"/>
            <w:noProof w:val="0"/>
            <w:lang w:val="en-GB"/>
          </w:rPr>
          <w:t>http://www.jstor.org/stable/4128669</w:t>
        </w:r>
      </w:hyperlink>
    </w:p>
    <w:p w:rsidR="4A06368B" w:rsidP="4A06368B" w:rsidRDefault="4A06368B" w14:paraId="27479BFF" w14:textId="1C683FA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</w:p>
    <w:p w:rsidR="70D23EBE" w:rsidP="70D23EBE" w:rsidRDefault="70D23EBE" w14:paraId="424A729F" w14:textId="1FE7C3A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70D23EBE" w:rsidRDefault="70D23EBE" w14:paraId="72FCC421" w14:textId="7C074205">
      <w:pPr>
        <w:spacing w:after="0" w:line="240" w:lineRule="auto"/>
      </w:pPr>
      <w:r>
        <w:separator/>
      </w:r>
    </w:p>
  </w:footnote>
  <w:footnote w:type="continuationSeparator" w:id="0">
    <w:p w:rsidR="70D23EBE" w:rsidRDefault="70D23EBE" w14:paraId="0DD01305" w14:textId="215FB7F5">
      <w:pPr>
        <w:spacing w:after="0" w:line="240" w:lineRule="auto"/>
      </w:pPr>
      <w:r>
        <w:continuationSeparator/>
      </w:r>
    </w:p>
  </w:footnote>
  <w:footnote w:id="7872">
    <w:p w:rsidR="70D23EBE" w:rsidP="70D23EBE" w:rsidRDefault="70D23EBE" w14:paraId="16E0E66F" w14:textId="2C57C12E">
      <w:pPr>
        <w:pStyle w:val="FootnoteText"/>
        <w:bidi w:val="0"/>
      </w:pPr>
      <w:r w:rsidRPr="70D23EBE">
        <w:rPr>
          <w:rStyle w:val="FootnoteReference"/>
        </w:rPr>
        <w:footnoteRef/>
      </w:r>
      <w:r w:rsidR="70D23EBE">
        <w:rPr/>
        <w:t xml:space="preserve"> (King, 2000)</w:t>
      </w:r>
    </w:p>
  </w:footnote>
  <w:footnote w:id="23011">
    <w:p w:rsidR="70D23EBE" w:rsidP="70D23EBE" w:rsidRDefault="70D23EBE" w14:paraId="04FB94B5" w14:textId="407A9675">
      <w:pPr>
        <w:pStyle w:val="FootnoteText"/>
        <w:bidi w:val="0"/>
      </w:pPr>
      <w:r w:rsidRPr="70D23EBE">
        <w:rPr>
          <w:rStyle w:val="FootnoteReference"/>
        </w:rPr>
        <w:footnoteRef/>
      </w:r>
      <w:r w:rsidR="70D23EBE">
        <w:rPr/>
        <w:t xml:space="preserve"> (Bourdieu, 1977)</w:t>
      </w:r>
    </w:p>
  </w:footnote>
  <w:footnote w:id="11858">
    <w:p w:rsidR="70D23EBE" w:rsidP="70D23EBE" w:rsidRDefault="70D23EBE" w14:paraId="125278A9" w14:textId="38315F1E">
      <w:pPr>
        <w:pStyle w:val="FootnoteText"/>
        <w:bidi w:val="0"/>
      </w:pPr>
      <w:r w:rsidRPr="70D23EBE">
        <w:rPr>
          <w:rStyle w:val="FootnoteReference"/>
        </w:rPr>
        <w:footnoteRef/>
      </w:r>
      <w:r w:rsidR="70D23EBE">
        <w:rPr/>
        <w:t xml:space="preserve"> (King, 2000)</w:t>
      </w:r>
    </w:p>
  </w:footnote>
  <w:footnote w:id="27491">
    <w:p w:rsidR="70D23EBE" w:rsidP="70D23EBE" w:rsidRDefault="70D23EBE" w14:paraId="0FE7C9AD" w14:textId="568F7D1D">
      <w:pPr>
        <w:pStyle w:val="FootnoteText"/>
        <w:bidi w:val="0"/>
      </w:pPr>
      <w:r w:rsidRPr="70D23EBE">
        <w:rPr>
          <w:rStyle w:val="FootnoteReference"/>
        </w:rPr>
        <w:footnoteRef/>
      </w:r>
      <w:r w:rsidR="70D23EBE">
        <w:rPr/>
        <w:t xml:space="preserve"> (King, 2000)</w:t>
      </w:r>
    </w:p>
  </w:footnote>
  <w:footnote w:id="19769">
    <w:p w:rsidR="70D23EBE" w:rsidP="70D23EBE" w:rsidRDefault="70D23EBE" w14:paraId="11D06992" w14:textId="45467B46">
      <w:pPr>
        <w:pStyle w:val="FootnoteText"/>
        <w:bidi w:val="0"/>
      </w:pPr>
      <w:r w:rsidRPr="70D23EBE">
        <w:rPr>
          <w:rStyle w:val="FootnoteReference"/>
        </w:rPr>
        <w:footnoteRef/>
      </w:r>
      <w:r w:rsidR="70D23EBE">
        <w:rPr/>
        <w:t xml:space="preserve"> (King, 2000)</w:t>
      </w:r>
    </w:p>
  </w:footnote>
  <w:footnote w:id="28891">
    <w:p w:rsidR="4A06368B" w:rsidP="4A06368B" w:rsidRDefault="4A06368B" w14:paraId="3FF03329" w14:textId="7C37082D">
      <w:pPr>
        <w:pStyle w:val="FootnoteText"/>
        <w:bidi w:val="0"/>
      </w:pPr>
      <w:r w:rsidRPr="4A06368B">
        <w:rPr>
          <w:rStyle w:val="FootnoteReference"/>
        </w:rPr>
        <w:footnoteRef/>
      </w:r>
      <w:r w:rsidR="4A06368B">
        <w:rPr/>
        <w:t xml:space="preserve"> Sayer, A. (2004). The moral significance of class</w:t>
      </w:r>
    </w:p>
  </w:footnote>
  <w:footnote w:id="18950">
    <w:p w:rsidR="4A06368B" w:rsidP="4A06368B" w:rsidRDefault="4A06368B" w14:paraId="0F6B7635" w14:textId="6DCF7D8D">
      <w:pPr>
        <w:pStyle w:val="FootnoteText"/>
        <w:bidi w:val="0"/>
      </w:pPr>
      <w:r w:rsidRPr="4A06368B">
        <w:rPr>
          <w:rStyle w:val="FootnoteReference"/>
        </w:rPr>
        <w:footnoteRef/>
      </w:r>
      <w:r w:rsidR="4A06368B">
        <w:rPr/>
        <w:t xml:space="preserve"> (Bourdieu, 1993)</w:t>
      </w:r>
    </w:p>
  </w:footnote>
  <w:footnote w:id="25719">
    <w:p w:rsidR="4A06368B" w:rsidP="4A06368B" w:rsidRDefault="4A06368B" w14:paraId="509238C3" w14:textId="5C314583">
      <w:pPr>
        <w:pStyle w:val="FootnoteText"/>
        <w:bidi w:val="0"/>
      </w:pPr>
      <w:r w:rsidRPr="4A06368B">
        <w:rPr>
          <w:rStyle w:val="FootnoteReference"/>
        </w:rPr>
        <w:footnoteRef/>
      </w:r>
      <w:r w:rsidR="4A06368B">
        <w:rPr/>
        <w:t xml:space="preserve"> (Read, 2004)</w:t>
      </w:r>
    </w:p>
  </w:footnote>
  <w:footnote w:id="7755">
    <w:p w:rsidR="4A06368B" w:rsidP="4A06368B" w:rsidRDefault="4A06368B" w14:paraId="4975501C" w14:textId="78EF3060">
      <w:pPr>
        <w:pStyle w:val="FootnoteText"/>
        <w:bidi w:val="0"/>
      </w:pPr>
      <w:r w:rsidRPr="4A06368B">
        <w:rPr>
          <w:rStyle w:val="FootnoteReference"/>
        </w:rPr>
        <w:footnoteRef/>
      </w:r>
      <w:r w:rsidR="4A06368B">
        <w:rPr/>
        <w:t xml:space="preserve"> (Reay, 2004)</w:t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2G+nqdfzH6AM78" int2:id="33cXlp19">
      <int2:state int2:type="AugLoop_Text_Critique" int2:value="Rejected"/>
    </int2:textHash>
    <int2:textHash int2:hashCode="HZG3tJEmxaDU+f" int2:id="WRtEhRZx">
      <int2:state int2:type="AugLoop_Text_Critique" int2:value="Rejected"/>
    </int2:textHash>
    <int2:textHash int2:hashCode="qKxZ5X7kl6DcoD" int2:id="OeG40jSQ">
      <int2:state int2:type="AugLoop_Text_Critique" int2:value="Rejected"/>
    </int2:textHash>
    <int2:textHash int2:hashCode="F7lr3GrZJbafpx" int2:id="Kabxe91M">
      <int2:state int2:type="AugLoop_Text_Critique" int2:value="Rejected"/>
    </int2:textHash>
    <int2:textHash int2:hashCode="CCVqDROPKd70/0" int2:id="gsJMFxy2">
      <int2:state int2:type="AugLoop_Text_Critique" int2:value="Rejected"/>
    </int2:textHash>
    <int2:bookmark int2:bookmarkName="_Int_gtEqcA2L" int2:invalidationBookmarkName="" int2:hashCode="OeQggqyRsj4QSV" int2:id="fwIQDcVS">
      <int2:state int2:type="AugLoop_Text_Critique" int2:value="Rejected"/>
    </int2:bookmark>
    <int2:bookmark int2:bookmarkName="_Int_6qacnORb" int2:invalidationBookmarkName="" int2:hashCode="e+pKQR+2dus0su" int2:id="6R81k5M7">
      <int2:state int2:type="AugLoop_Text_Critique" int2:value="Rejected"/>
    </int2:bookmark>
    <int2:bookmark int2:bookmarkName="_Int_jn88QglR" int2:invalidationBookmarkName="" int2:hashCode="5T1amwsb80hkwW" int2:id="DTHzgQKW">
      <int2:state int2:type="AugLoop_Text_Critique" int2:value="Rejected"/>
    </int2:bookmark>
    <int2:bookmark int2:bookmarkName="_Int_nVdT01v0" int2:invalidationBookmarkName="" int2:hashCode="V9CnXcV+ZGgRNM" int2:id="bnGkfs8p">
      <int2:state int2:type="AugLoop_Text_Critique" int2:value="Rejected"/>
    </int2:bookmark>
    <int2:bookmark int2:bookmarkName="_Int_6PflBhLG" int2:invalidationBookmarkName="" int2:hashCode="XeRRONT/oM18Uo" int2:id="OSG5Pkxi">
      <int2:state int2:type="AugLoop_Text_Critique" int2:value="Rejected"/>
    </int2:bookmark>
    <int2:bookmark int2:bookmarkName="_Int_muLzCpZX" int2:invalidationBookmarkName="" int2:hashCode="jcwjVUf+yn5I4O" int2:id="kSiPp4At">
      <int2:state int2:type="AugLoop_Text_Critique" int2:value="Rejected"/>
    </int2:bookmark>
    <int2:bookmark int2:bookmarkName="_Int_II1HdGlX" int2:invalidationBookmarkName="" int2:hashCode="PRVBBJA3i6gnfK" int2:id="8whWeoWF">
      <int2:state int2:type="AugLoop_Text_Critique" int2:value="Rejected"/>
    </int2:bookmark>
    <int2:bookmark int2:bookmarkName="_Int_Y9FEie2i" int2:invalidationBookmarkName="" int2:hashCode="Pn4RRSqe245Gm/" int2:id="OIbuj3P3">
      <int2:state int2:type="AugLoop_Text_Critique" int2:value="Rejected"/>
    </int2:bookmark>
    <int2:bookmark int2:bookmarkName="_Int_4TI7DsD4" int2:invalidationBookmarkName="" int2:hashCode="b39xLERzutWd+F" int2:id="GlR5tTm4">
      <int2:state int2:type="AugLoop_Text_Critique" int2:value="Rejected"/>
    </int2:bookmark>
    <int2:bookmark int2:bookmarkName="_Int_AT7cK4Kr" int2:invalidationBookmarkName="" int2:hashCode="raJL3H++7s0IPH" int2:id="NVfJ3v38">
      <int2:state int2:type="AugLoop_Text_Critique" int2:value="Rejected"/>
    </int2:bookmark>
    <int2:bookmark int2:bookmarkName="_Int_Dm0xC2K5" int2:invalidationBookmarkName="" int2:hashCode="raJL3H++7s0IPH" int2:id="U2dYiamX">
      <int2:state int2:type="AugLoop_Text_Critique" int2:value="Rejected"/>
    </int2:bookmark>
    <int2:bookmark int2:bookmarkName="_Int_qPtVneWb" int2:invalidationBookmarkName="" int2:hashCode="PeUh02GRVekij4" int2:id="GT98RmAw">
      <int2:state int2:type="AugLoop_Text_Critique" int2:value="Rejected"/>
    </int2:bookmark>
    <int2:bookmark int2:bookmarkName="_Int_DPtaU3l4" int2:invalidationBookmarkName="" int2:hashCode="RoHRJMxsS3O6q/" int2:id="GXnANwtD">
      <int2:state int2:type="AugLoop_Text_Critique" int2:value="Rejected"/>
    </int2:bookmark>
    <int2:bookmark int2:bookmarkName="_Int_N68g9bGV" int2:invalidationBookmarkName="" int2:hashCode="MxA9B8ikjD3HFe" int2:id="SODKlbuD">
      <int2:state int2:type="AugLoop_Text_Critique" int2:value="Rejected"/>
    </int2:bookmark>
    <int2:bookmark int2:bookmarkName="_Int_ko3O9JXi" int2:invalidationBookmarkName="" int2:hashCode="wYdbuHqlG0Zsd9" int2:id="G7nvP7gV">
      <int2:state int2:type="WordDesignerPullQuotesAnnotation" int2:value="Reviewed"/>
    </int2:bookmark>
    <int2:bookmark int2:bookmarkName="_Int_PhoEhbpf" int2:invalidationBookmarkName="" int2:hashCode="VF4KhOyfoxs0q+" int2:id="4XT0PH2Y">
      <int2:state int2:type="WordDesignerPullQuotesAnnotation" int2:value="Reviewed"/>
    </int2:bookmark>
    <int2:bookmark int2:bookmarkName="_Int_ywn1ohg6" int2:invalidationBookmarkName="" int2:hashCode="nT0tpFeHlwpmG7" int2:id="9QFVBWPV">
      <int2:state int2:type="AugLoop_Text_Critique" int2:value="Rejected"/>
    </int2:bookmark>
    <int2:bookmark int2:bookmarkName="_Int_P3JJATKc" int2:invalidationBookmarkName="" int2:hashCode="+Ioi5l/ZU98rVr" int2:id="9yM5Rnve">
      <int2:state int2:type="AugLoop_Text_Critique" int2:value="Rejected"/>
    </int2:bookmark>
    <int2:bookmark int2:bookmarkName="_Int_1Pgfy9x1" int2:invalidationBookmarkName="" int2:hashCode="xpEP0IlLrioxIZ" int2:id="p4rEp4Sx">
      <int2:state int2:type="AugLoop_Text_Critique" int2:value="Rejected"/>
    </int2:bookmark>
    <int2:bookmark int2:bookmarkName="_Int_4qpMMIuT" int2:invalidationBookmarkName="" int2:hashCode="aZdvyr+a1UZYJA" int2:id="2Z7xscPR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5b1045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7279f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a0e58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7DEB6D"/>
    <w:rsid w:val="00940C31"/>
    <w:rsid w:val="00B23DF9"/>
    <w:rsid w:val="010031EC"/>
    <w:rsid w:val="012024EC"/>
    <w:rsid w:val="012C1FF0"/>
    <w:rsid w:val="01AB02A6"/>
    <w:rsid w:val="02053BF5"/>
    <w:rsid w:val="02144E1B"/>
    <w:rsid w:val="0298154C"/>
    <w:rsid w:val="032E2CE9"/>
    <w:rsid w:val="0346D307"/>
    <w:rsid w:val="03924076"/>
    <w:rsid w:val="03F043E1"/>
    <w:rsid w:val="042797FB"/>
    <w:rsid w:val="0457C5AE"/>
    <w:rsid w:val="045D72E2"/>
    <w:rsid w:val="04674C87"/>
    <w:rsid w:val="04A7DB8B"/>
    <w:rsid w:val="04BC2087"/>
    <w:rsid w:val="04BE1C02"/>
    <w:rsid w:val="0585AF1C"/>
    <w:rsid w:val="05FA2F4F"/>
    <w:rsid w:val="06487613"/>
    <w:rsid w:val="07034DB5"/>
    <w:rsid w:val="07217F7D"/>
    <w:rsid w:val="078F6670"/>
    <w:rsid w:val="0832A716"/>
    <w:rsid w:val="087C6AFF"/>
    <w:rsid w:val="08FEABB0"/>
    <w:rsid w:val="091F5538"/>
    <w:rsid w:val="09BEC211"/>
    <w:rsid w:val="0A054E65"/>
    <w:rsid w:val="0A1CFDED"/>
    <w:rsid w:val="0A7AD01B"/>
    <w:rsid w:val="0A80DCFF"/>
    <w:rsid w:val="0B076933"/>
    <w:rsid w:val="0B3FDD34"/>
    <w:rsid w:val="0BAC1E3B"/>
    <w:rsid w:val="0BADB1EB"/>
    <w:rsid w:val="0BD90860"/>
    <w:rsid w:val="0BF510EE"/>
    <w:rsid w:val="0BFEFEA6"/>
    <w:rsid w:val="0C1BAAFD"/>
    <w:rsid w:val="0C41111A"/>
    <w:rsid w:val="0D225FE9"/>
    <w:rsid w:val="0D728F39"/>
    <w:rsid w:val="0D73A3E1"/>
    <w:rsid w:val="0D7DFDCA"/>
    <w:rsid w:val="0D9A5642"/>
    <w:rsid w:val="0DF50670"/>
    <w:rsid w:val="0E313DC6"/>
    <w:rsid w:val="0E81515D"/>
    <w:rsid w:val="0EEBAC83"/>
    <w:rsid w:val="0F347EE8"/>
    <w:rsid w:val="1090CA35"/>
    <w:rsid w:val="113E363C"/>
    <w:rsid w:val="1141F60F"/>
    <w:rsid w:val="1148B9B8"/>
    <w:rsid w:val="116F8661"/>
    <w:rsid w:val="11909606"/>
    <w:rsid w:val="119AA38F"/>
    <w:rsid w:val="11BBE4EF"/>
    <w:rsid w:val="11CCFDE6"/>
    <w:rsid w:val="12234D45"/>
    <w:rsid w:val="1246CF22"/>
    <w:rsid w:val="12DA069D"/>
    <w:rsid w:val="13AFC2F6"/>
    <w:rsid w:val="13BF1DA6"/>
    <w:rsid w:val="13FEEF55"/>
    <w:rsid w:val="1407F00B"/>
    <w:rsid w:val="14D97BD9"/>
    <w:rsid w:val="14F256D6"/>
    <w:rsid w:val="14F385B1"/>
    <w:rsid w:val="15530081"/>
    <w:rsid w:val="155F43F3"/>
    <w:rsid w:val="16E49F00"/>
    <w:rsid w:val="16EED0E2"/>
    <w:rsid w:val="173F90CD"/>
    <w:rsid w:val="177DEB6D"/>
    <w:rsid w:val="17A88C73"/>
    <w:rsid w:val="17AC09FE"/>
    <w:rsid w:val="17BCBE6E"/>
    <w:rsid w:val="18239113"/>
    <w:rsid w:val="186FF74D"/>
    <w:rsid w:val="188AA143"/>
    <w:rsid w:val="18ADCC7A"/>
    <w:rsid w:val="190E90D4"/>
    <w:rsid w:val="19C6F6D4"/>
    <w:rsid w:val="19D425DB"/>
    <w:rsid w:val="19E49B41"/>
    <w:rsid w:val="1A00D185"/>
    <w:rsid w:val="1A1CD9ED"/>
    <w:rsid w:val="1A2671A4"/>
    <w:rsid w:val="1A3F0D77"/>
    <w:rsid w:val="1A9DEBEC"/>
    <w:rsid w:val="1AE51882"/>
    <w:rsid w:val="1B2301DC"/>
    <w:rsid w:val="1B62C735"/>
    <w:rsid w:val="1B6FF63C"/>
    <w:rsid w:val="1B806BA2"/>
    <w:rsid w:val="1BC24205"/>
    <w:rsid w:val="1BCA2F8B"/>
    <w:rsid w:val="1C391B8D"/>
    <w:rsid w:val="1C4EDD68"/>
    <w:rsid w:val="1C83E776"/>
    <w:rsid w:val="1C951817"/>
    <w:rsid w:val="1CBA7501"/>
    <w:rsid w:val="1D0BC69D"/>
    <w:rsid w:val="1D65FFEC"/>
    <w:rsid w:val="1D83E7F9"/>
    <w:rsid w:val="1D876584"/>
    <w:rsid w:val="1DAED251"/>
    <w:rsid w:val="1E30E878"/>
    <w:rsid w:val="1E520C4B"/>
    <w:rsid w:val="1E78BB97"/>
    <w:rsid w:val="1E83DD86"/>
    <w:rsid w:val="1EAB0480"/>
    <w:rsid w:val="1EB64FF7"/>
    <w:rsid w:val="1EBFF9EA"/>
    <w:rsid w:val="1EC66D59"/>
    <w:rsid w:val="1ED68DB1"/>
    <w:rsid w:val="1EEC50DA"/>
    <w:rsid w:val="1F3A1D13"/>
    <w:rsid w:val="1FAD269B"/>
    <w:rsid w:val="1FDA7AE9"/>
    <w:rsid w:val="1FE6A3A6"/>
    <w:rsid w:val="1FEC387C"/>
    <w:rsid w:val="2009EAD7"/>
    <w:rsid w:val="20296338"/>
    <w:rsid w:val="20422885"/>
    <w:rsid w:val="205BCA4B"/>
    <w:rsid w:val="208B8146"/>
    <w:rsid w:val="2093243B"/>
    <w:rsid w:val="212C85BF"/>
    <w:rsid w:val="213A1323"/>
    <w:rsid w:val="215AD795"/>
    <w:rsid w:val="21A65CEC"/>
    <w:rsid w:val="21D9F63F"/>
    <w:rsid w:val="222EF49C"/>
    <w:rsid w:val="2239710F"/>
    <w:rsid w:val="22ACF835"/>
    <w:rsid w:val="22CADB57"/>
    <w:rsid w:val="22F05333"/>
    <w:rsid w:val="230C1E1F"/>
    <w:rsid w:val="2342946B"/>
    <w:rsid w:val="2375C6A0"/>
    <w:rsid w:val="238FC00C"/>
    <w:rsid w:val="23CD53EA"/>
    <w:rsid w:val="242D71D2"/>
    <w:rsid w:val="243FCDDD"/>
    <w:rsid w:val="24AFDC06"/>
    <w:rsid w:val="24DD5BFA"/>
    <w:rsid w:val="2502E5BC"/>
    <w:rsid w:val="25119701"/>
    <w:rsid w:val="251F68C8"/>
    <w:rsid w:val="252ED2FB"/>
    <w:rsid w:val="252F3B6E"/>
    <w:rsid w:val="255862CE"/>
    <w:rsid w:val="255E201A"/>
    <w:rsid w:val="2569244B"/>
    <w:rsid w:val="25CF63BC"/>
    <w:rsid w:val="265D24A7"/>
    <w:rsid w:val="26B62D6D"/>
    <w:rsid w:val="26CAA35C"/>
    <w:rsid w:val="26E38285"/>
    <w:rsid w:val="26F95060"/>
    <w:rsid w:val="270265BF"/>
    <w:rsid w:val="270AB818"/>
    <w:rsid w:val="2744B5F1"/>
    <w:rsid w:val="2745AAB5"/>
    <w:rsid w:val="280B4487"/>
    <w:rsid w:val="2816058E"/>
    <w:rsid w:val="2866DC30"/>
    <w:rsid w:val="28726CF8"/>
    <w:rsid w:val="28A8B293"/>
    <w:rsid w:val="293197DD"/>
    <w:rsid w:val="29490615"/>
    <w:rsid w:val="29B1D5EF"/>
    <w:rsid w:val="29D37523"/>
    <w:rsid w:val="2A7D4B77"/>
    <w:rsid w:val="2A8E5C10"/>
    <w:rsid w:val="2AB80A1A"/>
    <w:rsid w:val="2ACA8B54"/>
    <w:rsid w:val="2AD0DD91"/>
    <w:rsid w:val="2B59FBFD"/>
    <w:rsid w:val="2BEC96C7"/>
    <w:rsid w:val="2C6F75CF"/>
    <w:rsid w:val="2CC1F6E0"/>
    <w:rsid w:val="2D3A4D53"/>
    <w:rsid w:val="2D812E1C"/>
    <w:rsid w:val="2D987E1D"/>
    <w:rsid w:val="2DB4EC39"/>
    <w:rsid w:val="2DC9DADB"/>
    <w:rsid w:val="2DE6FA15"/>
    <w:rsid w:val="2DFC84FD"/>
    <w:rsid w:val="2E56BE4C"/>
    <w:rsid w:val="2EF0E523"/>
    <w:rsid w:val="2F100691"/>
    <w:rsid w:val="2F50BC9A"/>
    <w:rsid w:val="2F57C676"/>
    <w:rsid w:val="30033257"/>
    <w:rsid w:val="302238B5"/>
    <w:rsid w:val="309D2FB2"/>
    <w:rsid w:val="318E5F0E"/>
    <w:rsid w:val="31D73173"/>
    <w:rsid w:val="31FDEBD0"/>
    <w:rsid w:val="32885D5C"/>
    <w:rsid w:val="332A2F6F"/>
    <w:rsid w:val="3353E3EB"/>
    <w:rsid w:val="3358B835"/>
    <w:rsid w:val="34242DBD"/>
    <w:rsid w:val="34311ED5"/>
    <w:rsid w:val="344D9079"/>
    <w:rsid w:val="34825A64"/>
    <w:rsid w:val="34B3E068"/>
    <w:rsid w:val="35358C92"/>
    <w:rsid w:val="363AB5C2"/>
    <w:rsid w:val="364FB0C9"/>
    <w:rsid w:val="3666E4EA"/>
    <w:rsid w:val="36801290"/>
    <w:rsid w:val="36B437D7"/>
    <w:rsid w:val="3762B259"/>
    <w:rsid w:val="37F5B30C"/>
    <w:rsid w:val="37FDF140"/>
    <w:rsid w:val="380FFE93"/>
    <w:rsid w:val="38463330"/>
    <w:rsid w:val="38500838"/>
    <w:rsid w:val="3885C726"/>
    <w:rsid w:val="38C887B1"/>
    <w:rsid w:val="391D84B4"/>
    <w:rsid w:val="395F5E45"/>
    <w:rsid w:val="3991AC6F"/>
    <w:rsid w:val="39B9FBB3"/>
    <w:rsid w:val="39EBD899"/>
    <w:rsid w:val="39F2B7E1"/>
    <w:rsid w:val="3A219787"/>
    <w:rsid w:val="3A6B75E4"/>
    <w:rsid w:val="3A7B3F40"/>
    <w:rsid w:val="3A891F88"/>
    <w:rsid w:val="3AA2944F"/>
    <w:rsid w:val="3AF36AF1"/>
    <w:rsid w:val="3B064911"/>
    <w:rsid w:val="3B208172"/>
    <w:rsid w:val="3B27C5D3"/>
    <w:rsid w:val="3B2D53CE"/>
    <w:rsid w:val="3B7B3FC3"/>
    <w:rsid w:val="3B97BDC4"/>
    <w:rsid w:val="3BE6C608"/>
    <w:rsid w:val="3C1BF414"/>
    <w:rsid w:val="3C243381"/>
    <w:rsid w:val="3C6DAF9C"/>
    <w:rsid w:val="3C7F68AC"/>
    <w:rsid w:val="3C7FF134"/>
    <w:rsid w:val="3C8F3B52"/>
    <w:rsid w:val="3C988227"/>
    <w:rsid w:val="3CEC73CE"/>
    <w:rsid w:val="3CEEE180"/>
    <w:rsid w:val="3CF0C73A"/>
    <w:rsid w:val="3D23795B"/>
    <w:rsid w:val="3D716537"/>
    <w:rsid w:val="3D9BA6F5"/>
    <w:rsid w:val="3DC003E2"/>
    <w:rsid w:val="3E34F2EB"/>
    <w:rsid w:val="3E6CE216"/>
    <w:rsid w:val="3EA96529"/>
    <w:rsid w:val="3EEF5870"/>
    <w:rsid w:val="3F12DCFE"/>
    <w:rsid w:val="3F19F9EA"/>
    <w:rsid w:val="3F99DE41"/>
    <w:rsid w:val="3FBEEAB1"/>
    <w:rsid w:val="4008B277"/>
    <w:rsid w:val="40528B93"/>
    <w:rsid w:val="405B1A1D"/>
    <w:rsid w:val="4152D9CF"/>
    <w:rsid w:val="415ABB12"/>
    <w:rsid w:val="418717D6"/>
    <w:rsid w:val="41F6EA7E"/>
    <w:rsid w:val="423A50B5"/>
    <w:rsid w:val="426392E1"/>
    <w:rsid w:val="42FE7CD6"/>
    <w:rsid w:val="433865B3"/>
    <w:rsid w:val="4392BADF"/>
    <w:rsid w:val="43A15E25"/>
    <w:rsid w:val="442C660F"/>
    <w:rsid w:val="447CA8CA"/>
    <w:rsid w:val="448A7A91"/>
    <w:rsid w:val="449A4D37"/>
    <w:rsid w:val="4503F87B"/>
    <w:rsid w:val="454C827B"/>
    <w:rsid w:val="4585B925"/>
    <w:rsid w:val="45A341A2"/>
    <w:rsid w:val="462F3E66"/>
    <w:rsid w:val="466DC219"/>
    <w:rsid w:val="474ACA0D"/>
    <w:rsid w:val="47554A1D"/>
    <w:rsid w:val="4763BAD4"/>
    <w:rsid w:val="476406D1"/>
    <w:rsid w:val="4766E628"/>
    <w:rsid w:val="47A390E1"/>
    <w:rsid w:val="4809927A"/>
    <w:rsid w:val="48C1E31E"/>
    <w:rsid w:val="48FA259B"/>
    <w:rsid w:val="49110F7D"/>
    <w:rsid w:val="491CE7B8"/>
    <w:rsid w:val="4925C230"/>
    <w:rsid w:val="4965AEEF"/>
    <w:rsid w:val="4965D93A"/>
    <w:rsid w:val="49EBCB21"/>
    <w:rsid w:val="4A05E280"/>
    <w:rsid w:val="4A06368B"/>
    <w:rsid w:val="4A371F30"/>
    <w:rsid w:val="4A3F909F"/>
    <w:rsid w:val="4A4EAC6E"/>
    <w:rsid w:val="4AB8B819"/>
    <w:rsid w:val="4ABB5152"/>
    <w:rsid w:val="4B098EBB"/>
    <w:rsid w:val="4B4B651E"/>
    <w:rsid w:val="4C4F2A29"/>
    <w:rsid w:val="4CF5C63C"/>
    <w:rsid w:val="4D944D53"/>
    <w:rsid w:val="4DB7ECAF"/>
    <w:rsid w:val="4DBA0B91"/>
    <w:rsid w:val="4DD34855"/>
    <w:rsid w:val="4DEAFA8A"/>
    <w:rsid w:val="4E10A2C9"/>
    <w:rsid w:val="4E394A5D"/>
    <w:rsid w:val="4E8305E0"/>
    <w:rsid w:val="4E8354E5"/>
    <w:rsid w:val="4EB4CD52"/>
    <w:rsid w:val="4F0BF76D"/>
    <w:rsid w:val="4F1D50CD"/>
    <w:rsid w:val="4F6F18B6"/>
    <w:rsid w:val="500AB84A"/>
    <w:rsid w:val="5019103A"/>
    <w:rsid w:val="50526185"/>
    <w:rsid w:val="50708316"/>
    <w:rsid w:val="50864819"/>
    <w:rsid w:val="514B0A88"/>
    <w:rsid w:val="520FE8C1"/>
    <w:rsid w:val="52361B4E"/>
    <w:rsid w:val="5254A827"/>
    <w:rsid w:val="52CB5066"/>
    <w:rsid w:val="52CBB784"/>
    <w:rsid w:val="5353E816"/>
    <w:rsid w:val="5388A0E7"/>
    <w:rsid w:val="53972D0C"/>
    <w:rsid w:val="53973C07"/>
    <w:rsid w:val="539AB992"/>
    <w:rsid w:val="53B6C220"/>
    <w:rsid w:val="53D1EBAF"/>
    <w:rsid w:val="53FEB80B"/>
    <w:rsid w:val="544289D9"/>
    <w:rsid w:val="546787E5"/>
    <w:rsid w:val="549F362A"/>
    <w:rsid w:val="54A88BE1"/>
    <w:rsid w:val="54C23643"/>
    <w:rsid w:val="54DA9D98"/>
    <w:rsid w:val="54F24764"/>
    <w:rsid w:val="556DBC10"/>
    <w:rsid w:val="559A886C"/>
    <w:rsid w:val="55C4F15E"/>
    <w:rsid w:val="562DBD0B"/>
    <w:rsid w:val="5650EF2F"/>
    <w:rsid w:val="5662EB17"/>
    <w:rsid w:val="5663D442"/>
    <w:rsid w:val="56766DF9"/>
    <w:rsid w:val="568E17C5"/>
    <w:rsid w:val="56DFDE67"/>
    <w:rsid w:val="57098C71"/>
    <w:rsid w:val="570FA358"/>
    <w:rsid w:val="572D9FF7"/>
    <w:rsid w:val="57336AD1"/>
    <w:rsid w:val="577A2A9B"/>
    <w:rsid w:val="579EC189"/>
    <w:rsid w:val="57E02CA3"/>
    <w:rsid w:val="58103FC0"/>
    <w:rsid w:val="590724CC"/>
    <w:rsid w:val="5917D93C"/>
    <w:rsid w:val="593AF908"/>
    <w:rsid w:val="59B19A90"/>
    <w:rsid w:val="59BBA250"/>
    <w:rsid w:val="59CB121B"/>
    <w:rsid w:val="5A066E90"/>
    <w:rsid w:val="5A177F29"/>
    <w:rsid w:val="5A45E7F8"/>
    <w:rsid w:val="5A6DF98F"/>
    <w:rsid w:val="5A8FD9F1"/>
    <w:rsid w:val="5AD6C969"/>
    <w:rsid w:val="5ADB006E"/>
    <w:rsid w:val="5B0E0F3B"/>
    <w:rsid w:val="5B17CD65"/>
    <w:rsid w:val="5B28CCA7"/>
    <w:rsid w:val="5B36ACEF"/>
    <w:rsid w:val="5B4D6AF1"/>
    <w:rsid w:val="5BB34F8A"/>
    <w:rsid w:val="5BB9DCDE"/>
    <w:rsid w:val="5C7299CA"/>
    <w:rsid w:val="5C81C5D5"/>
    <w:rsid w:val="5CB39DC6"/>
    <w:rsid w:val="5CC83A03"/>
    <w:rsid w:val="5CC9817B"/>
    <w:rsid w:val="5CE93B52"/>
    <w:rsid w:val="5D460F8E"/>
    <w:rsid w:val="5D7CA31E"/>
    <w:rsid w:val="5D91360B"/>
    <w:rsid w:val="5DDF0244"/>
    <w:rsid w:val="5E4F6E27"/>
    <w:rsid w:val="5E8B88D7"/>
    <w:rsid w:val="5EC406B5"/>
    <w:rsid w:val="5ED9DFB3"/>
    <w:rsid w:val="5EDF02C7"/>
    <w:rsid w:val="5F4906E5"/>
    <w:rsid w:val="5F8D2A06"/>
    <w:rsid w:val="6020DC14"/>
    <w:rsid w:val="6049ED5C"/>
    <w:rsid w:val="604A6BF8"/>
    <w:rsid w:val="604F3ABB"/>
    <w:rsid w:val="612D0BC1"/>
    <w:rsid w:val="6198B5EF"/>
    <w:rsid w:val="61FBA777"/>
    <w:rsid w:val="626D1EBA"/>
    <w:rsid w:val="6276AF29"/>
    <w:rsid w:val="63F7F411"/>
    <w:rsid w:val="64BEAFAB"/>
    <w:rsid w:val="64F44D37"/>
    <w:rsid w:val="65492137"/>
    <w:rsid w:val="6557DF27"/>
    <w:rsid w:val="659AE8AB"/>
    <w:rsid w:val="65BF0FBE"/>
    <w:rsid w:val="65FC6B8A"/>
    <w:rsid w:val="665A800C"/>
    <w:rsid w:val="668B1332"/>
    <w:rsid w:val="668F05A1"/>
    <w:rsid w:val="66B083C0"/>
    <w:rsid w:val="66D9E577"/>
    <w:rsid w:val="66F3AF88"/>
    <w:rsid w:val="67086747"/>
    <w:rsid w:val="672F33F0"/>
    <w:rsid w:val="67C73E34"/>
    <w:rsid w:val="67DB77A0"/>
    <w:rsid w:val="6811483B"/>
    <w:rsid w:val="6833DB7F"/>
    <w:rsid w:val="6875B5D8"/>
    <w:rsid w:val="68D0EB03"/>
    <w:rsid w:val="68DD4E15"/>
    <w:rsid w:val="6948A3DC"/>
    <w:rsid w:val="695AA2CB"/>
    <w:rsid w:val="6A595713"/>
    <w:rsid w:val="6AC86703"/>
    <w:rsid w:val="6B478386"/>
    <w:rsid w:val="6BEF2304"/>
    <w:rsid w:val="6C0DF69A"/>
    <w:rsid w:val="6C74D281"/>
    <w:rsid w:val="6CAC9C74"/>
    <w:rsid w:val="6D4926FB"/>
    <w:rsid w:val="6E49B94F"/>
    <w:rsid w:val="6E950D5E"/>
    <w:rsid w:val="6EDA2A7F"/>
    <w:rsid w:val="6EE4F75C"/>
    <w:rsid w:val="6F4214E3"/>
    <w:rsid w:val="6FA34DD0"/>
    <w:rsid w:val="6FA611BA"/>
    <w:rsid w:val="70003F8F"/>
    <w:rsid w:val="702F668B"/>
    <w:rsid w:val="707DE866"/>
    <w:rsid w:val="7080C7BD"/>
    <w:rsid w:val="708C8491"/>
    <w:rsid w:val="70D23EBE"/>
    <w:rsid w:val="713F1E31"/>
    <w:rsid w:val="71A3082F"/>
    <w:rsid w:val="71C3BB75"/>
    <w:rsid w:val="721DA0F0"/>
    <w:rsid w:val="7250D325"/>
    <w:rsid w:val="726E0F1F"/>
    <w:rsid w:val="72748CFE"/>
    <w:rsid w:val="72C188CC"/>
    <w:rsid w:val="72DAEE92"/>
    <w:rsid w:val="72FFA9D8"/>
    <w:rsid w:val="731BDDF8"/>
    <w:rsid w:val="73768E26"/>
    <w:rsid w:val="73B8687F"/>
    <w:rsid w:val="74BBAB18"/>
    <w:rsid w:val="7521F771"/>
    <w:rsid w:val="75221F13"/>
    <w:rsid w:val="7526B8EC"/>
    <w:rsid w:val="752AC29B"/>
    <w:rsid w:val="75A5AFE1"/>
    <w:rsid w:val="75AFB403"/>
    <w:rsid w:val="75B8617F"/>
    <w:rsid w:val="75DD7244"/>
    <w:rsid w:val="76AE2EE8"/>
    <w:rsid w:val="76D3ED26"/>
    <w:rsid w:val="77AE5FB5"/>
    <w:rsid w:val="77BD30BF"/>
    <w:rsid w:val="77F3EBDC"/>
    <w:rsid w:val="77F4EB9E"/>
    <w:rsid w:val="78261395"/>
    <w:rsid w:val="782C4F80"/>
    <w:rsid w:val="783ADEAC"/>
    <w:rsid w:val="7849FF49"/>
    <w:rsid w:val="785E59AE"/>
    <w:rsid w:val="78DB2362"/>
    <w:rsid w:val="78EE5111"/>
    <w:rsid w:val="79B7F851"/>
    <w:rsid w:val="7A1CDD26"/>
    <w:rsid w:val="7A1F909D"/>
    <w:rsid w:val="7A24CAAC"/>
    <w:rsid w:val="7A5BE50A"/>
    <w:rsid w:val="7A792104"/>
    <w:rsid w:val="7AB0E367"/>
    <w:rsid w:val="7B8B8E25"/>
    <w:rsid w:val="7B95FA70"/>
    <w:rsid w:val="7BA15000"/>
    <w:rsid w:val="7BDE8D0E"/>
    <w:rsid w:val="7BDECCD5"/>
    <w:rsid w:val="7BE43A56"/>
    <w:rsid w:val="7BEF3168"/>
    <w:rsid w:val="7C14F165"/>
    <w:rsid w:val="7C17F8D3"/>
    <w:rsid w:val="7C317EE7"/>
    <w:rsid w:val="7C58AECC"/>
    <w:rsid w:val="7C5C3AA1"/>
    <w:rsid w:val="7CF783BD"/>
    <w:rsid w:val="7D432EAA"/>
    <w:rsid w:val="7D7A9D36"/>
    <w:rsid w:val="7D8B01C9"/>
    <w:rsid w:val="7DB0C1C6"/>
    <w:rsid w:val="7DF47F2D"/>
    <w:rsid w:val="7E06952A"/>
    <w:rsid w:val="7EB1A77A"/>
    <w:rsid w:val="7EDEFF0B"/>
    <w:rsid w:val="7F1CD2BD"/>
    <w:rsid w:val="7F84548A"/>
    <w:rsid w:val="7F904F8E"/>
    <w:rsid w:val="7F949B1D"/>
    <w:rsid w:val="7F9B146F"/>
    <w:rsid w:val="7FC6688B"/>
    <w:rsid w:val="7FE1DFAE"/>
    <w:rsid w:val="7FE8AF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7DEB6D"/>
  <w15:chartTrackingRefBased/>
  <w15:docId w15:val="{AC28EF13-0410-4DA8-88A2-D8BDB0EC99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65D24A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265D24A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65D24A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65D24A7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65D24A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65D24A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65D24A7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65D24A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65D24A7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65D24A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265D24A7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265D24A7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265D24A7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265D24A7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265D24A7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265D24A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265D24A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265D24A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265D24A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265D24A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265D24A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265D24A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265D24A7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265D24A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265D24A7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265D24A7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265D24A7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65D24A7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265D24A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65D24A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65D24A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65D24A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65D24A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65D24A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65D24A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65D24A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65D24A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65D24A7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65D24A7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265D24A7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265D24A7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65D24A7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65D24A7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265D24A7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265D24A7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82ac699889c46c3" /><Relationship Type="http://schemas.openxmlformats.org/officeDocument/2006/relationships/footnotes" Target="footnotes.xml" Id="R54cbb3ef114c4d9c" /><Relationship Type="http://schemas.openxmlformats.org/officeDocument/2006/relationships/numbering" Target="numbering.xml" Id="R3e9b1886a24a4bfa" /><Relationship Type="http://schemas.openxmlformats.org/officeDocument/2006/relationships/hyperlink" Target="http://www.jstor.org/stable/223327" TargetMode="External" Id="Rc3e6c7ae82cd41ec" /><Relationship Type="http://schemas.openxmlformats.org/officeDocument/2006/relationships/hyperlink" Target="http://www.jstor.org/stable/223327" TargetMode="External" Id="R1ebf85dd205d4e85" /><Relationship Type="http://schemas.openxmlformats.org/officeDocument/2006/relationships/hyperlink" Target="http://www.jstor.org/stable/223327" TargetMode="External" Id="Re68d52c6ecb44b96" /><Relationship Type="http://schemas.openxmlformats.org/officeDocument/2006/relationships/hyperlink" Target="http://www.jstor.org/stable/223327" TargetMode="External" Id="R6ef1598177f14215" /><Relationship Type="http://schemas.openxmlformats.org/officeDocument/2006/relationships/hyperlink" Target="http://www.jstor.org/stable/4128669" TargetMode="External" Id="Rb761d68fa6e1485d" /><Relationship Type="http://schemas.openxmlformats.org/officeDocument/2006/relationships/hyperlink" Target="http://www.jstor.org/stable/4128669" TargetMode="External" Id="Rbfbdf4b8da75422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2023-12-10T20:56:01.2496681Z</dcterms:created>
  <dcterms:modified xsi:type="dcterms:W3CDTF">2024-01-08T20:23:03.6652532Z</dcterms:modified>
  <dc:creator>Alex Mackay (2204888)</dc:creator>
  <lastModifiedBy>Alex Mackay (2204888)</lastModifiedBy>
</coreProperties>
</file>