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ptos" w:cs="Aptos" w:eastAsia="Aptos" w:hAnsi="Aptos"/>
        </w:rPr>
      </w:pPr>
      <w:r w:rsidDel="00000000" w:rsidR="00000000" w:rsidRPr="00000000">
        <w:rPr>
          <w:rFonts w:ascii="Aptos" w:cs="Aptos" w:eastAsia="Aptos" w:hAnsi="Aptos"/>
        </w:rPr>
        <w:drawing>
          <wp:inline distB="0" distT="0" distL="0" distR="0">
            <wp:extent cx="3345180" cy="1343660"/>
            <wp:effectExtent b="0" l="0" r="0" t="0"/>
            <wp:docPr descr="UWTSD logo | Discover Dylan Thomas" id="4" name="image2.jpg"/>
            <a:graphic>
              <a:graphicData uri="http://schemas.openxmlformats.org/drawingml/2006/picture">
                <pic:pic>
                  <pic:nvPicPr>
                    <pic:cNvPr descr="UWTSD logo | Discover Dylan Thomas" id="0" name="image2.jpg"/>
                    <pic:cNvPicPr preferRelativeResize="0"/>
                  </pic:nvPicPr>
                  <pic:blipFill>
                    <a:blip r:embed="rId6"/>
                    <a:srcRect b="0" l="0" r="0" t="0"/>
                    <a:stretch>
                      <a:fillRect/>
                    </a:stretch>
                  </pic:blipFill>
                  <pic:spPr>
                    <a:xfrm>
                      <a:off x="0" y="0"/>
                      <a:ext cx="3345180" cy="13436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rFonts w:ascii="Times New Roman" w:cs="Times New Roman" w:eastAsia="Times New Roman" w:hAnsi="Times New Roman"/>
          <w:b w:val="1"/>
          <w:bCs w:val="1"/>
        </w:rPr>
      </w:pPr>
      <w:r w:rsidDel="00000000" w:rsidR="00000000" w:rsidRPr="00000000">
        <w:rPr>
          <w:rFonts w:ascii="Aptos" w:cs="Aptos" w:eastAsia="Aptos" w:hAnsi="Aptos"/>
          <w:rtl w:val="0"/>
        </w:rPr>
        <w:t xml:space="preserve">     </w:t>
      </w: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bCs w:val="1"/>
          <w:color w:val="1d2125"/>
          <w:sz w:val="36"/>
          <w:szCs w:val="36"/>
        </w:rPr>
      </w:pPr>
      <w:r w:rsidDel="00000000" w:rsidR="00000000" w:rsidRPr="00000000">
        <w:rPr>
          <w:rFonts w:ascii="Quattrocento Sans" w:cs="Quattrocento Sans" w:eastAsia="Quattrocento Sans" w:hAnsi="Quattrocento Sans"/>
          <w:b w:val="1"/>
          <w:bCs w:val="1"/>
          <w:color w:val="1d2125"/>
          <w:sz w:val="36"/>
          <w:szCs w:val="36"/>
          <w:highlight w:val="white"/>
          <w:rtl w:val="0"/>
        </w:rPr>
        <w:t xml:space="preserve">Changemakers: Creativity and Value Creation</w:t>
      </w: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b w:val="1"/>
          <w:bCs w:val="1"/>
          <w:color w:val="1d2125"/>
          <w:sz w:val="36"/>
          <w:szCs w:val="36"/>
        </w:rPr>
      </w:pPr>
      <w:r w:rsidDel="00000000" w:rsidR="00000000" w:rsidRPr="00000000">
        <w:rPr>
          <w:rFonts w:ascii="Arial" w:cs="Arial" w:eastAsia="Arial" w:hAnsi="Arial"/>
          <w:b w:val="1"/>
          <w:bCs w:val="1"/>
          <w:color w:val="1d2125"/>
          <w:sz w:val="36"/>
          <w:szCs w:val="36"/>
          <w:rtl w:val="0"/>
        </w:rPr>
        <w:t xml:space="preserve">Professions (BMHP5014)</w:t>
      </w:r>
    </w:p>
    <w:p w:rsidR="00000000" w:rsidDel="00000000" w:rsidP="00000000" w:rsidRDefault="00000000" w:rsidRPr="00000000" w14:paraId="00000005">
      <w:pPr>
        <w:spacing w:line="360" w:lineRule="auto"/>
        <w:jc w:val="left"/>
        <w:rPr>
          <w:rFonts w:ascii="Arial" w:cs="Arial" w:eastAsia="Arial" w:hAnsi="Arial"/>
          <w:b w:val="1"/>
          <w:bCs w:val="1"/>
          <w:color w:val="1d2125"/>
          <w:sz w:val="36"/>
          <w:szCs w:val="36"/>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b w:val="1"/>
          <w:bCs w:val="1"/>
          <w:color w:val="1d2125"/>
          <w:sz w:val="32"/>
          <w:szCs w:val="32"/>
        </w:rPr>
      </w:pPr>
      <w:r w:rsidDel="00000000" w:rsidR="00000000" w:rsidRPr="00000000">
        <w:rPr>
          <w:rFonts w:ascii="Arial" w:cs="Arial" w:eastAsia="Arial" w:hAnsi="Arial"/>
          <w:b w:val="1"/>
          <w:bCs w:val="1"/>
          <w:sz w:val="32"/>
          <w:szCs w:val="32"/>
          <w:rtl w:val="0"/>
        </w:rPr>
        <w:t xml:space="preserve">Component 1:</w:t>
      </w:r>
      <w:r w:rsidDel="00000000" w:rsidR="00000000" w:rsidRPr="00000000">
        <w:rPr>
          <w:rFonts w:ascii="Aptos" w:cs="Aptos" w:eastAsia="Aptos" w:hAnsi="Aptos"/>
          <w:rtl w:val="0"/>
        </w:rPr>
        <w:t xml:space="preserve"> </w:t>
      </w:r>
      <w:r w:rsidDel="00000000" w:rsidR="00000000" w:rsidRPr="00000000">
        <w:rPr>
          <w:rFonts w:ascii="Arial" w:cs="Arial" w:eastAsia="Arial" w:hAnsi="Arial"/>
          <w:b w:val="1"/>
          <w:bCs w:val="1"/>
          <w:sz w:val="32"/>
          <w:szCs w:val="32"/>
          <w:rtl w:val="0"/>
        </w:rPr>
        <w:t xml:space="preserve">Online portfolio of set exercises</w:t>
      </w: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color w:val="1d2125"/>
          <w:sz w:val="32"/>
          <w:szCs w:val="32"/>
        </w:rPr>
      </w:pPr>
      <w:r w:rsidDel="00000000" w:rsidR="00000000" w:rsidRPr="00000000">
        <w:rPr>
          <w:rFonts w:ascii="Arial" w:cs="Arial" w:eastAsia="Arial" w:hAnsi="Arial"/>
          <w:b w:val="1"/>
          <w:bCs w:val="1"/>
          <w:color w:val="1d2125"/>
          <w:sz w:val="32"/>
          <w:szCs w:val="32"/>
          <w:rtl w:val="0"/>
        </w:rPr>
        <w:t xml:space="preserve">Student name:</w:t>
      </w:r>
      <w:r w:rsidDel="00000000" w:rsidR="00000000" w:rsidRPr="00000000">
        <w:rPr>
          <w:rFonts w:ascii="Arial" w:cs="Arial" w:eastAsia="Arial" w:hAnsi="Arial"/>
          <w:color w:val="1d2125"/>
          <w:sz w:val="32"/>
          <w:szCs w:val="32"/>
          <w:rtl w:val="0"/>
        </w:rPr>
        <w:t xml:space="preserve"> Momodou Lamin Demba</w:t>
      </w:r>
    </w:p>
    <w:p w:rsidR="00000000" w:rsidDel="00000000" w:rsidP="00000000" w:rsidRDefault="00000000" w:rsidRPr="00000000" w14:paraId="00000008">
      <w:pPr>
        <w:spacing w:line="360" w:lineRule="auto"/>
        <w:rPr>
          <w:rFonts w:ascii="Arial" w:cs="Arial" w:eastAsia="Arial" w:hAnsi="Arial"/>
          <w:color w:val="1d2125"/>
          <w:sz w:val="32"/>
          <w:szCs w:val="32"/>
        </w:rPr>
      </w:pPr>
      <w:r w:rsidDel="00000000" w:rsidR="00000000" w:rsidRPr="00000000">
        <w:rPr>
          <w:rFonts w:ascii="Arial" w:cs="Arial" w:eastAsia="Arial" w:hAnsi="Arial"/>
          <w:b w:val="1"/>
          <w:bCs w:val="1"/>
          <w:color w:val="1d2125"/>
          <w:sz w:val="32"/>
          <w:szCs w:val="32"/>
          <w:rtl w:val="0"/>
        </w:rPr>
        <w:t xml:space="preserve">Student number: </w:t>
      </w:r>
      <w:r w:rsidDel="00000000" w:rsidR="00000000" w:rsidRPr="00000000">
        <w:rPr>
          <w:rFonts w:ascii="Arial" w:cs="Arial" w:eastAsia="Arial" w:hAnsi="Arial"/>
          <w:color w:val="1d2125"/>
          <w:sz w:val="32"/>
          <w:szCs w:val="32"/>
          <w:rtl w:val="0"/>
        </w:rPr>
        <w:t xml:space="preserve">2415947</w:t>
      </w:r>
    </w:p>
    <w:p w:rsidR="00000000" w:rsidDel="00000000" w:rsidP="00000000" w:rsidRDefault="00000000" w:rsidRPr="00000000" w14:paraId="00000009">
      <w:pPr>
        <w:spacing w:line="360" w:lineRule="auto"/>
        <w:rPr>
          <w:rFonts w:ascii="Arial" w:cs="Arial" w:eastAsia="Arial" w:hAnsi="Arial"/>
          <w:sz w:val="36"/>
          <w:szCs w:val="36"/>
        </w:rPr>
        <w:sectPr>
          <w:pgSz w:h="15840" w:w="12240" w:orient="portrait"/>
          <w:pgMar w:bottom="1440" w:top="1440" w:left="1440" w:right="1440" w:header="720" w:footer="720"/>
          <w:pgNumType w:start="1"/>
        </w:sectPr>
      </w:pPr>
      <w:r w:rsidDel="00000000" w:rsidR="00000000" w:rsidRPr="00000000">
        <w:rPr>
          <w:rFonts w:ascii="Arial" w:cs="Arial" w:eastAsia="Arial" w:hAnsi="Arial"/>
          <w:b w:val="1"/>
          <w:bCs w:val="1"/>
          <w:color w:val="1d2125"/>
          <w:sz w:val="32"/>
          <w:szCs w:val="32"/>
          <w:rtl w:val="0"/>
        </w:rPr>
        <w:t xml:space="preserve">Lecturer’s name: </w:t>
      </w:r>
      <w:r w:rsidDel="00000000" w:rsidR="00000000" w:rsidRPr="00000000">
        <w:rPr>
          <w:rFonts w:ascii="Arial" w:cs="Arial" w:eastAsia="Arial" w:hAnsi="Arial"/>
          <w:color w:val="1d2125"/>
          <w:sz w:val="32"/>
          <w:szCs w:val="32"/>
          <w:rtl w:val="0"/>
        </w:rPr>
        <w:t xml:space="preserve">Caroline Salami</w:t>
      </w:r>
      <w:r w:rsidDel="00000000" w:rsidR="00000000" w:rsidRPr="00000000">
        <w:rPr>
          <w:rtl w:val="0"/>
        </w:rPr>
      </w:r>
    </w:p>
    <w:p w:rsidR="00000000" w:rsidDel="00000000" w:rsidP="00000000" w:rsidRDefault="00000000" w:rsidRPr="00000000" w14:paraId="0000000A">
      <w:pPr>
        <w:spacing w:after="280" w:before="280"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B">
      <w:pPr>
        <w:spacing w:after="280" w:before="28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f5496"/>
          <w:sz w:val="32"/>
          <w:szCs w:val="32"/>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Contents</w:t>
      </w:r>
    </w:p>
    <w:sdt>
      <w:sdtPr>
        <w:id w:val="-1126242479"/>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qkz1niprw6j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1: Defining Key Concepts in Practice</w:t>
            </w:r>
          </w:hyperlink>
          <w:hyperlink w:anchor="_qkz1niprw6j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8xxy9d4wzwtf">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2: Mind Map Explanation</w:t>
            </w:r>
          </w:hyperlink>
          <w:hyperlink w:anchor="_8xxy9d4wzwt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g2ytucvq6ee">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3: Self-Reflection on Group Activity</w:t>
            </w:r>
          </w:hyperlink>
          <w:hyperlink w:anchor="_ng2ytucvq6ee">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4046crmn8v7">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4: Case Study Analysis of a UK Innovation</w:t>
            </w:r>
          </w:hyperlink>
          <w:hyperlink w:anchor="_b4046crmn8v7">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o7pgjvnbpbo">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5: Research Task</w:t>
            </w:r>
          </w:hyperlink>
          <w:hyperlink w:anchor="_fo7pgjvnbpbo">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dfqcwn9v6rt1">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6: Digital Innovation in Health and Social Care</w:t>
            </w:r>
          </w:hyperlink>
          <w:hyperlink w:anchor="_dfqcwn9v6rt1">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rejkwtt4f0bv">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Task 7: NHS Leadership Framework</w:t>
            </w:r>
          </w:hyperlink>
          <w:hyperlink w:anchor="_rejkwtt4f0bv">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shm2h51ymrnb">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Part 1: Explanation and Importance</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w01imkr148s">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Part 2: Leadership Behaviour and Impact</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1sv1ny1p1y">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Reflection</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efvt0nhbmbsn">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Task 8: Self-Reflection Journal</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h1ksus8wgrv">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REFERENCE</w:t>
            </w:r>
          </w:hyperlink>
          <w:hyperlink w:anchor="_hh1ksus8wgrv">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pStyle w:val="Heading1"/>
        <w:rPr>
          <w:b w:val="1"/>
          <w:bCs w:val="1"/>
        </w:rPr>
      </w:pPr>
      <w:bookmarkStart w:colFirst="0" w:colLast="0" w:name="_pht9v88op59s" w:id="0"/>
      <w:bookmarkEnd w:id="0"/>
      <w:r w:rsidDel="00000000" w:rsidR="00000000" w:rsidRPr="00000000">
        <w:rPr>
          <w:rtl w:val="0"/>
        </w:rPr>
      </w:r>
    </w:p>
    <w:p w:rsidR="00000000" w:rsidDel="00000000" w:rsidP="00000000" w:rsidRDefault="00000000" w:rsidRPr="00000000" w14:paraId="0000002B">
      <w:pPr>
        <w:pStyle w:val="Heading1"/>
        <w:rPr>
          <w:b w:val="1"/>
          <w:bCs w:val="1"/>
        </w:rPr>
      </w:pPr>
      <w:bookmarkStart w:colFirst="0" w:colLast="0" w:name="_qkz1niprw6jr" w:id="1"/>
      <w:bookmarkEnd w:id="1"/>
      <w:r w:rsidDel="00000000" w:rsidR="00000000" w:rsidRPr="00000000">
        <w:rPr>
          <w:b w:val="1"/>
          <w:bCs w:val="1"/>
          <w:rtl w:val="0"/>
        </w:rPr>
        <w:t xml:space="preserve">Task 1: Defining Key Concepts in Practice </w:t>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health and social care, innovation refers to the use of new or improved processes, services or technologies that will result in improved patient outcomes and system efficiency. It extends to the practical implementation of ideas to make a difference. According to Rogers (2003), innovation spreads through organisations via stages of adoption, highlighting the importance of leadership and organisational culture in healthcare settings. Innovation contributes to combating systemic issues like a shortage of workforce and rising demand. NHS virtual wards are considered innovative because they provide the same level of care in hospitals at home, which takes pressure off the inpatient hospitals.</w:t>
      </w:r>
    </w:p>
    <w:p w:rsidR="00000000" w:rsidDel="00000000" w:rsidP="00000000" w:rsidRDefault="00000000" w:rsidRPr="00000000" w14:paraId="0000002D">
      <w:pPr>
        <w:keepNext w:val="1"/>
        <w:rPr>
          <w:rFonts w:ascii="Times New Roman" w:cs="Times New Roman" w:eastAsia="Times New Roman" w:hAnsi="Times New Roman"/>
        </w:rPr>
      </w:pPr>
      <w:r w:rsidDel="00000000" w:rsidR="00000000" w:rsidRPr="00000000">
        <w:rPr/>
        <mc:AlternateContent>
          <mc:Choice Requires="wpg">
            <w:drawing>
              <wp:inline distB="0" distT="0" distL="0" distR="0">
                <wp:extent cx="5486400" cy="3200400"/>
                <wp:effectExtent b="0" l="0" r="0" t="0"/>
                <wp:docPr id="2" name=""/>
                <a:graphic>
                  <a:graphicData uri="http://schemas.microsoft.com/office/word/2010/wordprocessingGroup">
                    <wpg:wgp>
                      <wpg:cNvGrpSpPr/>
                      <wpg:grpSpPr>
                        <a:xfrm>
                          <a:off x="0" y="0"/>
                          <a:ext cx="5486400" cy="3200400"/>
                          <a:chOff x="0" y="0"/>
                          <a:chExt cx="5486400" cy="3206775"/>
                        </a:xfrm>
                      </wpg:grpSpPr>
                      <wpg:grpSp>
                        <wpg:cNvGrpSpPr/>
                        <wpg:grpSpPr>
                          <a:xfrm>
                            <a:off x="0" y="0"/>
                            <a:ext cx="5486400" cy="3200400"/>
                            <a:chOff x="0" y="0"/>
                            <a:chExt cx="5486400" cy="3200400"/>
                          </a:xfrm>
                        </wpg:grpSpPr>
                        <wps:wsp>
                          <wps:cNvSpPr/>
                          <wps:cNvPr id="3" name="Shape 3"/>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1" name="Shape 21"/>
                          <wps:spPr>
                            <a:xfrm>
                              <a:off x="3242462" y="2176272"/>
                              <a:ext cx="1580997" cy="1024128"/>
                            </a:xfrm>
                            <a:prstGeom prst="roundRect">
                              <a:avLst>
                                <a:gd fmla="val 10000" name="adj"/>
                              </a:avLst>
                            </a:prstGeom>
                            <a:solidFill>
                              <a:schemeClr val="lt1">
                                <a:alpha val="90196"/>
                              </a:schemeClr>
                            </a:solidFill>
                            <a:ln cap="flat" cmpd="sng" w="12700">
                              <a:solidFill>
                                <a:srgbClr val="4372C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2" name="Shape 22"/>
                          <wps:spPr>
                            <a:xfrm>
                              <a:off x="3739258" y="2454800"/>
                              <a:ext cx="1061704" cy="723102"/>
                            </a:xfrm>
                            <a:prstGeom prst="rect">
                              <a:avLst/>
                            </a:prstGeom>
                            <a:noFill/>
                            <a:ln>
                              <a:noFill/>
                            </a:ln>
                          </wps:spPr>
                          <wps:txbx>
                            <w:txbxContent>
                              <w:p w:rsidR="00000000" w:rsidDel="00000000" w:rsidP="00000000" w:rsidRDefault="00000000" w:rsidRPr="00000000">
                                <w:pPr>
                                  <w:spacing w:after="0" w:before="0" w:line="215.9999942779541"/>
                                  <w:ind w:left="90" w:right="0" w:firstLine="9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Better outcomes at lower cost</w:t>
                                </w:r>
                              </w:p>
                            </w:txbxContent>
                          </wps:txbx>
                          <wps:bodyPr anchorCtr="0" anchor="t" bIns="49525" lIns="49525" spcFirstLastPara="1" rIns="49525" wrap="square" tIns="49525">
                            <a:noAutofit/>
                          </wps:bodyPr>
                        </wps:wsp>
                        <wps:wsp>
                          <wps:cNvSpPr/>
                          <wps:cNvPr id="23" name="Shape 23"/>
                          <wps:spPr>
                            <a:xfrm>
                              <a:off x="662939" y="2176272"/>
                              <a:ext cx="1580997" cy="1024128"/>
                            </a:xfrm>
                            <a:prstGeom prst="roundRect">
                              <a:avLst>
                                <a:gd fmla="val 10000" name="adj"/>
                              </a:avLst>
                            </a:prstGeom>
                            <a:solidFill>
                              <a:schemeClr val="lt1">
                                <a:alpha val="90196"/>
                              </a:schemeClr>
                            </a:solidFill>
                            <a:ln cap="flat" cmpd="sng" w="12700">
                              <a:solidFill>
                                <a:srgbClr val="4372C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4" name="Shape 24"/>
                          <wps:spPr>
                            <a:xfrm>
                              <a:off x="685436" y="2454800"/>
                              <a:ext cx="1061704" cy="723102"/>
                            </a:xfrm>
                            <a:prstGeom prst="rect">
                              <a:avLst/>
                            </a:prstGeom>
                            <a:noFill/>
                            <a:ln>
                              <a:noFill/>
                            </a:ln>
                          </wps:spPr>
                          <wps:txbx>
                            <w:txbxContent>
                              <w:p w:rsidR="00000000" w:rsidDel="00000000" w:rsidP="00000000" w:rsidRDefault="00000000" w:rsidRPr="00000000">
                                <w:pPr>
                                  <w:spacing w:after="0" w:before="0" w:line="215.9999942779541"/>
                                  <w:ind w:left="90" w:right="0" w:firstLine="9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Lewin’s model (Unfreeze–Change–Refreeze)</w:t>
                                </w:r>
                              </w:p>
                            </w:txbxContent>
                          </wps:txbx>
                          <wps:bodyPr anchorCtr="0" anchor="t" bIns="49525" lIns="49525" spcFirstLastPara="1" rIns="49525" wrap="square" tIns="49525">
                            <a:noAutofit/>
                          </wps:bodyPr>
                        </wps:wsp>
                        <wps:wsp>
                          <wps:cNvSpPr/>
                          <wps:cNvPr id="25" name="Shape 25"/>
                          <wps:spPr>
                            <a:xfrm>
                              <a:off x="3242462" y="0"/>
                              <a:ext cx="1580997" cy="1024128"/>
                            </a:xfrm>
                            <a:prstGeom prst="roundRect">
                              <a:avLst>
                                <a:gd fmla="val 10000" name="adj"/>
                              </a:avLst>
                            </a:prstGeom>
                            <a:solidFill>
                              <a:schemeClr val="lt1">
                                <a:alpha val="90196"/>
                              </a:schemeClr>
                            </a:solidFill>
                            <a:ln cap="flat" cmpd="sng" w="12700">
                              <a:solidFill>
                                <a:srgbClr val="4372C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6" name="Shape 26"/>
                          <wps:spPr>
                            <a:xfrm>
                              <a:off x="3739258" y="22497"/>
                              <a:ext cx="1061704" cy="723102"/>
                            </a:xfrm>
                            <a:prstGeom prst="rect">
                              <a:avLst/>
                            </a:prstGeom>
                            <a:noFill/>
                            <a:ln>
                              <a:noFill/>
                            </a:ln>
                          </wps:spPr>
                          <wps:txbx>
                            <w:txbxContent>
                              <w:p w:rsidR="00000000" w:rsidDel="00000000" w:rsidP="00000000" w:rsidRDefault="00000000" w:rsidRPr="00000000">
                                <w:pPr>
                                  <w:spacing w:after="0" w:before="0" w:line="215.9999942779541"/>
                                  <w:ind w:left="90" w:right="0" w:firstLine="9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Idea generation (Team problem-solving)</w:t>
                                </w:r>
                              </w:p>
                            </w:txbxContent>
                          </wps:txbx>
                          <wps:bodyPr anchorCtr="0" anchor="t" bIns="49525" lIns="49525" spcFirstLastPara="1" rIns="49525" wrap="square" tIns="49525">
                            <a:noAutofit/>
                          </wps:bodyPr>
                        </wps:wsp>
                        <wps:wsp>
                          <wps:cNvSpPr/>
                          <wps:cNvPr id="27" name="Shape 27"/>
                          <wps:spPr>
                            <a:xfrm>
                              <a:off x="662939" y="0"/>
                              <a:ext cx="1580997" cy="1024128"/>
                            </a:xfrm>
                            <a:prstGeom prst="roundRect">
                              <a:avLst>
                                <a:gd fmla="val 10000" name="adj"/>
                              </a:avLst>
                            </a:prstGeom>
                            <a:solidFill>
                              <a:schemeClr val="lt1">
                                <a:alpha val="90196"/>
                              </a:schemeClr>
                            </a:solidFill>
                            <a:ln cap="flat" cmpd="sng" w="12700">
                              <a:solidFill>
                                <a:srgbClr val="4372C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8" name="Shape 28"/>
                          <wps:spPr>
                            <a:xfrm>
                              <a:off x="685436" y="22497"/>
                              <a:ext cx="1061704" cy="723102"/>
                            </a:xfrm>
                            <a:prstGeom prst="rect">
                              <a:avLst/>
                            </a:prstGeom>
                            <a:noFill/>
                            <a:ln>
                              <a:noFill/>
                            </a:ln>
                          </wps:spPr>
                          <wps:txbx>
                            <w:txbxContent>
                              <w:p w:rsidR="00000000" w:rsidDel="00000000" w:rsidP="00000000" w:rsidRDefault="00000000" w:rsidRPr="00000000">
                                <w:pPr>
                                  <w:spacing w:after="0" w:before="0" w:line="215.9999942779541"/>
                                  <w:ind w:left="90" w:right="0" w:firstLine="9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New ideas implemented (Virtual wards)”</w:t>
                                </w:r>
                              </w:p>
                            </w:txbxContent>
                          </wps:txbx>
                          <wps:bodyPr anchorCtr="0" anchor="t" bIns="49525" lIns="49525" spcFirstLastPara="1" rIns="49525" wrap="square" tIns="49525">
                            <a:noAutofit/>
                          </wps:bodyPr>
                        </wps:wsp>
                        <wps:wsp>
                          <wps:cNvSpPr/>
                          <wps:cNvPr id="29" name="Shape 29"/>
                          <wps:spPr>
                            <a:xfrm>
                              <a:off x="1325422" y="182422"/>
                              <a:ext cx="1385773" cy="1385773"/>
                            </a:xfrm>
                            <a:custGeom>
                              <a:rect b="b" l="l" r="r" t="t"/>
                              <a:pathLst>
                                <a:path extrusionOk="0" h="120000" w="120000">
                                  <a:moveTo>
                                    <a:pt x="0" y="120000"/>
                                  </a:moveTo>
                                  <a:cubicBezTo>
                                    <a:pt x="0" y="53726"/>
                                    <a:pt x="53726" y="0"/>
                                    <a:pt x="120000" y="0"/>
                                  </a:cubicBezTo>
                                  <a:lnTo>
                                    <a:pt x="120000" y="120000"/>
                                  </a:lnTo>
                                  <a:close/>
                                </a:path>
                              </a:pathLst>
                            </a:cu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0" name="Shape 30"/>
                          <wps:spPr>
                            <a:xfrm>
                              <a:off x="1731306" y="588306"/>
                              <a:ext cx="979889" cy="97988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t xml:space="preserve">Innovation</w:t>
                                </w:r>
                              </w:p>
                            </w:txbxContent>
                          </wps:txbx>
                          <wps:bodyPr anchorCtr="0" anchor="ctr" bIns="99550" lIns="99550" spcFirstLastPara="1" rIns="99550" wrap="square" tIns="99550">
                            <a:noAutofit/>
                          </wps:bodyPr>
                        </wps:wsp>
                        <wps:wsp>
                          <wps:cNvSpPr/>
                          <wps:cNvPr id="31" name="Shape 31"/>
                          <wps:spPr>
                            <a:xfrm rot="5400000">
                              <a:off x="2775204" y="182422"/>
                              <a:ext cx="1385773" cy="1385773"/>
                            </a:xfrm>
                            <a:custGeom>
                              <a:rect b="b" l="l" r="r" t="t"/>
                              <a:pathLst>
                                <a:path extrusionOk="0" h="120000" w="120000">
                                  <a:moveTo>
                                    <a:pt x="0" y="120000"/>
                                  </a:moveTo>
                                  <a:cubicBezTo>
                                    <a:pt x="0" y="53726"/>
                                    <a:pt x="53726" y="0"/>
                                    <a:pt x="120000" y="0"/>
                                  </a:cubicBezTo>
                                  <a:lnTo>
                                    <a:pt x="120000" y="120000"/>
                                  </a:lnTo>
                                  <a:close/>
                                </a:path>
                              </a:pathLst>
                            </a:cu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2" name="Shape 32"/>
                          <wps:spPr>
                            <a:xfrm>
                              <a:off x="2775204" y="588306"/>
                              <a:ext cx="979889" cy="97988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t xml:space="preserve">Creativity</w:t>
                                </w:r>
                              </w:p>
                            </w:txbxContent>
                          </wps:txbx>
                          <wps:bodyPr anchorCtr="0" anchor="ctr" bIns="99550" lIns="99550" spcFirstLastPara="1" rIns="99550" wrap="square" tIns="99550">
                            <a:noAutofit/>
                          </wps:bodyPr>
                        </wps:wsp>
                        <wps:wsp>
                          <wps:cNvSpPr/>
                          <wps:cNvPr id="33" name="Shape 33"/>
                          <wps:spPr>
                            <a:xfrm rot="10800000">
                              <a:off x="2775204" y="1632204"/>
                              <a:ext cx="1385773" cy="1385773"/>
                            </a:xfrm>
                            <a:custGeom>
                              <a:rect b="b" l="l" r="r" t="t"/>
                              <a:pathLst>
                                <a:path extrusionOk="0" h="120000" w="120000">
                                  <a:moveTo>
                                    <a:pt x="0" y="120000"/>
                                  </a:moveTo>
                                  <a:cubicBezTo>
                                    <a:pt x="0" y="53726"/>
                                    <a:pt x="53726" y="0"/>
                                    <a:pt x="120000" y="0"/>
                                  </a:cubicBezTo>
                                  <a:lnTo>
                                    <a:pt x="120000" y="120000"/>
                                  </a:lnTo>
                                  <a:close/>
                                </a:path>
                              </a:pathLst>
                            </a:cu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4" name="Shape 34"/>
                          <wps:spPr>
                            <a:xfrm>
                              <a:off x="2775204" y="1632204"/>
                              <a:ext cx="979889" cy="97988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t xml:space="preserve">Value Creation</w:t>
                                </w:r>
                              </w:p>
                            </w:txbxContent>
                          </wps:txbx>
                          <wps:bodyPr anchorCtr="0" anchor="ctr" bIns="99550" lIns="99550" spcFirstLastPara="1" rIns="99550" wrap="square" tIns="99550">
                            <a:noAutofit/>
                          </wps:bodyPr>
                        </wps:wsp>
                        <wps:wsp>
                          <wps:cNvSpPr/>
                          <wps:cNvPr id="35" name="Shape 35"/>
                          <wps:spPr>
                            <a:xfrm rot="-5400000">
                              <a:off x="1325422" y="1632204"/>
                              <a:ext cx="1385773" cy="1385773"/>
                            </a:xfrm>
                            <a:custGeom>
                              <a:rect b="b" l="l" r="r" t="t"/>
                              <a:pathLst>
                                <a:path extrusionOk="0" h="120000" w="120000">
                                  <a:moveTo>
                                    <a:pt x="0" y="120000"/>
                                  </a:moveTo>
                                  <a:cubicBezTo>
                                    <a:pt x="0" y="53726"/>
                                    <a:pt x="53726" y="0"/>
                                    <a:pt x="120000" y="0"/>
                                  </a:cubicBezTo>
                                  <a:lnTo>
                                    <a:pt x="120000" y="120000"/>
                                  </a:lnTo>
                                  <a:close/>
                                </a:path>
                              </a:pathLst>
                            </a:cu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6" name="Shape 36"/>
                          <wps:spPr>
                            <a:xfrm>
                              <a:off x="1731306" y="1632204"/>
                              <a:ext cx="979889" cy="97988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t xml:space="preserve">Change</w:t>
                                </w:r>
                              </w:p>
                            </w:txbxContent>
                          </wps:txbx>
                          <wps:bodyPr anchorCtr="0" anchor="ctr" bIns="99550" lIns="99550" spcFirstLastPara="1" rIns="99550" wrap="square" tIns="99550">
                            <a:noAutofit/>
                          </wps:bodyPr>
                        </wps:wsp>
                        <wps:wsp>
                          <wps:cNvSpPr/>
                          <wps:cNvPr id="37" name="Shape 37"/>
                          <wps:spPr>
                            <a:xfrm>
                              <a:off x="2503970" y="1312164"/>
                              <a:ext cx="478459" cy="416052"/>
                            </a:xfrm>
                            <a:custGeom>
                              <a:rect b="b" l="l" r="r" t="t"/>
                              <a:pathLst>
                                <a:path extrusionOk="0" h="120000" w="120000">
                                  <a:moveTo>
                                    <a:pt x="6522" y="60000"/>
                                  </a:moveTo>
                                  <a:cubicBezTo>
                                    <a:pt x="6522" y="34374"/>
                                    <a:pt x="25367" y="12492"/>
                                    <a:pt x="51107" y="8231"/>
                                  </a:cubicBezTo>
                                  <a:cubicBezTo>
                                    <a:pt x="76848" y="3970"/>
                                    <a:pt x="101961" y="18574"/>
                                    <a:pt x="110521" y="42783"/>
                                  </a:cubicBezTo>
                                  <a:lnTo>
                                    <a:pt x="116427" y="42783"/>
                                  </a:lnTo>
                                  <a:lnTo>
                                    <a:pt x="106956" y="60000"/>
                                  </a:lnTo>
                                  <a:lnTo>
                                    <a:pt x="90340" y="42783"/>
                                  </a:lnTo>
                                  <a:lnTo>
                                    <a:pt x="95921" y="42783"/>
                                  </a:lnTo>
                                  <a:cubicBezTo>
                                    <a:pt x="87358" y="27416"/>
                                    <a:pt x="68572" y="19475"/>
                                    <a:pt x="50448" y="23561"/>
                                  </a:cubicBezTo>
                                  <a:cubicBezTo>
                                    <a:pt x="32324" y="27648"/>
                                    <a:pt x="19565" y="42702"/>
                                    <a:pt x="19565" y="60000"/>
                                  </a:cubicBezTo>
                                  <a:close/>
                                </a:path>
                              </a:pathLst>
                            </a:custGeom>
                            <a:solidFill>
                              <a:srgbClr val="ABBADE"/>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8" name="Shape 38"/>
                          <wps:spPr>
                            <a:xfrm rot="10800000">
                              <a:off x="2503970" y="1472184"/>
                              <a:ext cx="478459" cy="416052"/>
                            </a:xfrm>
                            <a:custGeom>
                              <a:rect b="b" l="l" r="r" t="t"/>
                              <a:pathLst>
                                <a:path extrusionOk="0" h="120000" w="120000">
                                  <a:moveTo>
                                    <a:pt x="6522" y="60000"/>
                                  </a:moveTo>
                                  <a:cubicBezTo>
                                    <a:pt x="6522" y="34374"/>
                                    <a:pt x="25367" y="12492"/>
                                    <a:pt x="51107" y="8231"/>
                                  </a:cubicBezTo>
                                  <a:cubicBezTo>
                                    <a:pt x="76848" y="3970"/>
                                    <a:pt x="101961" y="18574"/>
                                    <a:pt x="110521" y="42783"/>
                                  </a:cubicBezTo>
                                  <a:lnTo>
                                    <a:pt x="116427" y="42783"/>
                                  </a:lnTo>
                                  <a:lnTo>
                                    <a:pt x="106956" y="60000"/>
                                  </a:lnTo>
                                  <a:lnTo>
                                    <a:pt x="90340" y="42783"/>
                                  </a:lnTo>
                                  <a:lnTo>
                                    <a:pt x="95921" y="42783"/>
                                  </a:lnTo>
                                  <a:cubicBezTo>
                                    <a:pt x="87358" y="27416"/>
                                    <a:pt x="68572" y="19475"/>
                                    <a:pt x="50448" y="23561"/>
                                  </a:cubicBezTo>
                                  <a:cubicBezTo>
                                    <a:pt x="32324" y="27648"/>
                                    <a:pt x="19565" y="42702"/>
                                    <a:pt x="19565" y="60000"/>
                                  </a:cubicBezTo>
                                  <a:close/>
                                </a:path>
                              </a:pathLst>
                            </a:custGeom>
                            <a:solidFill>
                              <a:srgbClr val="ABBADE"/>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5486400" cy="3200400"/>
                <wp:effectExtent b="0" l="0" r="0" t="0"/>
                <wp:docPr id="2"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1: Application of the model in the virtual ward</w:t>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Innovation is based on creativity, and it is the ability to consider new and useful ideas in the professional setting. According to Amabile (1996), domain knowledge, creative thinking skills and intrinsic motivation interact to produce creativity. The ability to solve problems in complex and unpredictable settings is critical and requires creativity. For instance, the redesign of the patient paths by multidisciplinary teams aims to decrease the waiting time. Creativity thus facilitates adaptive reactions to changing healthcare requirements and enhances service provision.</w:t>
      </w:r>
    </w:p>
    <w:p w:rsidR="00000000" w:rsidDel="00000000" w:rsidP="00000000" w:rsidRDefault="00000000" w:rsidRPr="00000000" w14:paraId="00000031">
      <w:pPr>
        <w:rPr>
          <w:rFonts w:ascii="Times New Roman" w:cs="Times New Roman" w:eastAsia="Times New Roman" w:hAnsi="Times New Roman"/>
        </w:rPr>
        <w:sectPr>
          <w:type w:val="continuous"/>
          <w:pgSz w:h="15840" w:w="12240" w:orient="portrait"/>
          <w:pgMar w:bottom="1440" w:top="1440" w:left="1440" w:right="1440" w:header="720" w:footer="720"/>
        </w:sectPr>
      </w:pPr>
      <w:r w:rsidDel="00000000" w:rsidR="00000000" w:rsidRPr="00000000">
        <w:rPr>
          <w:rFonts w:ascii="Times New Roman" w:cs="Times New Roman" w:eastAsia="Times New Roman" w:hAnsi="Times New Roman"/>
          <w:rtl w:val="0"/>
        </w:rPr>
        <w:t xml:space="preserve">Value creation in healthcare is the enhancement of patient outcomes in comparison to the expense of care delivery (Porter, 2010). This idea stresses the care volume on the basis of outcome over volume, and the efficacy and quality. Creating value is especially significant in resource-constrained sys</w:t>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teams like the NHS, where it is necessary to maximise the outcome using a limited amount of funds. For example, wearable health technologies, as examples of preventative interventions, generate value through the provision of reduced hospitalisations and the cost of long-term treatment. This is further supported by my applied learning in Figure 2, where I explored diabetes management in a practical context.</w:t>
      </w:r>
    </w:p>
    <w:p w:rsidR="00000000" w:rsidDel="00000000" w:rsidP="00000000" w:rsidRDefault="00000000" w:rsidRPr="00000000" w14:paraId="00000033">
      <w:pPr>
        <w:keepNext w:val="1"/>
        <w:rPr/>
      </w:pPr>
      <w:r w:rsidDel="00000000" w:rsidR="00000000" w:rsidRPr="00000000">
        <w:rPr/>
        <w:drawing>
          <wp:inline distB="0" distT="0" distL="0" distR="0">
            <wp:extent cx="5953125" cy="3789645"/>
            <wp:effectExtent b="0" l="0" r="0" t="0"/>
            <wp:docPr id="5" name="image5.jpg"/>
            <a:graphic>
              <a:graphicData uri="http://schemas.openxmlformats.org/drawingml/2006/picture">
                <pic:pic>
                  <pic:nvPicPr>
                    <pic:cNvPr id="0" name="image5.jpg"/>
                    <pic:cNvPicPr preferRelativeResize="0"/>
                  </pic:nvPicPr>
                  <pic:blipFill>
                    <a:blip r:embed="rId8"/>
                    <a:srcRect b="36342" l="0" r="0" t="0"/>
                    <a:stretch>
                      <a:fillRect/>
                    </a:stretch>
                  </pic:blipFill>
                  <pic:spPr>
                    <a:xfrm>
                      <a:off x="0" y="0"/>
                      <a:ext cx="5953125" cy="3789645"/>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2: Example of forum-based learning on diabetes management (own work)</w:t>
      </w: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essential component of healthcare systems is change, which is policy-induced, technology-induced, and patient-induced. The model of Change Management by Lewin describes change as an unfreezing of current practices, introduction of new strategies, and refreezing to maintain changes (Burnes, 2017). Change management is always essential in healthcare because of the organisational complexity and staff resistance. For instance, cultural change and behavioural change are needed to achieve the success of implementing electronic health records.</w:t>
      </w:r>
    </w:p>
    <w:p w:rsidR="00000000" w:rsidDel="00000000" w:rsidP="00000000" w:rsidRDefault="00000000" w:rsidRPr="00000000" w14:paraId="00000037">
      <w:pPr>
        <w:pStyle w:val="Heading1"/>
        <w:rPr>
          <w:b w:val="1"/>
          <w:bCs w:val="1"/>
        </w:rPr>
      </w:pPr>
      <w:bookmarkStart w:colFirst="0" w:colLast="0" w:name="_8xxy9d4wzwtf" w:id="2"/>
      <w:bookmarkEnd w:id="2"/>
      <w:r w:rsidDel="00000000" w:rsidR="00000000" w:rsidRPr="00000000">
        <w:rPr>
          <w:b w:val="1"/>
          <w:bCs w:val="1"/>
          <w:rtl w:val="0"/>
        </w:rPr>
        <w:t xml:space="preserve">Task 2: Mind Map Explanation </w:t>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selected problem is ‘burnout of staff in health and social care’. As illustrated in Figure 3, I applied both divergent and convergent thinking approaches for the topic selection.</w:t>
      </w:r>
    </w:p>
    <w:p w:rsidR="00000000" w:rsidDel="00000000" w:rsidP="00000000" w:rsidRDefault="00000000" w:rsidRPr="00000000" w14:paraId="00000039">
      <w:pPr>
        <w:keepNext w:val="1"/>
        <w:rPr/>
      </w:pPr>
      <w:r w:rsidDel="00000000" w:rsidR="00000000" w:rsidRPr="00000000">
        <w:rPr/>
        <w:drawing>
          <wp:inline distB="0" distT="0" distL="0" distR="0">
            <wp:extent cx="5943600" cy="4327564"/>
            <wp:effectExtent b="0" l="0" r="0" t="0"/>
            <wp:docPr id="7" name="image4.jpg"/>
            <a:graphic>
              <a:graphicData uri="http://schemas.openxmlformats.org/drawingml/2006/picture">
                <pic:pic>
                  <pic:nvPicPr>
                    <pic:cNvPr id="0" name="image4.jpg"/>
                    <pic:cNvPicPr preferRelativeResize="0"/>
                  </pic:nvPicPr>
                  <pic:blipFill>
                    <a:blip r:embed="rId9"/>
                    <a:srcRect b="27190" l="0" r="0" t="0"/>
                    <a:stretch>
                      <a:fillRect/>
                    </a:stretch>
                  </pic:blipFill>
                  <pic:spPr>
                    <a:xfrm>
                      <a:off x="0" y="0"/>
                      <a:ext cx="5943600" cy="4327564"/>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3: Evidence of divergent and convergent thinking activity (own work)</w:t>
      </w: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Burnout of staff is a structural issue that has a direct impact on patient safety, the quality of services, and staffing sustainability. Burnout is a result of a combination of interrelated stressors such as shortages of workforce, emotional labour, and inefficiencies in organisations. Exploiting a systems thinking approach (Meadows, 2008), the mind map places burnout at the centre and factors such as excessive workload, poor leadership, and the absence of psychological support as causes associated with effects such as the rise of medical errors, absenteeism, and patient dissatisfaction (Figure 2).</w:t>
      </w:r>
    </w:p>
    <w:p w:rsidR="00000000" w:rsidDel="00000000" w:rsidP="00000000" w:rsidRDefault="00000000" w:rsidRPr="00000000" w14:paraId="0000003D">
      <w:pPr>
        <w:keepNext w:val="1"/>
        <w:rPr>
          <w:rFonts w:ascii="Times New Roman" w:cs="Times New Roman" w:eastAsia="Times New Roman" w:hAnsi="Times New Roman"/>
        </w:rPr>
      </w:pPr>
      <w:r w:rsidDel="00000000" w:rsidR="00000000" w:rsidRPr="00000000">
        <w:rPr/>
        <mc:AlternateContent>
          <mc:Choice Requires="wpg">
            <w:drawing>
              <wp:inline distB="0" distT="0" distL="0" distR="0">
                <wp:extent cx="5486400" cy="3200400"/>
                <wp:effectExtent b="0" l="0" r="0" t="0"/>
                <wp:docPr id="1" name=""/>
                <a:graphic>
                  <a:graphicData uri="http://schemas.microsoft.com/office/word/2010/wordprocessingGroup">
                    <wpg:wgp>
                      <wpg:cNvGrpSpPr/>
                      <wpg:grpSpPr>
                        <a:xfrm>
                          <a:off x="0" y="0"/>
                          <a:ext cx="5486400" cy="3200400"/>
                          <a:chOff x="0" y="0"/>
                          <a:chExt cx="5486400" cy="3206025"/>
                        </a:xfrm>
                      </wpg:grpSpPr>
                      <wpg:grpSp>
                        <wpg:cNvGrpSpPr/>
                        <wpg:grpSpPr>
                          <a:xfrm>
                            <a:off x="0" y="0"/>
                            <a:ext cx="5486400" cy="3200400"/>
                            <a:chOff x="0" y="0"/>
                            <a:chExt cx="5486400" cy="3200400"/>
                          </a:xfrm>
                        </wpg:grpSpPr>
                        <wps:wsp>
                          <wps:cNvSpPr/>
                          <wps:cNvPr id="3" name="Shape 3"/>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rot="2534087">
                              <a:off x="1913563" y="2252041"/>
                              <a:ext cx="491116" cy="52998"/>
                            </a:xfrm>
                            <a:custGeom>
                              <a:rect b="b" l="l" r="r" t="t"/>
                              <a:pathLst>
                                <a:path extrusionOk="0" h="120000" w="120000">
                                  <a:moveTo>
                                    <a:pt x="0" y="60000"/>
                                  </a:moveTo>
                                  <a:lnTo>
                                    <a:pt x="120000" y="60000"/>
                                  </a:lnTo>
                                </a:path>
                              </a:pathLst>
                            </a:custGeom>
                            <a:noFill/>
                            <a:ln cap="flat" cmpd="sng" w="12700">
                              <a:solidFill>
                                <a:srgbClr val="345A99"/>
                              </a:solidFill>
                              <a:prstDash val="solid"/>
                              <a:miter lim="800000"/>
                              <a:headEnd len="sm" w="sm" type="none"/>
                              <a:tailEnd len="sm" w="sm" type="none"/>
                            </a:ln>
                          </wps:spPr>
                          <wps:bodyPr anchorCtr="0" anchor="ctr" bIns="91425" lIns="91425" spcFirstLastPara="1" rIns="91425" wrap="square" tIns="91425">
                            <a:noAutofit/>
                          </wps:bodyPr>
                        </wps:wsp>
                        <wps:wsp>
                          <wps:cNvSpPr/>
                          <wps:cNvPr id="5" name="Shape 5"/>
                          <wps:spPr>
                            <a:xfrm>
                              <a:off x="1977311" y="1573700"/>
                              <a:ext cx="553664" cy="52998"/>
                            </a:xfrm>
                            <a:custGeom>
                              <a:rect b="b" l="l" r="r" t="t"/>
                              <a:pathLst>
                                <a:path extrusionOk="0" h="120000" w="120000">
                                  <a:moveTo>
                                    <a:pt x="0" y="60000"/>
                                  </a:moveTo>
                                  <a:lnTo>
                                    <a:pt x="120000" y="60000"/>
                                  </a:lnTo>
                                </a:path>
                              </a:pathLst>
                            </a:custGeom>
                            <a:noFill/>
                            <a:ln cap="flat" cmpd="sng" w="12700">
                              <a:solidFill>
                                <a:srgbClr val="345A99"/>
                              </a:solidFill>
                              <a:prstDash val="solid"/>
                              <a:miter lim="800000"/>
                              <a:headEnd len="sm" w="sm" type="none"/>
                              <a:tailEnd len="sm" w="sm" type="none"/>
                            </a:ln>
                          </wps:spPr>
                          <wps:bodyPr anchorCtr="0" anchor="ctr" bIns="91425" lIns="91425" spcFirstLastPara="1" rIns="91425" wrap="square" tIns="91425">
                            <a:noAutofit/>
                          </wps:bodyPr>
                        </wps:wsp>
                        <wps:wsp>
                          <wps:cNvSpPr/>
                          <wps:cNvPr id="6" name="Shape 6"/>
                          <wps:spPr>
                            <a:xfrm rot="-2534087">
                              <a:off x="1913563" y="895360"/>
                              <a:ext cx="491116" cy="52998"/>
                            </a:xfrm>
                            <a:custGeom>
                              <a:rect b="b" l="l" r="r" t="t"/>
                              <a:pathLst>
                                <a:path extrusionOk="0" h="120000" w="120000">
                                  <a:moveTo>
                                    <a:pt x="0" y="60000"/>
                                  </a:moveTo>
                                  <a:lnTo>
                                    <a:pt x="120000" y="60000"/>
                                  </a:lnTo>
                                </a:path>
                              </a:pathLst>
                            </a:custGeom>
                            <a:noFill/>
                            <a:ln cap="flat" cmpd="sng" w="12700">
                              <a:solidFill>
                                <a:srgbClr val="345A99"/>
                              </a:solidFill>
                              <a:prstDash val="solid"/>
                              <a:miter lim="800000"/>
                              <a:headEnd len="sm" w="sm" type="none"/>
                              <a:tailEnd len="sm" w="sm" type="none"/>
                            </a:ln>
                          </wps:spPr>
                          <wps:bodyPr anchorCtr="0" anchor="ctr" bIns="91425" lIns="91425" spcFirstLastPara="1" rIns="91425" wrap="square" tIns="91425">
                            <a:noAutofit/>
                          </wps:bodyPr>
                        </wps:wsp>
                        <wps:wsp>
                          <wps:cNvSpPr/>
                          <wps:cNvPr id="7" name="Shape 7"/>
                          <wps:spPr>
                            <a:xfrm>
                              <a:off x="604238" y="792509"/>
                              <a:ext cx="1615380" cy="1615380"/>
                            </a:xfrm>
                            <a:prstGeom prst="ellipse">
                              <a:avLst/>
                            </a:prstGeom>
                            <a:blipFill rotWithShape="1">
                              <a:blip r:embed="rId10">
                                <a:alphaModFix/>
                              </a:blip>
                              <a:stretch>
                                <a:fillRect b="0" l="-25001" r="-25001" t="0"/>
                              </a:stretch>
                            </a:blip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223552" y="728"/>
                              <a:ext cx="904302" cy="904302"/>
                            </a:xfrm>
                            <a:prstGeom prst="ellipse">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2355984" y="133160"/>
                              <a:ext cx="639438" cy="63943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6"/>
                                    <w:vertAlign w:val="baseline"/>
                                  </w:rPr>
                                  <w:t xml:space="preserve">Causes</w:t>
                                </w:r>
                              </w:p>
                            </w:txbxContent>
                          </wps:txbx>
                          <wps:bodyPr anchorCtr="0" anchor="ctr" bIns="8250" lIns="8250" spcFirstLastPara="1" rIns="8250" wrap="square" tIns="8250">
                            <a:noAutofit/>
                          </wps:bodyPr>
                        </wps:wsp>
                        <wps:wsp>
                          <wps:cNvSpPr/>
                          <wps:cNvPr id="10" name="Shape 10"/>
                          <wps:spPr>
                            <a:xfrm>
                              <a:off x="3218285" y="728"/>
                              <a:ext cx="1356453" cy="904302"/>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3218285" y="728"/>
                              <a:ext cx="1356453" cy="904302"/>
                            </a:xfrm>
                            <a:prstGeom prst="rect">
                              <a:avLst/>
                            </a:prstGeom>
                            <a:noFill/>
                            <a:ln>
                              <a:noFill/>
                            </a:ln>
                          </wps:spPr>
                          <wps:txbx>
                            <w:txbxContent>
                              <w:p w:rsidR="00000000" w:rsidDel="00000000" w:rsidP="00000000" w:rsidRDefault="00000000" w:rsidRPr="00000000">
                                <w:pPr>
                                  <w:spacing w:after="0" w:before="0" w:line="215.9999942779541"/>
                                  <w:ind w:left="180" w:right="0" w:firstLine="140"/>
                                  <w:jc w:val="left"/>
                                  <w:textDirection w:val="btLr"/>
                                </w:pPr>
                                <w:r w:rsidDel="00000000" w:rsidR="00000000" w:rsidRPr="00000000">
                                  <w:rPr>
                                    <w:rFonts w:ascii="Calibri" w:cs="Calibri" w:eastAsia="Calibri" w:hAnsi="Calibri"/>
                                    <w:b w:val="0"/>
                                    <w:i w:val="0"/>
                                    <w:smallCaps w:val="0"/>
                                    <w:strike w:val="0"/>
                                    <w:color w:val="000000"/>
                                    <w:sz w:val="28"/>
                                    <w:vertAlign w:val="baseline"/>
                                  </w:rPr>
                                  <w:t xml:space="preserve">workload</w:t>
                                </w:r>
                              </w:p>
                              <w:p w:rsidR="00000000" w:rsidDel="00000000" w:rsidP="00000000" w:rsidRDefault="00000000" w:rsidRPr="00000000">
                                <w:pPr>
                                  <w:spacing w:after="0" w:before="42.00000286102295" w:line="215.9999942779541"/>
                                  <w:ind w:left="180" w:right="0" w:firstLine="14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Staff shortage</w:t>
                                </w:r>
                              </w:p>
                              <w:p w:rsidR="00000000" w:rsidDel="00000000" w:rsidP="00000000" w:rsidRDefault="00000000" w:rsidRPr="00000000">
                                <w:pPr>
                                  <w:spacing w:after="0" w:before="42.00000286102295" w:line="215.9999942779541"/>
                                  <w:ind w:left="180" w:right="0" w:firstLine="14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Poor leadership</w:t>
                                </w:r>
                              </w:p>
                            </w:txbxContent>
                          </wps:txbx>
                          <wps:bodyPr anchorCtr="0" anchor="ctr" bIns="0" lIns="0" spcFirstLastPara="1" rIns="0" wrap="square" tIns="0">
                            <a:noAutofit/>
                          </wps:bodyPr>
                        </wps:wsp>
                        <wps:wsp>
                          <wps:cNvSpPr/>
                          <wps:cNvPr id="12" name="Shape 12"/>
                          <wps:spPr>
                            <a:xfrm>
                              <a:off x="2530976" y="1148048"/>
                              <a:ext cx="904302" cy="904302"/>
                            </a:xfrm>
                            <a:prstGeom prst="ellipse">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2663408" y="1280480"/>
                              <a:ext cx="639438" cy="63943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6"/>
                                    <w:vertAlign w:val="baseline"/>
                                  </w:rPr>
                                  <w:t xml:space="preserve">Impacts</w:t>
                                </w:r>
                              </w:p>
                            </w:txbxContent>
                          </wps:txbx>
                          <wps:bodyPr anchorCtr="0" anchor="ctr" bIns="8250" lIns="8250" spcFirstLastPara="1" rIns="8250" wrap="square" tIns="8250">
                            <a:noAutofit/>
                          </wps:bodyPr>
                        </wps:wsp>
                        <wps:wsp>
                          <wps:cNvSpPr/>
                          <wps:cNvPr id="14" name="Shape 14"/>
                          <wps:spPr>
                            <a:xfrm>
                              <a:off x="3525708" y="1148048"/>
                              <a:ext cx="1356453" cy="904302"/>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a:off x="3525708" y="1148048"/>
                              <a:ext cx="1356453" cy="904302"/>
                            </a:xfrm>
                            <a:prstGeom prst="rect">
                              <a:avLst/>
                            </a:prstGeom>
                            <a:noFill/>
                            <a:ln>
                              <a:noFill/>
                            </a:ln>
                          </wps:spPr>
                          <wps:txbx>
                            <w:txbxContent>
                              <w:p w:rsidR="00000000" w:rsidDel="00000000" w:rsidP="00000000" w:rsidRDefault="00000000" w:rsidRPr="00000000">
                                <w:pPr>
                                  <w:spacing w:after="0" w:before="0" w:line="215.9999942779541"/>
                                  <w:ind w:left="180" w:right="0" w:firstLine="140"/>
                                  <w:jc w:val="left"/>
                                  <w:textDirection w:val="btLr"/>
                                </w:pPr>
                                <w:r w:rsidDel="00000000" w:rsidR="00000000" w:rsidRPr="00000000">
                                  <w:rPr>
                                    <w:rFonts w:ascii="Calibri" w:cs="Calibri" w:eastAsia="Calibri" w:hAnsi="Calibri"/>
                                    <w:b w:val="0"/>
                                    <w:i w:val="0"/>
                                    <w:smallCaps w:val="0"/>
                                    <w:strike w:val="0"/>
                                    <w:color w:val="000000"/>
                                    <w:sz w:val="28"/>
                                    <w:vertAlign w:val="baseline"/>
                                  </w:rPr>
                                  <w:t xml:space="preserve">Errors</w:t>
                                </w:r>
                              </w:p>
                              <w:p w:rsidR="00000000" w:rsidDel="00000000" w:rsidP="00000000" w:rsidRDefault="00000000" w:rsidRPr="00000000">
                                <w:pPr>
                                  <w:spacing w:after="0" w:before="42.00000286102295" w:line="215.9999942779541"/>
                                  <w:ind w:left="180" w:right="0" w:firstLine="14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Low morale</w:t>
                                </w:r>
                              </w:p>
                              <w:p w:rsidR="00000000" w:rsidDel="00000000" w:rsidP="00000000" w:rsidRDefault="00000000" w:rsidRPr="00000000">
                                <w:pPr>
                                  <w:spacing w:after="0" w:before="42.00000286102295" w:line="215.9999942779541"/>
                                  <w:ind w:left="180" w:right="0" w:firstLine="14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Patient dissatisfaction</w:t>
                                </w:r>
                              </w:p>
                            </w:txbxContent>
                          </wps:txbx>
                          <wps:bodyPr anchorCtr="0" anchor="ctr" bIns="0" lIns="0" spcFirstLastPara="1" rIns="0" wrap="square" tIns="0">
                            <a:noAutofit/>
                          </wps:bodyPr>
                        </wps:wsp>
                        <wps:wsp>
                          <wps:cNvSpPr/>
                          <wps:cNvPr id="16" name="Shape 16"/>
                          <wps:spPr>
                            <a:xfrm>
                              <a:off x="2223552" y="2295369"/>
                              <a:ext cx="904302" cy="904302"/>
                            </a:xfrm>
                            <a:prstGeom prst="ellipse">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2355984" y="2427801"/>
                              <a:ext cx="639438" cy="63943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6"/>
                                    <w:vertAlign w:val="baseline"/>
                                  </w:rPr>
                                  <w:t xml:space="preserve">Solutions</w:t>
                                </w:r>
                              </w:p>
                            </w:txbxContent>
                          </wps:txbx>
                          <wps:bodyPr anchorCtr="0" anchor="ctr" bIns="8250" lIns="8250" spcFirstLastPara="1" rIns="8250" wrap="square" tIns="8250">
                            <a:noAutofit/>
                          </wps:bodyPr>
                        </wps:wsp>
                        <wps:wsp>
                          <wps:cNvSpPr/>
                          <wps:cNvPr id="18" name="Shape 18"/>
                          <wps:spPr>
                            <a:xfrm>
                              <a:off x="3218285" y="2295369"/>
                              <a:ext cx="1356453" cy="904302"/>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9" name="Shape 19"/>
                          <wps:spPr>
                            <a:xfrm>
                              <a:off x="3218285" y="2295369"/>
                              <a:ext cx="1356453" cy="904302"/>
                            </a:xfrm>
                            <a:prstGeom prst="rect">
                              <a:avLst/>
                            </a:prstGeom>
                            <a:noFill/>
                            <a:ln>
                              <a:noFill/>
                            </a:ln>
                          </wps:spPr>
                          <wps:txbx>
                            <w:txbxContent>
                              <w:p w:rsidR="00000000" w:rsidDel="00000000" w:rsidP="00000000" w:rsidRDefault="00000000" w:rsidRPr="00000000">
                                <w:pPr>
                                  <w:spacing w:after="0" w:before="0" w:line="215.9999942779541"/>
                                  <w:ind w:left="180" w:right="0" w:firstLine="140"/>
                                  <w:jc w:val="left"/>
                                  <w:textDirection w:val="btLr"/>
                                </w:pPr>
                                <w:r w:rsidDel="00000000" w:rsidR="00000000" w:rsidRPr="00000000">
                                  <w:rPr>
                                    <w:rFonts w:ascii="Calibri" w:cs="Calibri" w:eastAsia="Calibri" w:hAnsi="Calibri"/>
                                    <w:b w:val="0"/>
                                    <w:i w:val="0"/>
                                    <w:smallCaps w:val="0"/>
                                    <w:strike w:val="0"/>
                                    <w:color w:val="000000"/>
                                    <w:sz w:val="28"/>
                                    <w:vertAlign w:val="baseline"/>
                                  </w:rPr>
                                  <w:t xml:space="preserve">Staffing</w:t>
                                </w:r>
                              </w:p>
                              <w:p w:rsidR="00000000" w:rsidDel="00000000" w:rsidP="00000000" w:rsidRDefault="00000000" w:rsidRPr="00000000">
                                <w:pPr>
                                  <w:spacing w:after="0" w:before="42.00000286102295" w:line="215.9999942779541"/>
                                  <w:ind w:left="180" w:right="0" w:firstLine="14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Digital tools</w:t>
                                </w:r>
                              </w:p>
                              <w:p w:rsidR="00000000" w:rsidDel="00000000" w:rsidP="00000000" w:rsidRDefault="00000000" w:rsidRPr="00000000">
                                <w:pPr>
                                  <w:spacing w:after="0" w:before="42.00000286102295" w:line="215.9999942779541"/>
                                  <w:ind w:left="180" w:right="0" w:firstLine="14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Wellbeing support</w:t>
                                </w:r>
                              </w:p>
                            </w:txbxContent>
                          </wps:txbx>
                          <wps:bodyPr anchorCtr="0" anchor="ctr" bIns="0" lIns="0" spcFirstLastPara="1" rIns="0" wrap="square" tIns="0">
                            <a:noAutofit/>
                          </wps:bodyPr>
                        </wps:wsp>
                      </wpg:grpSp>
                    </wpg:wgp>
                  </a:graphicData>
                </a:graphic>
              </wp:inline>
            </w:drawing>
          </mc:Choice>
          <mc:Fallback>
            <w:drawing>
              <wp:inline distB="0" distT="0" distL="0" distR="0">
                <wp:extent cx="5486400" cy="3200400"/>
                <wp:effectExtent b="0" l="0" r="0" t="0"/>
                <wp:docPr id="1"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1: Mind Map (self-made)</w:t>
      </w:r>
    </w:p>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Notably, burnout is a vicious circle: staff shortage gets more people to work, and it results in burnout. Findings solutions include workforce planning, workload redistribution via digital tools and leadership interventions with an emphasis on wellbeing. This systemic framing shows that the NHS needs structural change to deal with burnout rather than the individual measures, which support NHS workforce strategies.</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pStyle w:val="Heading1"/>
        <w:rPr>
          <w:b w:val="1"/>
          <w:bCs w:val="1"/>
        </w:rPr>
      </w:pPr>
      <w:bookmarkStart w:colFirst="0" w:colLast="0" w:name="_ng2ytucvq6ee" w:id="3"/>
      <w:bookmarkEnd w:id="3"/>
      <w:r w:rsidDel="00000000" w:rsidR="00000000" w:rsidRPr="00000000">
        <w:rPr>
          <w:b w:val="1"/>
          <w:bCs w:val="1"/>
          <w:rtl w:val="0"/>
        </w:rPr>
        <w:t xml:space="preserve">Task 3: Self-Reflection on Group Activity</w:t>
      </w:r>
    </w:p>
    <w:p w:rsidR="00000000" w:rsidDel="00000000" w:rsidP="00000000" w:rsidRDefault="00000000" w:rsidRPr="00000000" w14:paraId="0000004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reflection relates to the Gibbs Reflective Cycle (1988), which is applied to critically assess my experience of convergent and divergent thinking while a group of people was completing an innovation task. Divergent thinking, which is an idea generation and a creative process, was opposed to convergent thinking, which aims at shrinking ideas into practical solutions (Cropley, 2006).</w:t>
      </w:r>
    </w:p>
    <w:p w:rsidR="00000000" w:rsidDel="00000000" w:rsidP="00000000" w:rsidRDefault="00000000" w:rsidRPr="00000000" w14:paraId="00000043">
      <w:pPr>
        <w:keepNext w:val="1"/>
        <w:rPr>
          <w:rFonts w:ascii="Times New Roman" w:cs="Times New Roman" w:eastAsia="Times New Roman" w:hAnsi="Times New Roman"/>
        </w:rPr>
      </w:pPr>
      <w:r w:rsidDel="00000000" w:rsidR="00000000" w:rsidRPr="00000000">
        <w:rPr/>
        <mc:AlternateContent>
          <mc:Choice Requires="wpg">
            <w:drawing>
              <wp:inline distB="0" distT="0" distL="0" distR="0">
                <wp:extent cx="5486400" cy="3204362"/>
                <wp:effectExtent b="25400" l="25400" r="25400" t="25400"/>
                <wp:docPr id="3" name=""/>
                <a:graphic>
                  <a:graphicData uri="http://schemas.microsoft.com/office/word/2010/wordprocessingGroup">
                    <wpg:wgp>
                      <wpg:cNvGrpSpPr/>
                      <wpg:grpSpPr>
                        <a:xfrm>
                          <a:off x="0" y="0"/>
                          <a:ext cx="5486400" cy="3204362"/>
                          <a:chOff x="0" y="0"/>
                          <a:chExt cx="5486400" cy="3205925"/>
                        </a:xfrm>
                      </wpg:grpSpPr>
                      <wpg:grpSp>
                        <wpg:cNvGrpSpPr/>
                        <wpg:grpSpPr>
                          <a:xfrm>
                            <a:off x="0" y="0"/>
                            <a:ext cx="5486400" cy="3200400"/>
                            <a:chOff x="0" y="0"/>
                            <a:chExt cx="5486400" cy="3200400"/>
                          </a:xfrm>
                        </wpg:grpSpPr>
                        <wps:wsp>
                          <wps:cNvSpPr/>
                          <wps:cNvPr id="3" name="Shape 3"/>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0" name="Shape 40"/>
                          <wps:spPr>
                            <a:xfrm>
                              <a:off x="2484158" y="626172"/>
                              <a:ext cx="483883" cy="91440"/>
                            </a:xfrm>
                            <a:custGeom>
                              <a:rect b="b" l="l" r="r" t="t"/>
                              <a:pathLst>
                                <a:path extrusionOk="0" h="120000" w="120000">
                                  <a:moveTo>
                                    <a:pt x="0" y="60000"/>
                                  </a:moveTo>
                                  <a:lnTo>
                                    <a:pt x="120000" y="60000"/>
                                  </a:lnTo>
                                </a:path>
                              </a:pathLst>
                            </a:custGeom>
                            <a:noFill/>
                            <a:ln cap="flat" cmpd="sng" w="9525">
                              <a:solidFill>
                                <a:schemeClr val="accent2"/>
                              </a:solidFill>
                              <a:prstDash val="solid"/>
                              <a:miter lim="800000"/>
                              <a:headEnd len="sm" w="sm" type="none"/>
                              <a:tailEnd len="med" w="med" type="stealth"/>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1" name="Shape 41"/>
                          <wps:spPr>
                            <a:xfrm>
                              <a:off x="2713237" y="669319"/>
                              <a:ext cx="25724" cy="514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42" name="Shape 42"/>
                          <wps:spPr>
                            <a:xfrm>
                              <a:off x="249071" y="825"/>
                              <a:ext cx="2236886" cy="1342132"/>
                            </a:xfrm>
                            <a:prstGeom prst="rect">
                              <a:avLst/>
                            </a:prstGeom>
                            <a:solidFill>
                              <a:schemeClr val="lt1"/>
                            </a:solidFill>
                            <a:ln cap="flat" cmpd="sng" w="12700">
                              <a:solidFill>
                                <a:srgbClr val="D66E29"/>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3" name="Shape 43"/>
                          <wps:spPr>
                            <a:xfrm>
                              <a:off x="249071" y="825"/>
                              <a:ext cx="2236886" cy="1342132"/>
                            </a:xfrm>
                            <a:prstGeom prst="rect">
                              <a:avLst/>
                            </a:prstGeom>
                            <a:solidFill>
                              <a:srgbClr val="000000"/>
                            </a:solid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46"/>
                                    <w:vertAlign w:val="baseline"/>
                                  </w:rPr>
                                  <w:t xml:space="preserve">Problem: </w:t>
                                </w:r>
                                <w:r w:rsidDel="00000000" w:rsidR="00000000" w:rsidRPr="00000000">
                                  <w:rPr>
                                    <w:rFonts w:ascii="Calibri" w:cs="Calibri" w:eastAsia="Calibri" w:hAnsi="Calibri"/>
                                    <w:b w:val="1"/>
                                    <w:i w:val="0"/>
                                    <w:smallCaps w:val="0"/>
                                    <w:strike w:val="0"/>
                                    <w:color w:val="000000"/>
                                    <w:sz w:val="46"/>
                                    <w:vertAlign w:val="baseline"/>
                                  </w:rPr>
                                  <w:t xml:space="preserve">Hospital</w:t>
                                </w:r>
                                <w:r w:rsidDel="00000000" w:rsidR="00000000" w:rsidRPr="00000000">
                                  <w:rPr>
                                    <w:rFonts w:ascii="Calibri" w:cs="Calibri" w:eastAsia="Calibri" w:hAnsi="Calibri"/>
                                    <w:b w:val="0"/>
                                    <w:i w:val="0"/>
                                    <w:smallCaps w:val="0"/>
                                    <w:strike w:val="0"/>
                                    <w:color w:val="000000"/>
                                    <w:sz w:val="46"/>
                                    <w:vertAlign w:val="baseline"/>
                                  </w:rPr>
                                  <w:t xml:space="preserve"> pressure</w:t>
                                </w:r>
                              </w:p>
                            </w:txbxContent>
                          </wps:txbx>
                          <wps:bodyPr anchorCtr="0" anchor="ctr" bIns="163575" lIns="163575" spcFirstLastPara="1" rIns="163575" wrap="square" tIns="163575">
                            <a:noAutofit/>
                          </wps:bodyPr>
                        </wps:wsp>
                        <wps:wsp>
                          <wps:cNvSpPr/>
                          <wps:cNvPr id="44" name="Shape 44"/>
                          <wps:spPr>
                            <a:xfrm>
                              <a:off x="1367514" y="1341158"/>
                              <a:ext cx="2751370" cy="483883"/>
                            </a:xfrm>
                            <a:custGeom>
                              <a:rect b="b" l="l" r="r" t="t"/>
                              <a:pathLst>
                                <a:path extrusionOk="0" h="120000" w="120000">
                                  <a:moveTo>
                                    <a:pt x="120000" y="0"/>
                                  </a:moveTo>
                                  <a:lnTo>
                                    <a:pt x="120000" y="64241"/>
                                  </a:lnTo>
                                  <a:lnTo>
                                    <a:pt x="0" y="64241"/>
                                  </a:lnTo>
                                  <a:lnTo>
                                    <a:pt x="0" y="120000"/>
                                  </a:lnTo>
                                </a:path>
                              </a:pathLst>
                            </a:custGeom>
                            <a:noFill/>
                            <a:ln cap="flat" cmpd="sng" w="9525">
                              <a:solidFill>
                                <a:schemeClr val="accent2"/>
                              </a:solidFill>
                              <a:prstDash val="solid"/>
                              <a:miter lim="800000"/>
                              <a:headEnd len="sm" w="sm" type="none"/>
                              <a:tailEnd len="med" w="med" type="stealth"/>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5" name="Shape 45"/>
                          <wps:spPr>
                            <a:xfrm>
                              <a:off x="2673223" y="1580527"/>
                              <a:ext cx="139952" cy="514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46" name="Shape 46"/>
                          <wps:spPr>
                            <a:xfrm>
                              <a:off x="3000441" y="825"/>
                              <a:ext cx="2236886" cy="1342132"/>
                            </a:xfrm>
                            <a:prstGeom prst="rect">
                              <a:avLst/>
                            </a:prstGeom>
                            <a:solidFill>
                              <a:schemeClr val="lt1"/>
                            </a:solidFill>
                            <a:ln cap="flat" cmpd="sng" w="12700">
                              <a:solidFill>
                                <a:srgbClr val="D66E29"/>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7" name="Shape 47"/>
                          <wps:spPr>
                            <a:xfrm>
                              <a:off x="3000441" y="825"/>
                              <a:ext cx="2236886" cy="1342132"/>
                            </a:xfrm>
                            <a:prstGeom prst="rect">
                              <a:avLst/>
                            </a:prstGeom>
                            <a:solidFill>
                              <a:srgbClr val="000000"/>
                            </a:solid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46"/>
                                    <w:vertAlign w:val="baseline"/>
                                  </w:rPr>
                                  <w:t xml:space="preserve">Innovation: </w:t>
                                </w:r>
                                <w:r w:rsidDel="00000000" w:rsidR="00000000" w:rsidRPr="00000000">
                                  <w:rPr>
                                    <w:rFonts w:ascii="Calibri" w:cs="Calibri" w:eastAsia="Calibri" w:hAnsi="Calibri"/>
                                    <w:b w:val="0"/>
                                    <w:i w:val="0"/>
                                    <w:smallCaps w:val="0"/>
                                    <w:strike w:val="0"/>
                                    <w:color w:val="000000"/>
                                    <w:sz w:val="46"/>
                                    <w:vertAlign w:val="baseline"/>
                                  </w:rPr>
                                  <w:t xml:space="preserve">Remote monitoring</w:t>
                                </w:r>
                              </w:p>
                            </w:txbxContent>
                          </wps:txbx>
                          <wps:bodyPr anchorCtr="0" anchor="ctr" bIns="163575" lIns="163575" spcFirstLastPara="1" rIns="163575" wrap="square" tIns="163575">
                            <a:noAutofit/>
                          </wps:bodyPr>
                        </wps:wsp>
                        <wps:wsp>
                          <wps:cNvSpPr/>
                          <wps:cNvPr id="48" name="Shape 48"/>
                          <wps:spPr>
                            <a:xfrm>
                              <a:off x="2484158" y="2482787"/>
                              <a:ext cx="483883" cy="91440"/>
                            </a:xfrm>
                            <a:custGeom>
                              <a:rect b="b" l="l" r="r" t="t"/>
                              <a:pathLst>
                                <a:path extrusionOk="0" h="120000" w="120000">
                                  <a:moveTo>
                                    <a:pt x="0" y="60000"/>
                                  </a:moveTo>
                                  <a:lnTo>
                                    <a:pt x="120000" y="60000"/>
                                  </a:lnTo>
                                </a:path>
                              </a:pathLst>
                            </a:custGeom>
                            <a:noFill/>
                            <a:ln cap="flat" cmpd="sng" w="9525">
                              <a:solidFill>
                                <a:schemeClr val="accent2"/>
                              </a:solidFill>
                              <a:prstDash val="solid"/>
                              <a:miter lim="800000"/>
                              <a:headEnd len="sm" w="sm" type="none"/>
                              <a:tailEnd len="med" w="med" type="stealth"/>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9" name="Shape 49"/>
                          <wps:spPr>
                            <a:xfrm>
                              <a:off x="2713237" y="2525935"/>
                              <a:ext cx="25724" cy="514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50" name="Shape 50"/>
                          <wps:spPr>
                            <a:xfrm>
                              <a:off x="249071" y="1857441"/>
                              <a:ext cx="2236886" cy="1342132"/>
                            </a:xfrm>
                            <a:prstGeom prst="rect">
                              <a:avLst/>
                            </a:prstGeom>
                            <a:solidFill>
                              <a:schemeClr val="lt1"/>
                            </a:solidFill>
                            <a:ln cap="flat" cmpd="sng" w="12700">
                              <a:solidFill>
                                <a:srgbClr val="D66E29"/>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1" name="Shape 51"/>
                          <wps:spPr>
                            <a:xfrm>
                              <a:off x="249071" y="1857441"/>
                              <a:ext cx="2236886" cy="1342132"/>
                            </a:xfrm>
                            <a:prstGeom prst="rect">
                              <a:avLst/>
                            </a:prstGeom>
                            <a:solidFill>
                              <a:srgbClr val="000000"/>
                            </a:solid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46"/>
                                    <w:vertAlign w:val="baseline"/>
                                  </w:rPr>
                                  <w:t xml:space="preserve">Technology</w:t>
                                </w:r>
                                <w:r w:rsidDel="00000000" w:rsidR="00000000" w:rsidRPr="00000000">
                                  <w:rPr>
                                    <w:rFonts w:ascii="Calibri" w:cs="Calibri" w:eastAsia="Calibri" w:hAnsi="Calibri"/>
                                    <w:b w:val="0"/>
                                    <w:i w:val="0"/>
                                    <w:smallCaps w:val="0"/>
                                    <w:strike w:val="0"/>
                                    <w:color w:val="000000"/>
                                    <w:sz w:val="46"/>
                                    <w:vertAlign w:val="baseline"/>
                                  </w:rPr>
                                  <w:t xml:space="preserve">: Home care</w:t>
                                </w:r>
                              </w:p>
                            </w:txbxContent>
                          </wps:txbx>
                          <wps:bodyPr anchorCtr="0" anchor="ctr" bIns="163575" lIns="163575" spcFirstLastPara="1" rIns="163575" wrap="square" tIns="163575">
                            <a:noAutofit/>
                          </wps:bodyPr>
                        </wps:wsp>
                        <wps:wsp>
                          <wps:cNvSpPr/>
                          <wps:cNvPr id="52" name="Shape 52"/>
                          <wps:spPr>
                            <a:xfrm>
                              <a:off x="3000441" y="1857441"/>
                              <a:ext cx="2236886" cy="1342132"/>
                            </a:xfrm>
                            <a:prstGeom prst="rect">
                              <a:avLst/>
                            </a:prstGeom>
                            <a:solidFill>
                              <a:schemeClr val="lt1"/>
                            </a:solidFill>
                            <a:ln cap="flat" cmpd="sng" w="12700">
                              <a:solidFill>
                                <a:srgbClr val="D66E29"/>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3" name="Shape 53"/>
                          <wps:spPr>
                            <a:xfrm>
                              <a:off x="3000441" y="1857441"/>
                              <a:ext cx="2236886" cy="1342132"/>
                            </a:xfrm>
                            <a:prstGeom prst="rect">
                              <a:avLst/>
                            </a:prstGeom>
                            <a:solidFill>
                              <a:srgbClr val="000000"/>
                            </a:solid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46"/>
                                    <w:vertAlign w:val="baseline"/>
                                  </w:rPr>
                                  <w:t xml:space="preserve">Outcomes</w:t>
                                </w:r>
                                <w:r w:rsidDel="00000000" w:rsidR="00000000" w:rsidRPr="00000000">
                                  <w:rPr>
                                    <w:rFonts w:ascii="Calibri" w:cs="Calibri" w:eastAsia="Calibri" w:hAnsi="Calibri"/>
                                    <w:b w:val="0"/>
                                    <w:i w:val="0"/>
                                    <w:smallCaps w:val="0"/>
                                    <w:strike w:val="0"/>
                                    <w:color w:val="000000"/>
                                    <w:sz w:val="46"/>
                                    <w:vertAlign w:val="baseline"/>
                                  </w:rPr>
                                  <w:t xml:space="preserve">: Reduced admissions</w:t>
                                </w:r>
                              </w:p>
                            </w:txbxContent>
                          </wps:txbx>
                          <wps:bodyPr anchorCtr="0" anchor="ctr" bIns="163575" lIns="163575" spcFirstLastPara="1" rIns="163575" wrap="square" tIns="163575">
                            <a:noAutofit/>
                          </wps:bodyPr>
                        </wps:wsp>
                      </wpg:grpSp>
                    </wpg:wgp>
                  </a:graphicData>
                </a:graphic>
              </wp:inline>
            </w:drawing>
          </mc:Choice>
          <mc:Fallback>
            <w:drawing>
              <wp:inline distB="0" distT="0" distL="0" distR="0">
                <wp:extent cx="5486400" cy="3204362"/>
                <wp:effectExtent b="25400" l="25400" r="25400" t="25400"/>
                <wp:docPr id="3"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5486400" cy="3204362"/>
                        </a:xfrm>
                        <a:prstGeom prst="rect"/>
                        <a:ln w="25400">
                          <a:solidFill>
                            <a:srgbClr val="FFFFFF"/>
                          </a:solidFill>
                          <a:prstDash val="solid"/>
                        </a:ln>
                      </pic:spPr>
                    </pic:pic>
                  </a:graphicData>
                </a:graphic>
              </wp:inline>
            </w:drawing>
          </mc:Fallback>
        </mc:AlternateConten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3:Selected problem and employed technology</w:t>
      </w:r>
    </w:p>
    <w:p w:rsidR="00000000" w:rsidDel="00000000" w:rsidP="00000000" w:rsidRDefault="00000000" w:rsidRPr="00000000" w14:paraId="0000004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Throughout the activity, I was drawn at first to convergent thinking, focusing more on feasibility than exploration. This reduced the creativity of the group, however. The discussion helped me shift consciously to the divergent way of thinking, providing more general ideas, like the integration of digital tools into care pathways. This change improved group output, which showed the benefit of cognitive flexibility.</w:t>
      </w:r>
    </w:p>
    <w:p w:rsidR="00000000" w:rsidDel="00000000" w:rsidP="00000000" w:rsidRDefault="00000000" w:rsidRPr="00000000" w14:paraId="0000004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Considerably, the conflict resolution was another member's unrealistic solution. I did not dismiss it, but employed divergent thinking to build up on the idea before jointly using convergent thinking to polish it. This improved teamwork and a feeling of psychological security in the group.</w:t>
      </w:r>
    </w:p>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Also, this experience made me realise that teamwork should not be grounded on either of the two modes of thinking, but rather on the balance between them. It also pointed out that I was more risk-averse in decision-making, which can limit innovation. In the future, I will make it a conscious effort to be more exploratory to build creativity and leadership capacity within a healthcare setting.</w:t>
      </w:r>
    </w:p>
    <w:p w:rsidR="00000000" w:rsidDel="00000000" w:rsidP="00000000" w:rsidRDefault="00000000" w:rsidRPr="00000000" w14:paraId="00000048">
      <w:pPr>
        <w:pStyle w:val="Heading1"/>
        <w:rPr>
          <w:b w:val="1"/>
          <w:bCs w:val="1"/>
        </w:rPr>
      </w:pPr>
      <w:bookmarkStart w:colFirst="0" w:colLast="0" w:name="_b4046crmn8v7" w:id="4"/>
      <w:bookmarkEnd w:id="4"/>
      <w:r w:rsidDel="00000000" w:rsidR="00000000" w:rsidRPr="00000000">
        <w:rPr>
          <w:b w:val="1"/>
          <w:bCs w:val="1"/>
          <w:rtl w:val="0"/>
        </w:rPr>
        <w:t xml:space="preserve">Task 4: Case Study Analysis of a UK Innovation </w:t>
      </w:r>
    </w:p>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NHS Virtual Wards project is an important innovation that tackles the problem of overcrowding and delayed discharges in hospitals. The essence of the matter was the rise in the number of patients and the insufficient ability of the inpatient care, which led to inefficiency and compromised the quality of care (NHS England, 2022).</w:t>
      </w:r>
    </w:p>
    <w:p w:rsidR="00000000" w:rsidDel="00000000" w:rsidP="00000000" w:rsidRDefault="00000000" w:rsidRPr="00000000" w14:paraId="0000004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Applying creativity was in redesigning the conventional model of hospitals so that patients can have an opportunity to acquire acute care at home with remote monitoring devices. This can be supported by Rogers’s Diffusion of Innovation Theory (2003), where the digital health solutions are embraced to enhance the efficiency of the system.</w:t>
      </w:r>
    </w:p>
    <w:p w:rsidR="00000000" w:rsidDel="00000000" w:rsidP="00000000" w:rsidRDefault="00000000" w:rsidRPr="00000000" w14:paraId="0000004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value that is generated is complex. Patients also enjoy a better hospital experience in terms of exposure to hospital-acquired infections and enhanced recovery conditions. Virtually, the hospital wards cut down hospital bed occupancy, improving the sustainability of the system. They are socially empowering in that their approach encourages autonomy in care management.</w:t>
      </w:r>
    </w:p>
    <w:p w:rsidR="00000000" w:rsidDel="00000000" w:rsidP="00000000" w:rsidRDefault="00000000" w:rsidRPr="00000000" w14:paraId="0000004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Results have shown a decrease in readmission rates and patient satisfaction; however, there have been issues with digital literacy and equitable access. Importantly, although the example of virtual wards illustrates the innovation, the success of this solution in the long run relies on the establishment of digital access to address systemic inequalities. The case shows that innovation in healthcare should strike a balance between technology development and inclusivity to generate sustainable value.</w:t>
      </w:r>
    </w:p>
    <w:p w:rsidR="00000000" w:rsidDel="00000000" w:rsidP="00000000" w:rsidRDefault="00000000" w:rsidRPr="00000000" w14:paraId="0000004D">
      <w:pPr>
        <w:pStyle w:val="Heading1"/>
        <w:rPr>
          <w:b w:val="1"/>
          <w:bCs w:val="1"/>
        </w:rPr>
      </w:pPr>
      <w:bookmarkStart w:colFirst="0" w:colLast="0" w:name="_fo7pgjvnbpbo" w:id="5"/>
      <w:bookmarkEnd w:id="5"/>
      <w:r w:rsidDel="00000000" w:rsidR="00000000" w:rsidRPr="00000000">
        <w:rPr>
          <w:b w:val="1"/>
          <w:bCs w:val="1"/>
          <w:rtl w:val="0"/>
        </w:rPr>
        <w:t xml:space="preserve">Task 5: Research Task </w:t>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problem under study is healthcare staff burnout, which is discussed based on two scholarly articles. Figure 3 demonstrates my engagement with research methodologies, reinforcing the analytical comparison presented.</w:t>
      </w:r>
    </w:p>
    <w:p w:rsidR="00000000" w:rsidDel="00000000" w:rsidP="00000000" w:rsidRDefault="00000000" w:rsidRPr="00000000" w14:paraId="0000004F">
      <w:pPr>
        <w:keepNext w:val="1"/>
        <w:rPr/>
      </w:pPr>
      <w:r w:rsidDel="00000000" w:rsidR="00000000" w:rsidRPr="00000000">
        <w:rPr/>
        <w:drawing>
          <wp:inline distB="0" distT="0" distL="0" distR="0">
            <wp:extent cx="5943600" cy="4152900"/>
            <wp:effectExtent b="0" l="0" r="0" t="0"/>
            <wp:docPr id="6" name="image1.jpg"/>
            <a:graphic>
              <a:graphicData uri="http://schemas.openxmlformats.org/drawingml/2006/picture">
                <pic:pic>
                  <pic:nvPicPr>
                    <pic:cNvPr id="0" name="image1.jpg"/>
                    <pic:cNvPicPr preferRelativeResize="0"/>
                  </pic:nvPicPr>
                  <pic:blipFill>
                    <a:blip r:embed="rId11"/>
                    <a:srcRect b="32667" l="0" r="0" t="-8427"/>
                    <a:stretch>
                      <a:fillRect/>
                    </a:stretch>
                  </pic:blipFill>
                  <pic:spPr>
                    <a:xfrm>
                      <a:off x="0" y="0"/>
                      <a:ext cx="5943600" cy="41529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4: Example of applying qualitative and quantitative methods in elderly discharge (own work)</w:t>
      </w: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First, West et al. (2016) find organisational factors like heavy workload and absence of leadership support as the major factors that lead to burnout. Their results reiterate that burnout is not a problem of individuals but a systems failure in healthcare systems. This supports Maslach Burnout Theory, which frames burnout as emotional exhaustion, depersonalisation and a low sense of personal accomplishment (Maslach et al., 2001).</w:t>
      </w:r>
    </w:p>
    <w:p w:rsidR="00000000" w:rsidDel="00000000" w:rsidP="00000000" w:rsidRDefault="00000000" w:rsidRPr="00000000" w14:paraId="0000005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Dyrbye et al. (2017), on the contrary, focus on psychological and behavioural consequences of burnout, which is the relationship between burnout and medical errors and poor patient safety (see Table 1). The study is significant because it directly relates the well-being of the staff to clinical outcomes. On the contrary, even though both articles recognise the workload impact as a factor, West et al. (2016) adopt a more systemic perspective, whereas Dyrbye et al. concentrate on the effect on individuals and patients.</w:t>
      </w:r>
    </w:p>
    <w:p w:rsidR="00000000" w:rsidDel="00000000" w:rsidP="00000000" w:rsidRDefault="00000000" w:rsidRPr="00000000" w14:paraId="0000005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Table 1: Research Comparison</w:t>
      </w:r>
    </w:p>
    <w:tbl>
      <w:tblPr>
        <w:tblStyle w:val="Table1"/>
        <w:tblW w:w="756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63"/>
        <w:gridCol w:w="1452"/>
        <w:gridCol w:w="3110"/>
        <w:gridCol w:w="843"/>
        <w:tblGridChange w:id="0">
          <w:tblGrid>
            <w:gridCol w:w="2163"/>
            <w:gridCol w:w="1452"/>
            <w:gridCol w:w="3110"/>
            <w:gridCol w:w="843"/>
          </w:tblGrid>
        </w:tblGridChange>
      </w:tblGrid>
      <w:tr>
        <w:trPr>
          <w:cantSplit w:val="0"/>
          <w:tblHeader w:val="0"/>
        </w:trPr>
        <w:tc>
          <w:tcPr/>
          <w:p w:rsidR="00000000" w:rsidDel="00000000" w:rsidP="00000000" w:rsidRDefault="00000000" w:rsidRPr="00000000" w14:paraId="00000055">
            <w:pPr>
              <w:spacing w:after="160" w:line="278.00000000000006"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Study</w:t>
            </w:r>
          </w:p>
        </w:tc>
        <w:tc>
          <w:tcPr/>
          <w:p w:rsidR="00000000" w:rsidDel="00000000" w:rsidP="00000000" w:rsidRDefault="00000000" w:rsidRPr="00000000" w14:paraId="00000056">
            <w:pPr>
              <w:spacing w:after="160" w:line="278.00000000000006"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Focus</w:t>
            </w:r>
          </w:p>
        </w:tc>
        <w:tc>
          <w:tcPr/>
          <w:p w:rsidR="00000000" w:rsidDel="00000000" w:rsidP="00000000" w:rsidRDefault="00000000" w:rsidRPr="00000000" w14:paraId="00000057">
            <w:pPr>
              <w:spacing w:after="160" w:line="278.00000000000006"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Key Finding</w:t>
            </w:r>
          </w:p>
        </w:tc>
        <w:tc>
          <w:tcPr/>
          <w:p w:rsidR="00000000" w:rsidDel="00000000" w:rsidP="00000000" w:rsidRDefault="00000000" w:rsidRPr="00000000" w14:paraId="00000058">
            <w:pPr>
              <w:spacing w:after="160" w:line="278.00000000000006"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Level</w:t>
            </w:r>
          </w:p>
        </w:tc>
      </w:tr>
      <w:tr>
        <w:trPr>
          <w:cantSplit w:val="0"/>
          <w:tblHeader w:val="0"/>
        </w:trPr>
        <w:tc>
          <w:tcPr/>
          <w:p w:rsidR="00000000" w:rsidDel="00000000" w:rsidP="00000000" w:rsidRDefault="00000000" w:rsidRPr="00000000" w14:paraId="00000059">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West et al. (2016)</w:t>
            </w:r>
          </w:p>
        </w:tc>
        <w:tc>
          <w:tcPr/>
          <w:p w:rsidR="00000000" w:rsidDel="00000000" w:rsidP="00000000" w:rsidRDefault="00000000" w:rsidRPr="00000000" w14:paraId="0000005A">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Organisation</w:t>
            </w:r>
          </w:p>
        </w:tc>
        <w:tc>
          <w:tcPr/>
          <w:p w:rsidR="00000000" w:rsidDel="00000000" w:rsidP="00000000" w:rsidRDefault="00000000" w:rsidRPr="00000000" w14:paraId="0000005B">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Burnout means a system issue</w:t>
            </w:r>
          </w:p>
        </w:tc>
        <w:tc>
          <w:tcPr/>
          <w:p w:rsidR="00000000" w:rsidDel="00000000" w:rsidP="00000000" w:rsidRDefault="00000000" w:rsidRPr="00000000" w14:paraId="0000005C">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Macro</w:t>
            </w:r>
          </w:p>
        </w:tc>
      </w:tr>
      <w:tr>
        <w:trPr>
          <w:cantSplit w:val="0"/>
          <w:tblHeader w:val="0"/>
        </w:trPr>
        <w:tc>
          <w:tcPr/>
          <w:p w:rsidR="00000000" w:rsidDel="00000000" w:rsidP="00000000" w:rsidRDefault="00000000" w:rsidRPr="00000000" w14:paraId="0000005D">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Dyrbye et al. (2017)</w:t>
            </w:r>
          </w:p>
        </w:tc>
        <w:tc>
          <w:tcPr/>
          <w:p w:rsidR="00000000" w:rsidDel="00000000" w:rsidP="00000000" w:rsidRDefault="00000000" w:rsidRPr="00000000" w14:paraId="0000005E">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Individual</w:t>
            </w:r>
          </w:p>
        </w:tc>
        <w:tc>
          <w:tcPr/>
          <w:p w:rsidR="00000000" w:rsidDel="00000000" w:rsidP="00000000" w:rsidRDefault="00000000" w:rsidRPr="00000000" w14:paraId="0000005F">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Burnout leads to errors</w:t>
            </w:r>
          </w:p>
        </w:tc>
        <w:tc>
          <w:tcPr/>
          <w:p w:rsidR="00000000" w:rsidDel="00000000" w:rsidP="00000000" w:rsidRDefault="00000000" w:rsidRPr="00000000" w14:paraId="00000060">
            <w:pPr>
              <w:spacing w:after="160" w:line="278.0000000000000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Micro</w:t>
            </w:r>
          </w:p>
        </w:tc>
      </w:tr>
    </w:tbl>
    <w:p w:rsidR="00000000" w:rsidDel="00000000" w:rsidP="00000000" w:rsidRDefault="00000000" w:rsidRPr="00000000" w14:paraId="00000061">
      <w:pP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62">
      <w:pPr>
        <w:pStyle w:val="Heading1"/>
        <w:rPr>
          <w:b w:val="1"/>
          <w:bCs w:val="1"/>
        </w:rPr>
      </w:pPr>
      <w:bookmarkStart w:colFirst="0" w:colLast="0" w:name="_dfqcwn9v6rt1" w:id="6"/>
      <w:bookmarkEnd w:id="6"/>
      <w:r w:rsidDel="00000000" w:rsidR="00000000" w:rsidRPr="00000000">
        <w:rPr>
          <w:b w:val="1"/>
          <w:bCs w:val="1"/>
          <w:rtl w:val="0"/>
        </w:rPr>
        <w:t xml:space="preserve">Task 6: Digital Innovation in Health and Social Care </w:t>
      </w:r>
    </w:p>
    <w:p w:rsidR="00000000" w:rsidDel="00000000" w:rsidP="00000000" w:rsidRDefault="00000000" w:rsidRPr="00000000" w14:paraId="00000063">
      <w:pP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6.1. Benefits of Wearable Technology</w:t>
      </w:r>
    </w:p>
    <w:p w:rsidR="00000000" w:rsidDel="00000000" w:rsidP="00000000" w:rsidRDefault="00000000" w:rsidRPr="00000000" w14:paraId="0000006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Wearable gadgets. Wearable devices (fitness trackers and remote health monitors) can deliver live health information that can improve preventive care and chronic disease management. Such devices can continuously monitor vital signs, which allows for timely identification of the worsening of health, especially in such a condition as cardiovascular disease (Piwek et al., 2016).</w:t>
      </w:r>
    </w:p>
    <w:p w:rsidR="00000000" w:rsidDel="00000000" w:rsidP="00000000" w:rsidRDefault="00000000" w:rsidRPr="00000000" w14:paraId="0000006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Most importantly, wearable technology transforms healthcare into reactive and proactive healthcare models by enabling patients to take initiative in self-management. This is in line with value-based care models, which lay emphasis on prevention rather than cure. To illustrate, heart monitors that can be worn could warn clinicians of abnormalities before the onset of symptoms, which can minimise hospitalisation. Nevertheless, there are still problems with the accuracy of data, issues of privacy, and digital inequality. Although restricted, wearable technology is a revolutionary device in today’s healthcare, enhancing patient outcomes and decreasing the load on the system.</w:t>
      </w:r>
    </w:p>
    <w:p w:rsidR="00000000" w:rsidDel="00000000" w:rsidP="00000000" w:rsidRDefault="00000000" w:rsidRPr="00000000" w14:paraId="00000066">
      <w:pP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6.2. How Electronic Health Records (EHRs) Improve Communication </w:t>
      </w:r>
    </w:p>
    <w:p w:rsidR="00000000" w:rsidDel="00000000" w:rsidP="00000000" w:rsidRDefault="00000000" w:rsidRPr="00000000" w14:paraId="0000006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Electronic Health Records (EHRs) are reputed to significantly enhance communication since they provide a multidisciplinary team with real-time access to patient data via an integrated system. EHRs are beneficial in the continuity of care compared with a discontinuous paper-based system since the former gives clinicians instant access to the right and up-to-date patient data (Adeniyi et al., 2024).</w:t>
      </w:r>
    </w:p>
    <w:p w:rsidR="00000000" w:rsidDel="00000000" w:rsidP="00000000" w:rsidRDefault="00000000" w:rsidRPr="00000000" w14:paraId="0000006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Notably, EHRs result in a reduction of medical errors associated with miscommunication, and such an outcome is particularly applicable to emergency care, which is a risky environment. They also facilitate integrated decision-making, which enables specialists from various specialities to work together. For instance, medication histories are accessible to all and eliminate duplication and adverse drug interactions.</w:t>
      </w:r>
    </w:p>
    <w:p w:rsidR="00000000" w:rsidDel="00000000" w:rsidP="00000000" w:rsidRDefault="00000000" w:rsidRPr="00000000" w14:paraId="0000006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impact of EHRs, however, is determined by the usability of the system and employee training. Inadequately constructed systems may add to administrative load and may lead to frustration among clinicians. Thus, although EHRs present great opportunities, their application needs to focus on the user-centred design to optimise value creation in healthcare delivery.</w:t>
      </w:r>
    </w:p>
    <w:p w:rsidR="00000000" w:rsidDel="00000000" w:rsidP="00000000" w:rsidRDefault="00000000" w:rsidRPr="00000000" w14:paraId="0000006A">
      <w:pP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6.3. Role of Digital Technology in Prevention </w:t>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Digital technologies are significant in transforming healthcare towards prevention through facilitating early intervention and health promotion. Examples of such tools include mobile health apps, telehealth, and AI-based analytics, which allow individuals to monitor their health behaviours and remotely be supported (Topol, 2019).</w:t>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 importantly, digital interventions promote access, especially targeting those populations that have low access to conventional healthcare services. For example, smoking cessation or diabetes management mobile applications offer personalised feedback, which enhances treatment plan compliance.</w:t>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Systems-wise, prevention-oriented technologies minimise the expenses of long-term healthcare by decreasing the number of hospitalisations and the progression of the disease. Nevertheless, online inequality is still a major setback, especially for the elderly and poor. Therefore, despite the potential of digital technology to change preventative care, its effectiveness needs equitable access and inclusive design practices that take into account social determinants of health.</w:t>
      </w:r>
    </w:p>
    <w:p w:rsidR="00000000" w:rsidDel="00000000" w:rsidP="00000000" w:rsidRDefault="00000000" w:rsidRPr="00000000" w14:paraId="0000006E">
      <w:pPr>
        <w:pStyle w:val="Heading1"/>
        <w:rPr>
          <w:b w:val="1"/>
          <w:bCs w:val="1"/>
        </w:rPr>
      </w:pPr>
      <w:bookmarkStart w:colFirst="0" w:colLast="0" w:name="_rejkwtt4f0bv" w:id="7"/>
      <w:bookmarkEnd w:id="7"/>
      <w:r w:rsidDel="00000000" w:rsidR="00000000" w:rsidRPr="00000000">
        <w:rPr>
          <w:b w:val="1"/>
          <w:bCs w:val="1"/>
          <w:rtl w:val="0"/>
        </w:rPr>
        <w:t xml:space="preserve">Task 7: NHS Leadership Framework </w:t>
      </w:r>
    </w:p>
    <w:p w:rsidR="00000000" w:rsidDel="00000000" w:rsidP="00000000" w:rsidRDefault="00000000" w:rsidRPr="00000000" w14:paraId="0000006F">
      <w:pPr>
        <w:pStyle w:val="Heading2"/>
        <w:rPr/>
      </w:pPr>
      <w:bookmarkStart w:colFirst="0" w:colLast="0" w:name="_shm2h51ymrnb" w:id="8"/>
      <w:bookmarkEnd w:id="8"/>
      <w:r w:rsidDel="00000000" w:rsidR="00000000" w:rsidRPr="00000000">
        <w:rPr>
          <w:rtl w:val="0"/>
        </w:rPr>
        <w:t xml:space="preserve">Part 1: Explanation and Importance </w:t>
      </w:r>
    </w:p>
    <w:p w:rsidR="00000000" w:rsidDel="00000000" w:rsidP="00000000" w:rsidRDefault="00000000" w:rsidRPr="00000000" w14:paraId="0000007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NHS Healthcare Leadership Model is a model detailing the behaviours that are needed to enable successful leadership in the healthcare systems (see figure 4). It focuses on areas like leading with care, sharing the vision, engaging the team, and influencing results (NHS Leadership Academy, 2013).</w:t>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 importantly, the framework acknowledges that leadership in health care is not limited to the formal managerial positions but is shared among all levels of the organisation. This is in line with the recent leadership theories which focus on collaboration, flexibility and emotional intelligence.</w:t>
      </w:r>
    </w:p>
    <w:p w:rsidR="00000000" w:rsidDel="00000000" w:rsidP="00000000" w:rsidRDefault="00000000" w:rsidRPr="00000000" w14:paraId="00000072">
      <w:pPr>
        <w:keepNext w:val="1"/>
        <w:rPr>
          <w:rFonts w:ascii="Times New Roman" w:cs="Times New Roman" w:eastAsia="Times New Roman" w:hAnsi="Times New Roman"/>
        </w:rPr>
      </w:pPr>
      <w:r w:rsidDel="00000000" w:rsidR="00000000" w:rsidRPr="00000000">
        <w:rPr/>
        <w:drawing>
          <wp:inline distB="0" distT="0" distL="0" distR="0">
            <wp:extent cx="5943600" cy="3639820"/>
            <wp:effectExtent b="0" l="0" r="0" t="0"/>
            <wp:docPr descr="The nine leadership dimensions of the Healthcare Leadership Model. From NHS Leadership Academy (2013).  " id="8" name="image3.png"/>
            <a:graphic>
              <a:graphicData uri="http://schemas.openxmlformats.org/drawingml/2006/picture">
                <pic:pic>
                  <pic:nvPicPr>
                    <pic:cNvPr descr="The nine leadership dimensions of the Healthcare Leadership Model. From NHS Leadership Academy (2013).  " id="0" name="image3.png"/>
                    <pic:cNvPicPr preferRelativeResize="0"/>
                  </pic:nvPicPr>
                  <pic:blipFill>
                    <a:blip r:embed="rId12"/>
                    <a:srcRect b="0" l="0" r="0" t="0"/>
                    <a:stretch>
                      <a:fillRect/>
                    </a:stretch>
                  </pic:blipFill>
                  <pic:spPr>
                    <a:xfrm>
                      <a:off x="0" y="0"/>
                      <a:ext cx="5943600" cy="363982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5: NHS Leadership Model (Source: Till et a., 2015)</w:t>
      </w:r>
    </w:p>
    <w:p w:rsidR="00000000" w:rsidDel="00000000" w:rsidP="00000000" w:rsidRDefault="00000000" w:rsidRPr="00000000" w14:paraId="0000007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significance of the framework is that it facilitates the maintenance of uniform leadership behaviours that improve patient outcomes and performance in organisations. Leadership is needed in the complex healthcare setting of uncertainty and resource limitations to promote innovation and quality of care. Moreover, the framework promotes cultural change through practice and constant improvement, which is essential to maintain healthcare change.</w:t>
      </w:r>
    </w:p>
    <w:p w:rsidR="00000000" w:rsidDel="00000000" w:rsidP="00000000" w:rsidRDefault="00000000" w:rsidRPr="00000000" w14:paraId="00000075">
      <w:pPr>
        <w:pStyle w:val="Heading2"/>
        <w:rPr/>
      </w:pPr>
      <w:bookmarkStart w:colFirst="0" w:colLast="0" w:name="_mw01imkr148s" w:id="9"/>
      <w:bookmarkEnd w:id="9"/>
      <w:r w:rsidDel="00000000" w:rsidR="00000000" w:rsidRPr="00000000">
        <w:rPr>
          <w:rtl w:val="0"/>
        </w:rPr>
        <w:t xml:space="preserve">Part 2: Leadership Behaviour and Impact </w:t>
      </w:r>
    </w:p>
    <w:p w:rsidR="00000000" w:rsidDel="00000000" w:rsidP="00000000" w:rsidRDefault="00000000" w:rsidRPr="00000000" w14:paraId="0000007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Leading with care is one of the leadership behaviours that emphasises empathy, compassion, and staff wellbeing. This behaviour has a direct impact on creativity because it results in psychologically safe settings where people feel appreciated and enabled to express ideas (West et al., 2017).</w:t>
      </w:r>
    </w:p>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Notably, caring leadership reduces burnout and enhances the engagement of a team, which is essential in sustaining innovation in a healthcare setting. Having a supporting staff leads to an increased chance of staff participation in problem-solving and quality improvement efforts. Therefore, caring leadership enhances the well-being of staff and, in addition, leads to innovation and better patient outcomes.</w:t>
      </w:r>
    </w:p>
    <w:p w:rsidR="00000000" w:rsidDel="00000000" w:rsidP="00000000" w:rsidRDefault="00000000" w:rsidRPr="00000000" w14:paraId="00000078">
      <w:pPr>
        <w:pStyle w:val="Heading2"/>
        <w:rPr/>
      </w:pPr>
      <w:bookmarkStart w:colFirst="0" w:colLast="0" w:name="_1sv1ny1p1y" w:id="10"/>
      <w:bookmarkEnd w:id="10"/>
      <w:r w:rsidDel="00000000" w:rsidR="00000000" w:rsidRPr="00000000">
        <w:rPr>
          <w:rtl w:val="0"/>
        </w:rPr>
        <w:t xml:space="preserve">Reflection </w:t>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concept of leadership has shifted towards the idea of being based on authority and has been changed to be relational and value-based. The NHS Leadership Framework and transformational leadership theory (Bass and Avolio, 1994) have exposed the significance of empowering and inspiring others instead of controlling them.</w:t>
      </w:r>
    </w:p>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change was informed by studying empirical issues in healthcare, specifically staff burnout, in which leadership behaviours have a direct influence on workforce wellbeing.</w:t>
      </w:r>
    </w:p>
    <w:p w:rsidR="00000000" w:rsidDel="00000000" w:rsidP="00000000" w:rsidRDefault="00000000" w:rsidRPr="00000000" w14:paraId="0000007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my future work practice, I would prefer to use a compassionate and transformational leadership style, collaborate, be innovative, and continuously enhance the quality of patient care and experience of the staff.</w:t>
      </w:r>
    </w:p>
    <w:p w:rsidR="00000000" w:rsidDel="00000000" w:rsidP="00000000" w:rsidRDefault="00000000" w:rsidRPr="00000000" w14:paraId="0000007C">
      <w:pPr>
        <w:pStyle w:val="Heading1"/>
        <w:rPr/>
      </w:pPr>
      <w:bookmarkStart w:colFirst="0" w:colLast="0" w:name="_efvt0nhbmbsn" w:id="11"/>
      <w:bookmarkEnd w:id="11"/>
      <w:r w:rsidDel="00000000" w:rsidR="00000000" w:rsidRPr="00000000">
        <w:rPr>
          <w:rtl w:val="0"/>
        </w:rPr>
        <w:t xml:space="preserve">Task 8: Self-Reflection Journal </w:t>
      </w:r>
    </w:p>
    <w:p w:rsidR="00000000" w:rsidDel="00000000" w:rsidP="00000000" w:rsidRDefault="00000000" w:rsidRPr="00000000" w14:paraId="0000007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reflection is a synthesis of my experience of learning about creativity, innovation, and value creation in healthcare using the Experiential Learning Cycle of Kolb (1984). My first concept of innovation was that of technological progress. Nonetheless, by working through the content of the modules, I have cultivated a more questioning perspective on the fact that innovation is the creation of meaningful value, specifically, in terms of dealing with systemic issues, such as workforce burnout and digital inequality.</w:t>
      </w:r>
    </w:p>
    <w:p w:rsidR="00000000" w:rsidDel="00000000" w:rsidP="00000000" w:rsidRDefault="00000000" w:rsidRPr="00000000" w14:paraId="0000007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Reflective observation helped me to realise the necessity of the combination of creativity and practicality. Indicatively, the introduction of the use of technologies such as virtual wards indicates that value creation relies on the technological ability as well as the system preparedness. Conceptualisation has strengthened the role of leadership and systems thinking in maintaining the innovation. I would use the following in future practice by focusing on a problem-solving practice that focuses on patient-centred care, collaboration and continuous improvement that will ensure that innovation results in fair and sustainable healthcare delivery.</w:t>
      </w:r>
    </w:p>
    <w:p w:rsidR="00000000" w:rsidDel="00000000" w:rsidP="00000000" w:rsidRDefault="00000000" w:rsidRPr="00000000" w14:paraId="0000007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81">
      <w:pPr>
        <w:pStyle w:val="Heading1"/>
        <w:jc w:val="center"/>
        <w:rPr>
          <w:b w:val="1"/>
          <w:bCs w:val="1"/>
        </w:rPr>
      </w:pPr>
      <w:bookmarkStart w:colFirst="0" w:colLast="0" w:name="_hh1ksus8wgrv" w:id="12"/>
      <w:bookmarkEnd w:id="12"/>
      <w:r w:rsidDel="00000000" w:rsidR="00000000" w:rsidRPr="00000000">
        <w:rPr>
          <w:b w:val="1"/>
          <w:bCs w:val="1"/>
          <w:rtl w:val="0"/>
        </w:rPr>
        <w:t xml:space="preserve">REFERENCE</w:t>
      </w:r>
    </w:p>
    <w:p w:rsidR="00000000" w:rsidDel="00000000" w:rsidP="00000000" w:rsidRDefault="00000000" w:rsidRPr="00000000" w14:paraId="00000082">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Adeniyi, A. O., Arowoogun, J. O., Chidi, R., Okolo, C. A., and Babawarun, O. (2024). The impact of electronic health records on patient care and outcomes: A comprehensive review. </w:t>
      </w:r>
      <w:r w:rsidDel="00000000" w:rsidR="00000000" w:rsidRPr="00000000">
        <w:rPr>
          <w:rFonts w:ascii="Times New Roman" w:cs="Times New Roman" w:eastAsia="Times New Roman" w:hAnsi="Times New Roman"/>
          <w:i w:val="1"/>
          <w:iCs w:val="1"/>
          <w:rtl w:val="0"/>
        </w:rPr>
        <w:t xml:space="preserve">World Journal of Advanced Research and Reviews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21</w:t>
      </w:r>
      <w:r w:rsidDel="00000000" w:rsidR="00000000" w:rsidRPr="00000000">
        <w:rPr>
          <w:rFonts w:ascii="Times New Roman" w:cs="Times New Roman" w:eastAsia="Times New Roman" w:hAnsi="Times New Roman"/>
          <w:rtl w:val="0"/>
        </w:rPr>
        <w:t xml:space="preserve">(2), 1446-1455.</w:t>
      </w:r>
    </w:p>
    <w:p w:rsidR="00000000" w:rsidDel="00000000" w:rsidP="00000000" w:rsidRDefault="00000000" w:rsidRPr="00000000" w14:paraId="00000083">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Bass, B.M. and Avolio, B.J. (1994) </w:t>
      </w:r>
      <w:r w:rsidDel="00000000" w:rsidR="00000000" w:rsidRPr="00000000">
        <w:rPr>
          <w:rFonts w:ascii="Times New Roman" w:cs="Times New Roman" w:eastAsia="Times New Roman" w:hAnsi="Times New Roman"/>
          <w:i w:val="1"/>
          <w:iCs w:val="1"/>
          <w:rtl w:val="0"/>
        </w:rPr>
        <w:t xml:space="preserve">Improving Organizational Effectiveness through Transformational Leadership</w:t>
      </w:r>
      <w:r w:rsidDel="00000000" w:rsidR="00000000" w:rsidRPr="00000000">
        <w:rPr>
          <w:rFonts w:ascii="Times New Roman" w:cs="Times New Roman" w:eastAsia="Times New Roman" w:hAnsi="Times New Roman"/>
          <w:rtl w:val="0"/>
        </w:rPr>
        <w:t xml:space="preserve">. Thousand Oaks: Sage.</w:t>
      </w:r>
    </w:p>
    <w:p w:rsidR="00000000" w:rsidDel="00000000" w:rsidP="00000000" w:rsidRDefault="00000000" w:rsidRPr="00000000" w14:paraId="00000084">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Cropley, A. (2006) ‘In praise of convergent thinking’, </w:t>
      </w:r>
      <w:r w:rsidDel="00000000" w:rsidR="00000000" w:rsidRPr="00000000">
        <w:rPr>
          <w:rFonts w:ascii="Times New Roman" w:cs="Times New Roman" w:eastAsia="Times New Roman" w:hAnsi="Times New Roman"/>
          <w:i w:val="1"/>
          <w:iCs w:val="1"/>
          <w:rtl w:val="0"/>
        </w:rPr>
        <w:t xml:space="preserve">Creativity Research Journal</w:t>
      </w:r>
      <w:r w:rsidDel="00000000" w:rsidR="00000000" w:rsidRPr="00000000">
        <w:rPr>
          <w:rFonts w:ascii="Times New Roman" w:cs="Times New Roman" w:eastAsia="Times New Roman" w:hAnsi="Times New Roman"/>
          <w:rtl w:val="0"/>
        </w:rPr>
        <w:t xml:space="preserve">, 18(3), pp. 391–404.</w:t>
      </w:r>
    </w:p>
    <w:p w:rsidR="00000000" w:rsidDel="00000000" w:rsidP="00000000" w:rsidRDefault="00000000" w:rsidRPr="00000000" w14:paraId="00000085">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Dyrbye, L. N., Shanafelt, T. D., Sinsky, C. A., Cipriano, P. F., Bhatt, J., Ommaya, A., ... and Meyers, D. (2017). Burnout among health care professionals: a call to explore and address this underrecognized threat to safe, high-quality care. </w:t>
      </w:r>
      <w:r w:rsidDel="00000000" w:rsidR="00000000" w:rsidRPr="00000000">
        <w:rPr>
          <w:rFonts w:ascii="Times New Roman" w:cs="Times New Roman" w:eastAsia="Times New Roman" w:hAnsi="Times New Roman"/>
          <w:i w:val="1"/>
          <w:iCs w:val="1"/>
          <w:rtl w:val="0"/>
        </w:rPr>
        <w:t xml:space="preserve">NAM perspectives</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86">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Gibbs, G. (1988) </w:t>
      </w:r>
      <w:r w:rsidDel="00000000" w:rsidR="00000000" w:rsidRPr="00000000">
        <w:rPr>
          <w:rFonts w:ascii="Times New Roman" w:cs="Times New Roman" w:eastAsia="Times New Roman" w:hAnsi="Times New Roman"/>
          <w:i w:val="1"/>
          <w:iCs w:val="1"/>
          <w:rtl w:val="0"/>
        </w:rPr>
        <w:t xml:space="preserve">Learning by Doing: A Guide to Teaching and Learning Methods</w:t>
      </w:r>
      <w:r w:rsidDel="00000000" w:rsidR="00000000" w:rsidRPr="00000000">
        <w:rPr>
          <w:rFonts w:ascii="Times New Roman" w:cs="Times New Roman" w:eastAsia="Times New Roman" w:hAnsi="Times New Roman"/>
          <w:rtl w:val="0"/>
        </w:rPr>
        <w:t xml:space="preserve">. Oxford: Oxford Polytechnic.</w:t>
      </w:r>
    </w:p>
    <w:p w:rsidR="00000000" w:rsidDel="00000000" w:rsidP="00000000" w:rsidRDefault="00000000" w:rsidRPr="00000000" w14:paraId="00000087">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Kolb, D.A. (1984). </w:t>
      </w:r>
      <w:r w:rsidDel="00000000" w:rsidR="00000000" w:rsidRPr="00000000">
        <w:rPr>
          <w:rFonts w:ascii="Times New Roman" w:cs="Times New Roman" w:eastAsia="Times New Roman" w:hAnsi="Times New Roman"/>
          <w:i w:val="1"/>
          <w:iCs w:val="1"/>
          <w:rtl w:val="0"/>
        </w:rPr>
        <w:t xml:space="preserve">Experiential Learning</w:t>
      </w:r>
      <w:r w:rsidDel="00000000" w:rsidR="00000000" w:rsidRPr="00000000">
        <w:rPr>
          <w:rFonts w:ascii="Times New Roman" w:cs="Times New Roman" w:eastAsia="Times New Roman" w:hAnsi="Times New Roman"/>
          <w:rtl w:val="0"/>
        </w:rPr>
        <w:t xml:space="preserve">. Englewood Cliffs: Prentice Hall.</w:t>
      </w:r>
    </w:p>
    <w:p w:rsidR="00000000" w:rsidDel="00000000" w:rsidP="00000000" w:rsidRDefault="00000000" w:rsidRPr="00000000" w14:paraId="00000088">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Maslach, C., Schaufeli, W.B. and Leiter, M.P. (2001) ‘Job burnout’, </w:t>
      </w:r>
      <w:r w:rsidDel="00000000" w:rsidR="00000000" w:rsidRPr="00000000">
        <w:rPr>
          <w:rFonts w:ascii="Times New Roman" w:cs="Times New Roman" w:eastAsia="Times New Roman" w:hAnsi="Times New Roman"/>
          <w:i w:val="1"/>
          <w:iCs w:val="1"/>
          <w:rtl w:val="0"/>
        </w:rPr>
        <w:t xml:space="preserve">Annual Review of Psychology</w:t>
      </w:r>
      <w:r w:rsidDel="00000000" w:rsidR="00000000" w:rsidRPr="00000000">
        <w:rPr>
          <w:rFonts w:ascii="Times New Roman" w:cs="Times New Roman" w:eastAsia="Times New Roman" w:hAnsi="Times New Roman"/>
          <w:rtl w:val="0"/>
        </w:rPr>
        <w:t xml:space="preserve">, 52, pp. 397–422.</w:t>
      </w:r>
    </w:p>
    <w:p w:rsidR="00000000" w:rsidDel="00000000" w:rsidP="00000000" w:rsidRDefault="00000000" w:rsidRPr="00000000" w14:paraId="00000089">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Meadows, D. (2008). </w:t>
      </w:r>
      <w:r w:rsidDel="00000000" w:rsidR="00000000" w:rsidRPr="00000000">
        <w:rPr>
          <w:rFonts w:ascii="Times New Roman" w:cs="Times New Roman" w:eastAsia="Times New Roman" w:hAnsi="Times New Roman"/>
          <w:i w:val="1"/>
          <w:iCs w:val="1"/>
          <w:rtl w:val="0"/>
        </w:rPr>
        <w:t xml:space="preserve">Thinking in Systems: A Primer</w:t>
      </w:r>
      <w:r w:rsidDel="00000000" w:rsidR="00000000" w:rsidRPr="00000000">
        <w:rPr>
          <w:rFonts w:ascii="Times New Roman" w:cs="Times New Roman" w:eastAsia="Times New Roman" w:hAnsi="Times New Roman"/>
          <w:rtl w:val="0"/>
        </w:rPr>
        <w:t xml:space="preserve">. White River Junction: Chelsea Green.</w:t>
      </w:r>
    </w:p>
    <w:p w:rsidR="00000000" w:rsidDel="00000000" w:rsidP="00000000" w:rsidRDefault="00000000" w:rsidRPr="00000000" w14:paraId="0000008A">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England (2022) </w:t>
      </w:r>
      <w:r w:rsidDel="00000000" w:rsidR="00000000" w:rsidRPr="00000000">
        <w:rPr>
          <w:rFonts w:ascii="Times New Roman" w:cs="Times New Roman" w:eastAsia="Times New Roman" w:hAnsi="Times New Roman"/>
          <w:i w:val="1"/>
          <w:iCs w:val="1"/>
          <w:rtl w:val="0"/>
        </w:rPr>
        <w:t xml:space="preserve">Virtual Wards: Operational Framework</w:t>
      </w:r>
      <w:r w:rsidDel="00000000" w:rsidR="00000000" w:rsidRPr="00000000">
        <w:rPr>
          <w:rFonts w:ascii="Times New Roman" w:cs="Times New Roman" w:eastAsia="Times New Roman" w:hAnsi="Times New Roman"/>
          <w:rtl w:val="0"/>
        </w:rPr>
        <w:t xml:space="preserve">. https://www.england.nhs.uk/publication/virtual-wards-operational-framework/</w:t>
      </w:r>
    </w:p>
    <w:p w:rsidR="00000000" w:rsidDel="00000000" w:rsidP="00000000" w:rsidRDefault="00000000" w:rsidRPr="00000000" w14:paraId="0000008B">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Leadership Academy (2013) </w:t>
      </w:r>
      <w:r w:rsidDel="00000000" w:rsidR="00000000" w:rsidRPr="00000000">
        <w:rPr>
          <w:rFonts w:ascii="Times New Roman" w:cs="Times New Roman" w:eastAsia="Times New Roman" w:hAnsi="Times New Roman"/>
          <w:i w:val="1"/>
          <w:iCs w:val="1"/>
          <w:rtl w:val="0"/>
        </w:rPr>
        <w:t xml:space="preserve">Healthcare Leadership Model</w:t>
      </w:r>
      <w:r w:rsidDel="00000000" w:rsidR="00000000" w:rsidRPr="00000000">
        <w:rPr>
          <w:rFonts w:ascii="Times New Roman" w:cs="Times New Roman" w:eastAsia="Times New Roman" w:hAnsi="Times New Roman"/>
          <w:rtl w:val="0"/>
        </w:rPr>
        <w:t xml:space="preserve">. https://www.leadershipacademy.nhs.uk/wp-content/uploads/dlm_uploads/2014/10/NHSLeadership-LeadershipModel-colour.pdf</w:t>
      </w:r>
    </w:p>
    <w:p w:rsidR="00000000" w:rsidDel="00000000" w:rsidP="00000000" w:rsidRDefault="00000000" w:rsidRPr="00000000" w14:paraId="0000008C">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Piwek, L., Ellis, D. A., Andrews, S., and Joinson, A. (2016). The rise of consumer health wearables: promises and barriers. </w:t>
      </w:r>
      <w:r w:rsidDel="00000000" w:rsidR="00000000" w:rsidRPr="00000000">
        <w:rPr>
          <w:rFonts w:ascii="Times New Roman" w:cs="Times New Roman" w:eastAsia="Times New Roman" w:hAnsi="Times New Roman"/>
          <w:i w:val="1"/>
          <w:iCs w:val="1"/>
          <w:rtl w:val="0"/>
        </w:rPr>
        <w:t xml:space="preserve">PLoS medicine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(2), e1001953.</w:t>
      </w:r>
    </w:p>
    <w:p w:rsidR="00000000" w:rsidDel="00000000" w:rsidP="00000000" w:rsidRDefault="00000000" w:rsidRPr="00000000" w14:paraId="0000008D">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Rogers, E.M. (2003). </w:t>
      </w:r>
      <w:r w:rsidDel="00000000" w:rsidR="00000000" w:rsidRPr="00000000">
        <w:rPr>
          <w:rFonts w:ascii="Times New Roman" w:cs="Times New Roman" w:eastAsia="Times New Roman" w:hAnsi="Times New Roman"/>
          <w:i w:val="1"/>
          <w:iCs w:val="1"/>
          <w:rtl w:val="0"/>
        </w:rPr>
        <w:t xml:space="preserve">Diffusion of Innovations</w:t>
      </w:r>
      <w:r w:rsidDel="00000000" w:rsidR="00000000" w:rsidRPr="00000000">
        <w:rPr>
          <w:rFonts w:ascii="Times New Roman" w:cs="Times New Roman" w:eastAsia="Times New Roman" w:hAnsi="Times New Roman"/>
          <w:rtl w:val="0"/>
        </w:rPr>
        <w:t xml:space="preserve">. 5th edn. New York: Free Press.</w:t>
      </w:r>
    </w:p>
    <w:p w:rsidR="00000000" w:rsidDel="00000000" w:rsidP="00000000" w:rsidRDefault="00000000" w:rsidRPr="00000000" w14:paraId="0000008E">
      <w:pPr>
        <w:ind w:left="720" w:hanging="720"/>
        <w:rPr>
          <w:rFonts w:ascii="Times New Roman" w:cs="Times New Roman" w:eastAsia="Times New Roman" w:hAnsi="Times New Roman"/>
        </w:rPr>
      </w:pPr>
      <w:bookmarkStart w:colFirst="0" w:colLast="0" w:name="_jh8w8lgasjwk" w:id="13"/>
      <w:bookmarkEnd w:id="13"/>
      <w:r w:rsidDel="00000000" w:rsidR="00000000" w:rsidRPr="00000000">
        <w:rPr>
          <w:rFonts w:ascii="Times New Roman" w:cs="Times New Roman" w:eastAsia="Times New Roman" w:hAnsi="Times New Roman"/>
          <w:rtl w:val="0"/>
        </w:rPr>
        <w:t xml:space="preserve">Topol, E. (2019). </w:t>
      </w:r>
      <w:r w:rsidDel="00000000" w:rsidR="00000000" w:rsidRPr="00000000">
        <w:rPr>
          <w:rFonts w:ascii="Times New Roman" w:cs="Times New Roman" w:eastAsia="Times New Roman" w:hAnsi="Times New Roman"/>
          <w:i w:val="1"/>
          <w:iCs w:val="1"/>
          <w:rtl w:val="0"/>
        </w:rPr>
        <w:t xml:space="preserve">Deep Medicine: How Artificial Intelligence Can Make Healthcare Human Again</w:t>
      </w:r>
      <w:r w:rsidDel="00000000" w:rsidR="00000000" w:rsidRPr="00000000">
        <w:rPr>
          <w:rFonts w:ascii="Times New Roman" w:cs="Times New Roman" w:eastAsia="Times New Roman" w:hAnsi="Times New Roman"/>
          <w:rtl w:val="0"/>
        </w:rPr>
        <w:t xml:space="preserve">. New York: Basic Books.</w:t>
      </w:r>
    </w:p>
    <w:p w:rsidR="00000000" w:rsidDel="00000000" w:rsidP="00000000" w:rsidRDefault="00000000" w:rsidRPr="00000000" w14:paraId="0000008F">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West, M., Eckert, R., Collins, B., and Chowla, R. (2017). Caring to change. </w:t>
      </w:r>
      <w:r w:rsidDel="00000000" w:rsidR="00000000" w:rsidRPr="00000000">
        <w:rPr>
          <w:rFonts w:ascii="Times New Roman" w:cs="Times New Roman" w:eastAsia="Times New Roman" w:hAnsi="Times New Roman"/>
          <w:i w:val="1"/>
          <w:iCs w:val="1"/>
          <w:rtl w:val="0"/>
        </w:rPr>
        <w:t xml:space="preserve">How compassionate leadership can stimulate innovation in health care. London, UK: The King's Fund</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90">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Till, A., Banerjee, J., and McKimm, J. (2015). Supporting the engagement of doctors in training in quality improvement and patient safety. </w:t>
      </w:r>
      <w:r w:rsidDel="00000000" w:rsidR="00000000" w:rsidRPr="00000000">
        <w:rPr>
          <w:rFonts w:ascii="Times New Roman" w:cs="Times New Roman" w:eastAsia="Times New Roman" w:hAnsi="Times New Roman"/>
          <w:i w:val="1"/>
          <w:iCs w:val="1"/>
          <w:rtl w:val="0"/>
        </w:rPr>
        <w:t xml:space="preserve">British Journal of Hospital Medicine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76</w:t>
      </w:r>
      <w:r w:rsidDel="00000000" w:rsidR="00000000" w:rsidRPr="00000000">
        <w:rPr>
          <w:rFonts w:ascii="Times New Roman" w:cs="Times New Roman" w:eastAsia="Times New Roman" w:hAnsi="Times New Roman"/>
          <w:rtl w:val="0"/>
        </w:rPr>
        <w:t xml:space="preserve">(3), 166-169.</w:t>
      </w:r>
    </w:p>
    <w:sectPr>
      <w:type w:val="continuous"/>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jpg"/><Relationship Id="rId10" Type="http://schemas.openxmlformats.org/officeDocument/2006/relationships/image" Target="media/image7.jpg"/><Relationship Id="rId12" Type="http://schemas.openxmlformats.org/officeDocument/2006/relationships/image" Target="media/image3.png"/><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8.png"/><Relationship Id="rId8" Type="http://schemas.openxmlformats.org/officeDocument/2006/relationships/image" Target="media/image5.jp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c94e91e7-f8c0-468b-b1a7-fc795fae4678</vt:lpwstr>
  </property>
</Properties>
</file>