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2B40" w:rsidRDefault="002F0A63">
      <w:pPr>
        <w:jc w:val="center"/>
      </w:pPr>
      <w:r>
        <w:rPr>
          <w:b/>
          <w:color w:val="1F3952"/>
          <w:sz w:val="44"/>
        </w:rPr>
        <w:t>ORGANISATIONAL CULTURE AT LLOYDS BANK</w:t>
      </w:r>
    </w:p>
    <w:p w:rsidR="003C2B40" w:rsidRDefault="002F0A63">
      <w:pPr>
        <w:jc w:val="center"/>
      </w:pPr>
      <w:r>
        <w:rPr>
          <w:i/>
          <w:sz w:val="26"/>
        </w:rPr>
        <w:t>A critical report on structure, decision-making, adaptation and performance</w:t>
      </w:r>
    </w:p>
    <w:p w:rsidR="003C2B40" w:rsidRDefault="002F0A63">
      <w:r>
        <w:br/>
      </w:r>
    </w:p>
    <w:p w:rsidR="003C2B40" w:rsidRDefault="002F0A63">
      <w:pPr>
        <w:jc w:val="center"/>
      </w:pPr>
      <w:r>
        <w:t>Module: LCLM5005 – Component 1</w:t>
      </w:r>
    </w:p>
    <w:p w:rsidR="003C2B40" w:rsidRDefault="002F0A63">
      <w:pPr>
        <w:jc w:val="center"/>
      </w:pPr>
      <w:r>
        <w:t>Student name: [Insert name]</w:t>
      </w:r>
    </w:p>
    <w:p w:rsidR="003C2B40" w:rsidRDefault="002F0A63">
      <w:pPr>
        <w:jc w:val="center"/>
      </w:pPr>
      <w:r>
        <w:t>Student ID: [Insert ID]</w:t>
      </w:r>
    </w:p>
    <w:p w:rsidR="003C2B40" w:rsidRDefault="002F0A63">
      <w:pPr>
        <w:jc w:val="center"/>
      </w:pPr>
      <w:r>
        <w:t>Institution: University of Wales Trinity Saint David</w:t>
      </w:r>
    </w:p>
    <w:p w:rsidR="003C2B40" w:rsidRDefault="002F0A63">
      <w:pPr>
        <w:jc w:val="center"/>
      </w:pPr>
      <w:r>
        <w:t>Report date: 24 October 2026</w:t>
      </w:r>
    </w:p>
    <w:p w:rsidR="003C2B40" w:rsidRDefault="002F0A63">
      <w:pPr>
        <w:jc w:val="center"/>
      </w:pPr>
      <w:r>
        <w:t>Word count: approximately 3,000 words (excluding references and tables)</w:t>
      </w:r>
    </w:p>
    <w:p w:rsidR="003C2B40" w:rsidRDefault="002F0A63">
      <w:r>
        <w:br w:type="page"/>
      </w:r>
    </w:p>
    <w:sdt>
      <w:sdtPr>
        <w:id w:val="4086282"/>
        <w:docPartObj>
          <w:docPartGallery w:val="Table of Contents"/>
          <w:docPartUnique/>
        </w:docPartObj>
      </w:sdtPr>
      <w:sdtEndPr>
        <w:rPr>
          <w:rFonts w:ascii="Arial" w:eastAsiaTheme="minorEastAsia" w:hAnsi="Arial" w:cstheme="minorBidi"/>
          <w:b w:val="0"/>
          <w:bCs w:val="0"/>
          <w:color w:val="auto"/>
          <w:sz w:val="21"/>
          <w:szCs w:val="22"/>
        </w:rPr>
      </w:sdtEndPr>
      <w:sdtContent>
        <w:p w:rsidR="00F825B2" w:rsidRDefault="00F825B2">
          <w:pPr>
            <w:pStyle w:val="TOCHeading"/>
          </w:pPr>
          <w:r>
            <w:t>Table of Contents</w:t>
          </w:r>
        </w:p>
        <w:p w:rsidR="00F825B2" w:rsidRDefault="00F825B2" w:rsidP="00F825B2">
          <w:pPr>
            <w:pStyle w:val="TOC1"/>
            <w:tabs>
              <w:tab w:val="right" w:leader="dot" w:pos="9350"/>
            </w:tabs>
            <w:spacing w:line="360" w:lineRule="auto"/>
            <w:rPr>
              <w:rFonts w:asciiTheme="minorHAnsi" w:hAnsiTheme="minorHAnsi"/>
              <w:noProof/>
              <w:sz w:val="22"/>
            </w:rPr>
          </w:pPr>
          <w:r>
            <w:fldChar w:fldCharType="begin"/>
          </w:r>
          <w:r>
            <w:instrText xml:space="preserve"> TOC \o "1-3" \h \z \u </w:instrText>
          </w:r>
          <w:r>
            <w:fldChar w:fldCharType="separate"/>
          </w:r>
          <w:hyperlink w:anchor="_Toc243760706" w:history="1">
            <w:r w:rsidRPr="00F77008">
              <w:rPr>
                <w:rStyle w:val="Hyperlink"/>
                <w:noProof/>
              </w:rPr>
              <w:t>1. Introduction</w:t>
            </w:r>
            <w:r>
              <w:rPr>
                <w:noProof/>
                <w:webHidden/>
              </w:rPr>
              <w:tab/>
            </w:r>
            <w:r>
              <w:rPr>
                <w:noProof/>
                <w:webHidden/>
              </w:rPr>
              <w:fldChar w:fldCharType="begin"/>
            </w:r>
            <w:r>
              <w:rPr>
                <w:noProof/>
                <w:webHidden/>
              </w:rPr>
              <w:instrText xml:space="preserve"> PAGEREF _Toc243760706 \h </w:instrText>
            </w:r>
            <w:r>
              <w:rPr>
                <w:noProof/>
                <w:webHidden/>
              </w:rPr>
            </w:r>
            <w:r>
              <w:rPr>
                <w:noProof/>
                <w:webHidden/>
              </w:rPr>
              <w:fldChar w:fldCharType="separate"/>
            </w:r>
            <w:r w:rsidR="003572EF">
              <w:rPr>
                <w:noProof/>
                <w:webHidden/>
              </w:rPr>
              <w:t>3</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07" w:history="1">
            <w:r w:rsidRPr="00F77008">
              <w:rPr>
                <w:rStyle w:val="Hyperlink"/>
                <w:noProof/>
              </w:rPr>
              <w:t>2. Organisational Culture of Lloyds Bank</w:t>
            </w:r>
            <w:r>
              <w:rPr>
                <w:noProof/>
                <w:webHidden/>
              </w:rPr>
              <w:tab/>
            </w:r>
            <w:r>
              <w:rPr>
                <w:noProof/>
                <w:webHidden/>
              </w:rPr>
              <w:fldChar w:fldCharType="begin"/>
            </w:r>
            <w:r>
              <w:rPr>
                <w:noProof/>
                <w:webHidden/>
              </w:rPr>
              <w:instrText xml:space="preserve"> PAGEREF _Toc243760707 \h </w:instrText>
            </w:r>
            <w:r>
              <w:rPr>
                <w:noProof/>
                <w:webHidden/>
              </w:rPr>
            </w:r>
            <w:r>
              <w:rPr>
                <w:noProof/>
                <w:webHidden/>
              </w:rPr>
              <w:fldChar w:fldCharType="separate"/>
            </w:r>
            <w:r w:rsidR="003572EF">
              <w:rPr>
                <w:noProof/>
                <w:webHidden/>
              </w:rPr>
              <w:t>3</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08" w:history="1">
            <w:r w:rsidRPr="00F77008">
              <w:rPr>
                <w:rStyle w:val="Hyperlink"/>
                <w:noProof/>
              </w:rPr>
              <w:t>3. Influence of Culture on Structure and Decision-Making</w:t>
            </w:r>
            <w:r>
              <w:rPr>
                <w:noProof/>
                <w:webHidden/>
              </w:rPr>
              <w:tab/>
            </w:r>
            <w:r>
              <w:rPr>
                <w:noProof/>
                <w:webHidden/>
              </w:rPr>
              <w:fldChar w:fldCharType="begin"/>
            </w:r>
            <w:r>
              <w:rPr>
                <w:noProof/>
                <w:webHidden/>
              </w:rPr>
              <w:instrText xml:space="preserve"> PAGEREF _Toc243760708 \h </w:instrText>
            </w:r>
            <w:r>
              <w:rPr>
                <w:noProof/>
                <w:webHidden/>
              </w:rPr>
            </w:r>
            <w:r>
              <w:rPr>
                <w:noProof/>
                <w:webHidden/>
              </w:rPr>
              <w:fldChar w:fldCharType="separate"/>
            </w:r>
            <w:r w:rsidR="003572EF">
              <w:rPr>
                <w:noProof/>
                <w:webHidden/>
              </w:rPr>
              <w:t>4</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09" w:history="1">
            <w:r w:rsidRPr="00F77008">
              <w:rPr>
                <w:rStyle w:val="Hyperlink"/>
                <w:noProof/>
              </w:rPr>
              <w:t>4. Identifying Cultural Types: Models and Frameworks</w:t>
            </w:r>
            <w:r>
              <w:rPr>
                <w:noProof/>
                <w:webHidden/>
              </w:rPr>
              <w:tab/>
            </w:r>
            <w:r>
              <w:rPr>
                <w:noProof/>
                <w:webHidden/>
              </w:rPr>
              <w:fldChar w:fldCharType="begin"/>
            </w:r>
            <w:r>
              <w:rPr>
                <w:noProof/>
                <w:webHidden/>
              </w:rPr>
              <w:instrText xml:space="preserve"> PAGEREF _Toc243760709 \h </w:instrText>
            </w:r>
            <w:r>
              <w:rPr>
                <w:noProof/>
                <w:webHidden/>
              </w:rPr>
            </w:r>
            <w:r>
              <w:rPr>
                <w:noProof/>
                <w:webHidden/>
              </w:rPr>
              <w:fldChar w:fldCharType="separate"/>
            </w:r>
            <w:r w:rsidR="003572EF">
              <w:rPr>
                <w:noProof/>
                <w:webHidden/>
              </w:rPr>
              <w:t>6</w:t>
            </w:r>
            <w:r>
              <w:rPr>
                <w:noProof/>
                <w:webHidden/>
              </w:rPr>
              <w:fldChar w:fldCharType="end"/>
            </w:r>
          </w:hyperlink>
        </w:p>
        <w:p w:rsidR="00F825B2" w:rsidRDefault="00F825B2" w:rsidP="00F825B2">
          <w:pPr>
            <w:pStyle w:val="TOC2"/>
            <w:tabs>
              <w:tab w:val="right" w:leader="dot" w:pos="9350"/>
            </w:tabs>
            <w:spacing w:line="360" w:lineRule="auto"/>
            <w:rPr>
              <w:rFonts w:asciiTheme="minorHAnsi" w:hAnsiTheme="minorHAnsi"/>
              <w:noProof/>
              <w:sz w:val="22"/>
            </w:rPr>
          </w:pPr>
          <w:hyperlink w:anchor="_Toc243760710" w:history="1">
            <w:r w:rsidRPr="00F77008">
              <w:rPr>
                <w:rStyle w:val="Hyperlink"/>
                <w:noProof/>
              </w:rPr>
              <w:t>4.1 Schein’s three levels</w:t>
            </w:r>
            <w:r>
              <w:rPr>
                <w:noProof/>
                <w:webHidden/>
              </w:rPr>
              <w:tab/>
            </w:r>
            <w:r>
              <w:rPr>
                <w:noProof/>
                <w:webHidden/>
              </w:rPr>
              <w:fldChar w:fldCharType="begin"/>
            </w:r>
            <w:r>
              <w:rPr>
                <w:noProof/>
                <w:webHidden/>
              </w:rPr>
              <w:instrText xml:space="preserve"> PAGEREF _Toc243760710 \h </w:instrText>
            </w:r>
            <w:r>
              <w:rPr>
                <w:noProof/>
                <w:webHidden/>
              </w:rPr>
            </w:r>
            <w:r>
              <w:rPr>
                <w:noProof/>
                <w:webHidden/>
              </w:rPr>
              <w:fldChar w:fldCharType="separate"/>
            </w:r>
            <w:r w:rsidR="003572EF">
              <w:rPr>
                <w:noProof/>
                <w:webHidden/>
              </w:rPr>
              <w:t>6</w:t>
            </w:r>
            <w:r>
              <w:rPr>
                <w:noProof/>
                <w:webHidden/>
              </w:rPr>
              <w:fldChar w:fldCharType="end"/>
            </w:r>
          </w:hyperlink>
        </w:p>
        <w:p w:rsidR="00F825B2" w:rsidRDefault="00F825B2" w:rsidP="00F825B2">
          <w:pPr>
            <w:pStyle w:val="TOC2"/>
            <w:tabs>
              <w:tab w:val="right" w:leader="dot" w:pos="9350"/>
            </w:tabs>
            <w:spacing w:line="360" w:lineRule="auto"/>
            <w:rPr>
              <w:rFonts w:asciiTheme="minorHAnsi" w:hAnsiTheme="minorHAnsi"/>
              <w:noProof/>
              <w:sz w:val="22"/>
            </w:rPr>
          </w:pPr>
          <w:hyperlink w:anchor="_Toc243760711" w:history="1">
            <w:r w:rsidRPr="00F77008">
              <w:rPr>
                <w:rStyle w:val="Hyperlink"/>
                <w:noProof/>
              </w:rPr>
              <w:t>4.2 Competing Values Framework and Handy</w:t>
            </w:r>
            <w:r>
              <w:rPr>
                <w:noProof/>
                <w:webHidden/>
              </w:rPr>
              <w:tab/>
            </w:r>
            <w:r>
              <w:rPr>
                <w:noProof/>
                <w:webHidden/>
              </w:rPr>
              <w:fldChar w:fldCharType="begin"/>
            </w:r>
            <w:r>
              <w:rPr>
                <w:noProof/>
                <w:webHidden/>
              </w:rPr>
              <w:instrText xml:space="preserve"> PAGEREF _Toc243760711 \h </w:instrText>
            </w:r>
            <w:r>
              <w:rPr>
                <w:noProof/>
                <w:webHidden/>
              </w:rPr>
            </w:r>
            <w:r>
              <w:rPr>
                <w:noProof/>
                <w:webHidden/>
              </w:rPr>
              <w:fldChar w:fldCharType="separate"/>
            </w:r>
            <w:r w:rsidR="003572EF">
              <w:rPr>
                <w:noProof/>
                <w:webHidden/>
              </w:rPr>
              <w:t>7</w:t>
            </w:r>
            <w:r>
              <w:rPr>
                <w:noProof/>
                <w:webHidden/>
              </w:rPr>
              <w:fldChar w:fldCharType="end"/>
            </w:r>
          </w:hyperlink>
        </w:p>
        <w:p w:rsidR="00F825B2" w:rsidRDefault="00F825B2" w:rsidP="00F825B2">
          <w:pPr>
            <w:pStyle w:val="TOC2"/>
            <w:tabs>
              <w:tab w:val="right" w:leader="dot" w:pos="9350"/>
            </w:tabs>
            <w:spacing w:line="360" w:lineRule="auto"/>
            <w:rPr>
              <w:rFonts w:asciiTheme="minorHAnsi" w:hAnsiTheme="minorHAnsi"/>
              <w:noProof/>
              <w:sz w:val="22"/>
            </w:rPr>
          </w:pPr>
          <w:hyperlink w:anchor="_Toc243760712" w:history="1">
            <w:r w:rsidRPr="00F77008">
              <w:rPr>
                <w:rStyle w:val="Hyperlink"/>
                <w:noProof/>
              </w:rPr>
              <w:t>4.3 Hofstede and Denison: use with caution</w:t>
            </w:r>
            <w:r>
              <w:rPr>
                <w:noProof/>
                <w:webHidden/>
              </w:rPr>
              <w:tab/>
            </w:r>
            <w:r>
              <w:rPr>
                <w:noProof/>
                <w:webHidden/>
              </w:rPr>
              <w:fldChar w:fldCharType="begin"/>
            </w:r>
            <w:r>
              <w:rPr>
                <w:noProof/>
                <w:webHidden/>
              </w:rPr>
              <w:instrText xml:space="preserve"> PAGEREF _Toc243760712 \h </w:instrText>
            </w:r>
            <w:r>
              <w:rPr>
                <w:noProof/>
                <w:webHidden/>
              </w:rPr>
            </w:r>
            <w:r>
              <w:rPr>
                <w:noProof/>
                <w:webHidden/>
              </w:rPr>
              <w:fldChar w:fldCharType="separate"/>
            </w:r>
            <w:r w:rsidR="003572EF">
              <w:rPr>
                <w:noProof/>
                <w:webHidden/>
              </w:rPr>
              <w:t>8</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3" w:history="1">
            <w:r w:rsidRPr="00F77008">
              <w:rPr>
                <w:rStyle w:val="Hyperlink"/>
                <w:noProof/>
              </w:rPr>
              <w:t>5. Culture and the External Environment</w:t>
            </w:r>
            <w:r>
              <w:rPr>
                <w:noProof/>
                <w:webHidden/>
              </w:rPr>
              <w:tab/>
            </w:r>
            <w:r>
              <w:rPr>
                <w:noProof/>
                <w:webHidden/>
              </w:rPr>
              <w:fldChar w:fldCharType="begin"/>
            </w:r>
            <w:r>
              <w:rPr>
                <w:noProof/>
                <w:webHidden/>
              </w:rPr>
              <w:instrText xml:space="preserve"> PAGEREF _Toc243760713 \h </w:instrText>
            </w:r>
            <w:r>
              <w:rPr>
                <w:noProof/>
                <w:webHidden/>
              </w:rPr>
            </w:r>
            <w:r>
              <w:rPr>
                <w:noProof/>
                <w:webHidden/>
              </w:rPr>
              <w:fldChar w:fldCharType="separate"/>
            </w:r>
            <w:r w:rsidR="003572EF">
              <w:rPr>
                <w:noProof/>
                <w:webHidden/>
              </w:rPr>
              <w:t>9</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4" w:history="1">
            <w:r w:rsidRPr="00F77008">
              <w:rPr>
                <w:rStyle w:val="Hyperlink"/>
                <w:noProof/>
              </w:rPr>
              <w:t>6. PESTELE Analysis (as at 24 October 2026)</w:t>
            </w:r>
            <w:r>
              <w:rPr>
                <w:noProof/>
                <w:webHidden/>
              </w:rPr>
              <w:tab/>
            </w:r>
            <w:r>
              <w:rPr>
                <w:noProof/>
                <w:webHidden/>
              </w:rPr>
              <w:fldChar w:fldCharType="begin"/>
            </w:r>
            <w:r>
              <w:rPr>
                <w:noProof/>
                <w:webHidden/>
              </w:rPr>
              <w:instrText xml:space="preserve"> PAGEREF _Toc243760714 \h </w:instrText>
            </w:r>
            <w:r>
              <w:rPr>
                <w:noProof/>
                <w:webHidden/>
              </w:rPr>
            </w:r>
            <w:r>
              <w:rPr>
                <w:noProof/>
                <w:webHidden/>
              </w:rPr>
              <w:fldChar w:fldCharType="separate"/>
            </w:r>
            <w:r w:rsidR="003572EF">
              <w:rPr>
                <w:noProof/>
                <w:webHidden/>
              </w:rPr>
              <w:t>10</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5" w:history="1">
            <w:r w:rsidRPr="00F77008">
              <w:rPr>
                <w:rStyle w:val="Hyperlink"/>
                <w:noProof/>
              </w:rPr>
              <w:t>7. Organisational Culture as a Barrier or Enabler</w:t>
            </w:r>
            <w:r>
              <w:rPr>
                <w:noProof/>
                <w:webHidden/>
              </w:rPr>
              <w:tab/>
            </w:r>
            <w:r>
              <w:rPr>
                <w:noProof/>
                <w:webHidden/>
              </w:rPr>
              <w:fldChar w:fldCharType="begin"/>
            </w:r>
            <w:r>
              <w:rPr>
                <w:noProof/>
                <w:webHidden/>
              </w:rPr>
              <w:instrText xml:space="preserve"> PAGEREF _Toc243760715 \h </w:instrText>
            </w:r>
            <w:r>
              <w:rPr>
                <w:noProof/>
                <w:webHidden/>
              </w:rPr>
            </w:r>
            <w:r>
              <w:rPr>
                <w:noProof/>
                <w:webHidden/>
              </w:rPr>
              <w:fldChar w:fldCharType="separate"/>
            </w:r>
            <w:r w:rsidR="003572EF">
              <w:rPr>
                <w:noProof/>
                <w:webHidden/>
              </w:rPr>
              <w:t>12</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6" w:history="1">
            <w:r w:rsidRPr="00F77008">
              <w:rPr>
                <w:rStyle w:val="Hyperlink"/>
                <w:noProof/>
              </w:rPr>
              <w:t>8. Impact of Culture on Organisational Performance</w:t>
            </w:r>
            <w:r>
              <w:rPr>
                <w:noProof/>
                <w:webHidden/>
              </w:rPr>
              <w:tab/>
            </w:r>
            <w:r>
              <w:rPr>
                <w:noProof/>
                <w:webHidden/>
              </w:rPr>
              <w:fldChar w:fldCharType="begin"/>
            </w:r>
            <w:r>
              <w:rPr>
                <w:noProof/>
                <w:webHidden/>
              </w:rPr>
              <w:instrText xml:space="preserve"> PAGEREF _Toc243760716 \h </w:instrText>
            </w:r>
            <w:r>
              <w:rPr>
                <w:noProof/>
                <w:webHidden/>
              </w:rPr>
            </w:r>
            <w:r>
              <w:rPr>
                <w:noProof/>
                <w:webHidden/>
              </w:rPr>
              <w:fldChar w:fldCharType="separate"/>
            </w:r>
            <w:r w:rsidR="003572EF">
              <w:rPr>
                <w:noProof/>
                <w:webHidden/>
              </w:rPr>
              <w:t>13</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7" w:history="1">
            <w:r w:rsidRPr="00F77008">
              <w:rPr>
                <w:rStyle w:val="Hyperlink"/>
                <w:noProof/>
              </w:rPr>
              <w:t>9. Recommendations</w:t>
            </w:r>
            <w:r>
              <w:rPr>
                <w:noProof/>
                <w:webHidden/>
              </w:rPr>
              <w:tab/>
            </w:r>
            <w:r>
              <w:rPr>
                <w:noProof/>
                <w:webHidden/>
              </w:rPr>
              <w:fldChar w:fldCharType="begin"/>
            </w:r>
            <w:r>
              <w:rPr>
                <w:noProof/>
                <w:webHidden/>
              </w:rPr>
              <w:instrText xml:space="preserve"> PAGEREF _Toc243760717 \h </w:instrText>
            </w:r>
            <w:r>
              <w:rPr>
                <w:noProof/>
                <w:webHidden/>
              </w:rPr>
            </w:r>
            <w:r>
              <w:rPr>
                <w:noProof/>
                <w:webHidden/>
              </w:rPr>
              <w:fldChar w:fldCharType="separate"/>
            </w:r>
            <w:r w:rsidR="003572EF">
              <w:rPr>
                <w:noProof/>
                <w:webHidden/>
              </w:rPr>
              <w:t>14</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8" w:history="1">
            <w:r w:rsidRPr="00F77008">
              <w:rPr>
                <w:rStyle w:val="Hyperlink"/>
                <w:noProof/>
              </w:rPr>
              <w:t>10. Conclusion</w:t>
            </w:r>
            <w:r>
              <w:rPr>
                <w:noProof/>
                <w:webHidden/>
              </w:rPr>
              <w:tab/>
            </w:r>
            <w:r>
              <w:rPr>
                <w:noProof/>
                <w:webHidden/>
              </w:rPr>
              <w:fldChar w:fldCharType="begin"/>
            </w:r>
            <w:r>
              <w:rPr>
                <w:noProof/>
                <w:webHidden/>
              </w:rPr>
              <w:instrText xml:space="preserve"> PAGEREF _Toc243760718 \h </w:instrText>
            </w:r>
            <w:r>
              <w:rPr>
                <w:noProof/>
                <w:webHidden/>
              </w:rPr>
            </w:r>
            <w:r>
              <w:rPr>
                <w:noProof/>
                <w:webHidden/>
              </w:rPr>
              <w:fldChar w:fldCharType="separate"/>
            </w:r>
            <w:r w:rsidR="003572EF">
              <w:rPr>
                <w:noProof/>
                <w:webHidden/>
              </w:rPr>
              <w:t>16</w:t>
            </w:r>
            <w:r>
              <w:rPr>
                <w:noProof/>
                <w:webHidden/>
              </w:rPr>
              <w:fldChar w:fldCharType="end"/>
            </w:r>
          </w:hyperlink>
        </w:p>
        <w:p w:rsidR="00F825B2" w:rsidRDefault="00F825B2" w:rsidP="00F825B2">
          <w:pPr>
            <w:pStyle w:val="TOC1"/>
            <w:tabs>
              <w:tab w:val="right" w:leader="dot" w:pos="9350"/>
            </w:tabs>
            <w:spacing w:line="360" w:lineRule="auto"/>
            <w:rPr>
              <w:rFonts w:asciiTheme="minorHAnsi" w:hAnsiTheme="minorHAnsi"/>
              <w:noProof/>
              <w:sz w:val="22"/>
            </w:rPr>
          </w:pPr>
          <w:hyperlink w:anchor="_Toc243760719" w:history="1">
            <w:r w:rsidRPr="00F77008">
              <w:rPr>
                <w:rStyle w:val="Hyperlink"/>
                <w:noProof/>
              </w:rPr>
              <w:t>References</w:t>
            </w:r>
            <w:r>
              <w:rPr>
                <w:noProof/>
                <w:webHidden/>
              </w:rPr>
              <w:tab/>
            </w:r>
            <w:r>
              <w:rPr>
                <w:noProof/>
                <w:webHidden/>
              </w:rPr>
              <w:fldChar w:fldCharType="begin"/>
            </w:r>
            <w:r>
              <w:rPr>
                <w:noProof/>
                <w:webHidden/>
              </w:rPr>
              <w:instrText xml:space="preserve"> PAGEREF _Toc243760719 \h </w:instrText>
            </w:r>
            <w:r>
              <w:rPr>
                <w:noProof/>
                <w:webHidden/>
              </w:rPr>
            </w:r>
            <w:r>
              <w:rPr>
                <w:noProof/>
                <w:webHidden/>
              </w:rPr>
              <w:fldChar w:fldCharType="separate"/>
            </w:r>
            <w:r w:rsidR="003572EF">
              <w:rPr>
                <w:noProof/>
                <w:webHidden/>
              </w:rPr>
              <w:t>17</w:t>
            </w:r>
            <w:r>
              <w:rPr>
                <w:noProof/>
                <w:webHidden/>
              </w:rPr>
              <w:fldChar w:fldCharType="end"/>
            </w:r>
          </w:hyperlink>
        </w:p>
        <w:p w:rsidR="00F825B2" w:rsidRDefault="00F825B2">
          <w:r>
            <w:fldChar w:fldCharType="end"/>
          </w:r>
        </w:p>
      </w:sdtContent>
    </w:sdt>
    <w:p w:rsidR="003C2B40" w:rsidRDefault="003C2B40">
      <w:pPr>
        <w:pStyle w:val="Heading1"/>
      </w:pPr>
    </w:p>
    <w:p w:rsidR="003C2B40" w:rsidRDefault="002F0A63">
      <w:r>
        <w:br w:type="page"/>
      </w:r>
    </w:p>
    <w:p w:rsidR="003C2B40" w:rsidRPr="00F825B2" w:rsidRDefault="002F0A63">
      <w:pPr>
        <w:pStyle w:val="Heading1"/>
        <w:rPr>
          <w:color w:val="4F81BD" w:themeColor="accent1"/>
          <w:sz w:val="36"/>
          <w:szCs w:val="36"/>
        </w:rPr>
      </w:pPr>
      <w:bookmarkStart w:id="0" w:name="_Toc243760706"/>
      <w:r w:rsidRPr="00F825B2">
        <w:rPr>
          <w:color w:val="4F81BD" w:themeColor="accent1"/>
          <w:sz w:val="36"/>
          <w:szCs w:val="36"/>
        </w:rPr>
        <w:lastRenderedPageBreak/>
        <w:t>1. Introduction</w:t>
      </w:r>
      <w:bookmarkEnd w:id="0"/>
    </w:p>
    <w:p w:rsidR="003C2B40" w:rsidRPr="00F825B2" w:rsidRDefault="002F0A63" w:rsidP="00F825B2">
      <w:pPr>
        <w:spacing w:line="360" w:lineRule="auto"/>
        <w:jc w:val="both"/>
        <w:rPr>
          <w:sz w:val="24"/>
          <w:szCs w:val="24"/>
        </w:rPr>
      </w:pPr>
      <w:r w:rsidRPr="00F825B2">
        <w:rPr>
          <w:sz w:val="24"/>
          <w:szCs w:val="24"/>
        </w:rPr>
        <w:t>Organisational culture refers to the shared assumptions, values and behavioural expectations through which members interpret what is important and how work should be carried out. Mullins and Christy (2016) argue that culture permeat</w:t>
      </w:r>
      <w:r w:rsidRPr="00F825B2">
        <w:rPr>
          <w:sz w:val="24"/>
          <w:szCs w:val="24"/>
        </w:rPr>
        <w:t xml:space="preserve">es decision-making, structure, group behaviour, motivation and control. This is particularly relevant to banking: employees must balance customer service and commercial performance with prudential risk, conduct rules, cyber security and public confidence. </w:t>
      </w:r>
      <w:r w:rsidRPr="00F825B2">
        <w:rPr>
          <w:sz w:val="24"/>
          <w:szCs w:val="24"/>
        </w:rPr>
        <w:t>Culture is therefore not simply a statement of values; it can shape what staff report, which risks leaders notice and whether customer interests influence everyday decisions.</w:t>
      </w:r>
    </w:p>
    <w:p w:rsidR="003C2B40" w:rsidRPr="00F825B2" w:rsidRDefault="002F0A63" w:rsidP="00F825B2">
      <w:pPr>
        <w:spacing w:line="360" w:lineRule="auto"/>
        <w:jc w:val="both"/>
        <w:rPr>
          <w:sz w:val="24"/>
          <w:szCs w:val="24"/>
        </w:rPr>
      </w:pPr>
      <w:r w:rsidRPr="00F825B2">
        <w:rPr>
          <w:sz w:val="24"/>
          <w:szCs w:val="24"/>
        </w:rPr>
        <w:t>This report examines Lloyds Bank as a principal brand within Lloyds Banking Group</w:t>
      </w:r>
      <w:r w:rsidRPr="00F825B2">
        <w:rPr>
          <w:sz w:val="24"/>
          <w:szCs w:val="24"/>
        </w:rPr>
        <w:t xml:space="preserve"> plc. The distinction is important because public reporting on strategy, workforce and financial results is often published at Group level, while Lloyds Bank plc has its own governance arrangements within the Group framework (Lloyds Banking Group, 2026a; L</w:t>
      </w:r>
      <w:r w:rsidRPr="00F825B2">
        <w:rPr>
          <w:sz w:val="24"/>
          <w:szCs w:val="24"/>
        </w:rPr>
        <w:t>loyds Bank, 2026). The report applies Schein’s cultural levels, the Competing Values Framework, Handy’s typology and Denison’s traits to identify the likely prevailing culture. It then evaluates how culture interacts with structure and decision-making, ana</w:t>
      </w:r>
      <w:r w:rsidRPr="00F825B2">
        <w:rPr>
          <w:sz w:val="24"/>
          <w:szCs w:val="24"/>
        </w:rPr>
        <w:t>lyses the external environment using PESTELE, assesses barriers and enablers, and proposes evidence-informed improvements. The analysis relies primarily on public documents and established literature; it cannot directly observe private employee experiences</w:t>
      </w:r>
      <w:r w:rsidRPr="00F825B2">
        <w:rPr>
          <w:sz w:val="24"/>
          <w:szCs w:val="24"/>
        </w:rPr>
        <w:t>, so conclusions about lived culture are reasoned interpretations rather than an internal audit.</w:t>
      </w:r>
    </w:p>
    <w:p w:rsidR="003C2B40" w:rsidRPr="00F825B2" w:rsidRDefault="002F0A63">
      <w:pPr>
        <w:pStyle w:val="Heading1"/>
        <w:rPr>
          <w:color w:val="4F81BD" w:themeColor="accent1"/>
          <w:sz w:val="36"/>
          <w:szCs w:val="36"/>
        </w:rPr>
      </w:pPr>
      <w:bookmarkStart w:id="1" w:name="_Toc243760707"/>
      <w:r w:rsidRPr="00F825B2">
        <w:rPr>
          <w:color w:val="4F81BD" w:themeColor="accent1"/>
          <w:sz w:val="36"/>
          <w:szCs w:val="36"/>
        </w:rPr>
        <w:t>2. Organisational Culture of Lloyds Bank</w:t>
      </w:r>
      <w:bookmarkEnd w:id="1"/>
    </w:p>
    <w:p w:rsidR="003C2B40" w:rsidRPr="00F825B2" w:rsidRDefault="002F0A63" w:rsidP="00F825B2">
      <w:pPr>
        <w:spacing w:line="360" w:lineRule="auto"/>
        <w:jc w:val="both"/>
        <w:rPr>
          <w:sz w:val="24"/>
          <w:szCs w:val="24"/>
        </w:rPr>
      </w:pPr>
      <w:r w:rsidRPr="00F825B2">
        <w:rPr>
          <w:sz w:val="24"/>
          <w:szCs w:val="24"/>
        </w:rPr>
        <w:t>Lloyds Banking Group’s stated purpose is ‘Helping Britain Prosper’, connecting the business to customers, businesses a</w:t>
      </w:r>
      <w:r w:rsidRPr="00F825B2">
        <w:rPr>
          <w:sz w:val="24"/>
          <w:szCs w:val="24"/>
        </w:rPr>
        <w:t>nd communities. Its 2025 annual report describes a strategy centred on revenue growth and diversification, cost and capital efficiency, and maximising people, technology and data (Lloyds Banking Group, 2026a). The Group reported 60,061 full-time-equivalent</w:t>
      </w:r>
      <w:r w:rsidRPr="00F825B2">
        <w:rPr>
          <w:sz w:val="24"/>
          <w:szCs w:val="24"/>
        </w:rPr>
        <w:t xml:space="preserve"> colleagues at the end of 2025 and an employee engagement index of 75% favourable, with 85% participation. It also reported 23.6 million digitally active customers and that more than 95% of Retail sales were </w:t>
      </w:r>
      <w:r w:rsidRPr="00F825B2">
        <w:rPr>
          <w:sz w:val="24"/>
          <w:szCs w:val="24"/>
        </w:rPr>
        <w:lastRenderedPageBreak/>
        <w:t>completed through digital channels (Lloyds Banki</w:t>
      </w:r>
      <w:r w:rsidRPr="00F825B2">
        <w:rPr>
          <w:sz w:val="24"/>
          <w:szCs w:val="24"/>
        </w:rPr>
        <w:t>ng Group, 2026a). These figures suggest a large, digitally oriented institution that seeks to combine customer purpose with performance discipline.</w:t>
      </w:r>
    </w:p>
    <w:p w:rsidR="003C2B40" w:rsidRPr="00F825B2" w:rsidRDefault="002F0A63" w:rsidP="00F825B2">
      <w:pPr>
        <w:spacing w:line="360" w:lineRule="auto"/>
        <w:jc w:val="both"/>
        <w:rPr>
          <w:sz w:val="24"/>
          <w:szCs w:val="24"/>
        </w:rPr>
      </w:pPr>
      <w:r w:rsidRPr="00F825B2">
        <w:rPr>
          <w:sz w:val="24"/>
          <w:szCs w:val="24"/>
        </w:rPr>
        <w:t>The declared culture includes customer focus, accountability, innovation, inclusion and proactive risk management. The Group states that its Risk Management Framework, Code of Ethics and Responsibility, colleague conduct policy and Speak Up programme suppo</w:t>
      </w:r>
      <w:r w:rsidRPr="00F825B2">
        <w:rPr>
          <w:sz w:val="24"/>
          <w:szCs w:val="24"/>
        </w:rPr>
        <w:t>rt responsible behaviour and challenge (Lloyds Banking Group, 2026a; Lloyds Banking Group, 2026b). Such mechanisms are significant because culture becomes operational when values are translated into incentives, training, escalation routes and leadership be</w:t>
      </w:r>
      <w:r w:rsidRPr="00F825B2">
        <w:rPr>
          <w:sz w:val="24"/>
          <w:szCs w:val="24"/>
        </w:rPr>
        <w:t>haviour. However, corporate disclosures describe intended culture and selected indicators; they do not prove that all teams experience these values consistently. A large bank may contain subcultures in branch operations, technology, risk, commercial lendin</w:t>
      </w:r>
      <w:r w:rsidRPr="00F825B2">
        <w:rPr>
          <w:sz w:val="24"/>
          <w:szCs w:val="24"/>
        </w:rPr>
        <w:t>g and insurance. These groups face different performance pressures, professional norms and customer interactions.</w:t>
      </w:r>
    </w:p>
    <w:p w:rsidR="003C2B40" w:rsidRPr="00F825B2" w:rsidRDefault="002F0A63" w:rsidP="00F825B2">
      <w:pPr>
        <w:spacing w:line="360" w:lineRule="auto"/>
        <w:jc w:val="both"/>
        <w:rPr>
          <w:sz w:val="24"/>
          <w:szCs w:val="24"/>
        </w:rPr>
      </w:pPr>
      <w:r w:rsidRPr="00F825B2">
        <w:rPr>
          <w:sz w:val="24"/>
          <w:szCs w:val="24"/>
        </w:rPr>
        <w:t>The central cultural tension is between dependable control and rapid change. A bank needs standardisation, audit trails and careful risk asses</w:t>
      </w:r>
      <w:r w:rsidRPr="00F825B2">
        <w:rPr>
          <w:sz w:val="24"/>
          <w:szCs w:val="24"/>
        </w:rPr>
        <w:t>sment, but it also needs experimentation to respond to fintech competition, digital customer expectations and AI. A culture weighted too heavily towards control may slow innovation; one weighted too heavily towards growth may weaken conduct and risk discip</w:t>
      </w:r>
      <w:r w:rsidRPr="00F825B2">
        <w:rPr>
          <w:sz w:val="24"/>
          <w:szCs w:val="24"/>
        </w:rPr>
        <w:t>line. The most defensible interpretation is therefore a hybrid culture: predominantly hierarchical and risk-conscious, with a growing market/performance orientation and an espoused clan-like emphasis on colleagues and customers. This is an analytical judge</w:t>
      </w:r>
      <w:r w:rsidRPr="00F825B2">
        <w:rPr>
          <w:sz w:val="24"/>
          <w:szCs w:val="24"/>
        </w:rPr>
        <w:t>ment based on public evidence, not a formal internal culture survey.</w:t>
      </w:r>
    </w:p>
    <w:p w:rsidR="003C2B40" w:rsidRPr="00F825B2" w:rsidRDefault="002F0A63">
      <w:pPr>
        <w:pStyle w:val="Heading1"/>
        <w:rPr>
          <w:color w:val="4F81BD" w:themeColor="accent1"/>
          <w:sz w:val="36"/>
          <w:szCs w:val="36"/>
        </w:rPr>
      </w:pPr>
      <w:bookmarkStart w:id="2" w:name="_Toc243760708"/>
      <w:r w:rsidRPr="00F825B2">
        <w:rPr>
          <w:color w:val="4F81BD" w:themeColor="accent1"/>
          <w:sz w:val="36"/>
          <w:szCs w:val="36"/>
        </w:rPr>
        <w:t>3. Influence of Culture on Structure and Decision-Making</w:t>
      </w:r>
      <w:bookmarkEnd w:id="2"/>
    </w:p>
    <w:p w:rsidR="003C2B40" w:rsidRPr="00F825B2" w:rsidRDefault="002F0A63" w:rsidP="00F825B2">
      <w:pPr>
        <w:spacing w:line="360" w:lineRule="auto"/>
        <w:jc w:val="both"/>
        <w:rPr>
          <w:sz w:val="24"/>
          <w:szCs w:val="24"/>
        </w:rPr>
      </w:pPr>
      <w:r w:rsidRPr="00F825B2">
        <w:rPr>
          <w:sz w:val="24"/>
          <w:szCs w:val="24"/>
        </w:rPr>
        <w:t>Culture and structure reinforce one another. A hierarchical structure defines authority, reporting lines and control responsibilit</w:t>
      </w:r>
      <w:r w:rsidRPr="00F825B2">
        <w:rPr>
          <w:sz w:val="24"/>
          <w:szCs w:val="24"/>
        </w:rPr>
        <w:t>ies; repeated routines then teach employees which behaviours are rewarded or discouraged. In a regulated bank, clear accountability is necessary because credit, liquidity, conduct, data and operational risks can affect customers and financial stability. Ll</w:t>
      </w:r>
      <w:r w:rsidRPr="00F825B2">
        <w:rPr>
          <w:sz w:val="24"/>
          <w:szCs w:val="24"/>
        </w:rPr>
        <w:t xml:space="preserve">oyds Bank plc’s governance disclosures state that its </w:t>
      </w:r>
      <w:r w:rsidRPr="00F825B2">
        <w:rPr>
          <w:sz w:val="24"/>
          <w:szCs w:val="24"/>
        </w:rPr>
        <w:lastRenderedPageBreak/>
        <w:t>Board agrees the Bank’s culture, purpose, values and strategy within the wider Group framework, and that strong risk management is central to the strategy (Lloyds Bank, 2026). This demonstrates how cult</w:t>
      </w:r>
      <w:r w:rsidRPr="00F825B2">
        <w:rPr>
          <w:sz w:val="24"/>
          <w:szCs w:val="24"/>
        </w:rPr>
        <w:t>ural expectations are formalised through governance rather than left to informal custom.</w:t>
      </w:r>
    </w:p>
    <w:p w:rsidR="003C2B40" w:rsidRPr="00F825B2" w:rsidRDefault="002F0A63" w:rsidP="00F825B2">
      <w:pPr>
        <w:spacing w:line="360" w:lineRule="auto"/>
        <w:jc w:val="both"/>
        <w:rPr>
          <w:sz w:val="24"/>
          <w:szCs w:val="24"/>
        </w:rPr>
      </w:pPr>
      <w:r w:rsidRPr="00F825B2">
        <w:rPr>
          <w:sz w:val="24"/>
          <w:szCs w:val="24"/>
        </w:rPr>
        <w:t>Figure 1 provides a simplified, high-level representation of the public leadership structure. The Group Board oversees strategy and governance; the Group Chief Executi</w:t>
      </w:r>
      <w:r w:rsidRPr="00F825B2">
        <w:rPr>
          <w:sz w:val="24"/>
          <w:szCs w:val="24"/>
        </w:rPr>
        <w:t>ve leads the executive team, with business divisions and central functions covering operations, finance, risk, people, legal and assurance. This structure is illustrative rather than a complete legal organisation chart, and business leadership titles can c</w:t>
      </w:r>
      <w:r w:rsidRPr="00F825B2">
        <w:rPr>
          <w:sz w:val="24"/>
          <w:szCs w:val="24"/>
        </w:rPr>
        <w:t>hange. Its relevance is that specialist functions create checks and balances: risk and audit can challenge revenue-generating units, while business leaders remain responsible for customer and commercial outcomes.</w:t>
      </w:r>
    </w:p>
    <w:p w:rsidR="003C2B40" w:rsidRDefault="002F0A63">
      <w:r>
        <w:rPr>
          <w:noProof/>
        </w:rPr>
        <w:drawing>
          <wp:inline distT="0" distB="0" distL="0" distR="0">
            <wp:extent cx="5943600" cy="35410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oyds_org_structure.png"/>
                    <pic:cNvPicPr/>
                  </pic:nvPicPr>
                  <pic:blipFill>
                    <a:blip r:embed="rId8"/>
                    <a:stretch>
                      <a:fillRect/>
                    </a:stretch>
                  </pic:blipFill>
                  <pic:spPr>
                    <a:xfrm>
                      <a:off x="0" y="0"/>
                      <a:ext cx="5943600" cy="3541042"/>
                    </a:xfrm>
                    <a:prstGeom prst="rect">
                      <a:avLst/>
                    </a:prstGeom>
                  </pic:spPr>
                </pic:pic>
              </a:graphicData>
            </a:graphic>
          </wp:inline>
        </w:drawing>
      </w:r>
    </w:p>
    <w:p w:rsidR="003C2B40" w:rsidRDefault="002F0A63">
      <w:pPr>
        <w:jc w:val="center"/>
      </w:pPr>
      <w:r>
        <w:rPr>
          <w:i/>
          <w:sz w:val="18"/>
        </w:rPr>
        <w:t xml:space="preserve">Figure 1. Illustrative high-level Lloyds </w:t>
      </w:r>
      <w:r>
        <w:rPr>
          <w:i/>
          <w:sz w:val="18"/>
        </w:rPr>
        <w:t>Banking Group structure, based on public executive and governance information (Lloyds Banking Group, 2026b; accessed 24 October 2026).</w:t>
      </w:r>
    </w:p>
    <w:p w:rsidR="003C2B40" w:rsidRPr="00F825B2" w:rsidRDefault="002F0A63" w:rsidP="00F825B2">
      <w:pPr>
        <w:spacing w:line="360" w:lineRule="auto"/>
        <w:jc w:val="both"/>
        <w:rPr>
          <w:sz w:val="24"/>
          <w:szCs w:val="24"/>
        </w:rPr>
      </w:pPr>
      <w:r w:rsidRPr="00F825B2">
        <w:rPr>
          <w:sz w:val="24"/>
          <w:szCs w:val="24"/>
        </w:rPr>
        <w:t>A risk-conscious culture can improve decisions by encouraging staff to check affordability, explain product features, esc</w:t>
      </w:r>
      <w:r w:rsidRPr="00F825B2">
        <w:rPr>
          <w:sz w:val="24"/>
          <w:szCs w:val="24"/>
        </w:rPr>
        <w:t xml:space="preserve">alate suspicious activity and document rationale. It can reduce the likelihood that short-term sales targets override fair customer </w:t>
      </w:r>
      <w:r w:rsidRPr="00F825B2">
        <w:rPr>
          <w:sz w:val="24"/>
          <w:szCs w:val="24"/>
        </w:rPr>
        <w:lastRenderedPageBreak/>
        <w:t>outcomes. The Financial Conduct Authority’s Consumer Duty requires firms to deliver good outcomes for retail customers and h</w:t>
      </w:r>
      <w:r w:rsidRPr="00F825B2">
        <w:rPr>
          <w:sz w:val="24"/>
          <w:szCs w:val="24"/>
        </w:rPr>
        <w:t>as highlighted both good practice and areas where firms still need improvement (FCA, 2025). Cultural alignment with the Duty matters because a written policy is ineffective if employees believe that raising concerns will damage their career or delay delive</w:t>
      </w:r>
      <w:r w:rsidRPr="00F825B2">
        <w:rPr>
          <w:sz w:val="24"/>
          <w:szCs w:val="24"/>
        </w:rPr>
        <w:t>ry.</w:t>
      </w:r>
    </w:p>
    <w:p w:rsidR="003C2B40" w:rsidRPr="00F825B2" w:rsidRDefault="002F0A63" w:rsidP="00F825B2">
      <w:pPr>
        <w:spacing w:line="360" w:lineRule="auto"/>
        <w:jc w:val="both"/>
        <w:rPr>
          <w:sz w:val="24"/>
          <w:szCs w:val="24"/>
        </w:rPr>
      </w:pPr>
      <w:r w:rsidRPr="00F825B2">
        <w:rPr>
          <w:sz w:val="24"/>
          <w:szCs w:val="24"/>
        </w:rPr>
        <w:t>Yet the same culture can produce excessive escalation, silo thinking and slow decisions. Where approval is concentrated at senior levels, front-line staff may be reluctant to exercise judgement even when a customer needs a timely response. Risk functio</w:t>
      </w:r>
      <w:r w:rsidRPr="00F825B2">
        <w:rPr>
          <w:sz w:val="24"/>
          <w:szCs w:val="24"/>
        </w:rPr>
        <w:t>ns may optimise for avoiding errors, while product or technology teams optimise for speed, creating conflict over priorities. Schein (2010) explains that underlying assumptions can become taken-for-granted and resistant to challenge. Thus, a procedure orig</w:t>
      </w:r>
      <w:r w:rsidRPr="00F825B2">
        <w:rPr>
          <w:sz w:val="24"/>
          <w:szCs w:val="24"/>
        </w:rPr>
        <w:t>inally created after a genuine risk event may persist after the context changes. Effective governance should not mean eliminating discretion; it should define decision rights, acceptable risk boundaries and clear escalation triggers.</w:t>
      </w:r>
    </w:p>
    <w:p w:rsidR="003C2B40" w:rsidRPr="00F825B2" w:rsidRDefault="002F0A63" w:rsidP="00F825B2">
      <w:pPr>
        <w:spacing w:line="360" w:lineRule="auto"/>
        <w:jc w:val="both"/>
        <w:rPr>
          <w:sz w:val="24"/>
          <w:szCs w:val="24"/>
        </w:rPr>
      </w:pPr>
      <w:r w:rsidRPr="00F825B2">
        <w:rPr>
          <w:sz w:val="24"/>
          <w:szCs w:val="24"/>
        </w:rPr>
        <w:t>The practical objectiv</w:t>
      </w:r>
      <w:r w:rsidRPr="00F825B2">
        <w:rPr>
          <w:sz w:val="24"/>
          <w:szCs w:val="24"/>
        </w:rPr>
        <w:t>e is ‘controlled empowerment’: routine decisions should be made close to customers within explicit limits, while high-impact, novel or irreversible risks receive specialist review. Leaders should reward not only results but also the quality of judgement, c</w:t>
      </w:r>
      <w:r w:rsidRPr="00F825B2">
        <w:rPr>
          <w:sz w:val="24"/>
          <w:szCs w:val="24"/>
        </w:rPr>
        <w:t>ustomer outcomes and early reporting of problems. This would preserve the benefits of a formal banking structure while reducing avoidable bureaucracy.</w:t>
      </w:r>
    </w:p>
    <w:p w:rsidR="003C2B40" w:rsidRPr="00F825B2" w:rsidRDefault="002F0A63">
      <w:pPr>
        <w:pStyle w:val="Heading1"/>
        <w:rPr>
          <w:color w:val="4F81BD" w:themeColor="accent1"/>
          <w:sz w:val="36"/>
          <w:szCs w:val="36"/>
        </w:rPr>
      </w:pPr>
      <w:bookmarkStart w:id="3" w:name="_Toc243760709"/>
      <w:r w:rsidRPr="00F825B2">
        <w:rPr>
          <w:color w:val="4F81BD" w:themeColor="accent1"/>
          <w:sz w:val="36"/>
          <w:szCs w:val="36"/>
        </w:rPr>
        <w:t>4. Identifying Cultural Types: Models and Frameworks</w:t>
      </w:r>
      <w:bookmarkEnd w:id="3"/>
    </w:p>
    <w:p w:rsidR="003C2B40" w:rsidRPr="00F825B2" w:rsidRDefault="002F0A63">
      <w:pPr>
        <w:pStyle w:val="Heading2"/>
        <w:rPr>
          <w:color w:val="4F81BD" w:themeColor="accent1"/>
          <w:sz w:val="28"/>
          <w:szCs w:val="28"/>
        </w:rPr>
      </w:pPr>
      <w:bookmarkStart w:id="4" w:name="_Toc243760710"/>
      <w:r w:rsidRPr="00F825B2">
        <w:rPr>
          <w:color w:val="4F81BD" w:themeColor="accent1"/>
          <w:sz w:val="28"/>
          <w:szCs w:val="28"/>
        </w:rPr>
        <w:t>4.1 Schein’s three levels</w:t>
      </w:r>
      <w:bookmarkEnd w:id="4"/>
    </w:p>
    <w:p w:rsidR="003C2B40" w:rsidRPr="00F825B2" w:rsidRDefault="002F0A63" w:rsidP="00F825B2">
      <w:pPr>
        <w:spacing w:line="360" w:lineRule="auto"/>
        <w:jc w:val="both"/>
        <w:rPr>
          <w:sz w:val="24"/>
          <w:szCs w:val="24"/>
        </w:rPr>
      </w:pPr>
      <w:r w:rsidRPr="00F825B2">
        <w:rPr>
          <w:sz w:val="24"/>
          <w:szCs w:val="24"/>
        </w:rPr>
        <w:t>Schein’s model distinguish</w:t>
      </w:r>
      <w:r w:rsidRPr="00F825B2">
        <w:rPr>
          <w:sz w:val="24"/>
          <w:szCs w:val="24"/>
        </w:rPr>
        <w:t>es artefacts, espoused values and underlying assumptions (Schein, 2010). Artefacts are visible features such as risk committees, digital platforms, formal policies, training and internal communications. At Lloyds, the Group’s public reporting, Code of Ethi</w:t>
      </w:r>
      <w:r w:rsidRPr="00F825B2">
        <w:rPr>
          <w:sz w:val="24"/>
          <w:szCs w:val="24"/>
        </w:rPr>
        <w:t>cs and Responsibility, mandatory risk training and Speak Up process are observable artefacts (Lloyds Banking Group, 2026a). Espoused values include ‘Helping Britain Prosper’, customer focus, accountability and responsible innovation. Underlying assumptions</w:t>
      </w:r>
      <w:r w:rsidRPr="00F825B2">
        <w:rPr>
          <w:sz w:val="24"/>
          <w:szCs w:val="24"/>
        </w:rPr>
        <w:t xml:space="preserve"> are harder to verify; a plausible inference is that </w:t>
      </w:r>
      <w:r w:rsidRPr="00F825B2">
        <w:rPr>
          <w:sz w:val="24"/>
          <w:szCs w:val="24"/>
        </w:rPr>
        <w:lastRenderedPageBreak/>
        <w:t>trust, regulatory compliance and operational resilience are treated as prerequisites for sustainable banking.</w:t>
      </w:r>
    </w:p>
    <w:p w:rsidR="003C2B40" w:rsidRPr="00F825B2" w:rsidRDefault="002F0A63" w:rsidP="00F825B2">
      <w:pPr>
        <w:spacing w:line="360" w:lineRule="auto"/>
        <w:jc w:val="both"/>
        <w:rPr>
          <w:sz w:val="24"/>
          <w:szCs w:val="24"/>
        </w:rPr>
      </w:pPr>
      <w:r w:rsidRPr="00F825B2">
        <w:rPr>
          <w:sz w:val="24"/>
          <w:szCs w:val="24"/>
        </w:rPr>
        <w:t>The strength of Schein’s framework is that it separates what an organisation says from what i</w:t>
      </w:r>
      <w:r w:rsidRPr="00F825B2">
        <w:rPr>
          <w:sz w:val="24"/>
          <w:szCs w:val="24"/>
        </w:rPr>
        <w:t>ts routines and assumptions actually communicate. For example, a bank may publicly encourage challenge, yet if managers punish employees who report mistakes, the lived assumption becomes ‘do not create problems’. Public information is insufficient to estab</w:t>
      </w:r>
      <w:r w:rsidRPr="00F825B2">
        <w:rPr>
          <w:sz w:val="24"/>
          <w:szCs w:val="24"/>
        </w:rPr>
        <w:t>lish whether this gap exists at Lloyds, so employee interviews, speak-up data, promotion patterns and customer complaint investigations would be needed. Schein’s model is diagnostic rather than a simple scoring tool.</w:t>
      </w:r>
    </w:p>
    <w:p w:rsidR="003C2B40" w:rsidRPr="00F825B2" w:rsidRDefault="002F0A63">
      <w:pPr>
        <w:pStyle w:val="Heading2"/>
        <w:rPr>
          <w:color w:val="4F81BD" w:themeColor="accent1"/>
          <w:sz w:val="28"/>
          <w:szCs w:val="28"/>
        </w:rPr>
      </w:pPr>
      <w:bookmarkStart w:id="5" w:name="_Toc243760711"/>
      <w:r w:rsidRPr="00F825B2">
        <w:rPr>
          <w:color w:val="4F81BD" w:themeColor="accent1"/>
          <w:sz w:val="28"/>
          <w:szCs w:val="28"/>
        </w:rPr>
        <w:t>4.2 Competing Values Framework and Hand</w:t>
      </w:r>
      <w:r w:rsidRPr="00F825B2">
        <w:rPr>
          <w:color w:val="4F81BD" w:themeColor="accent1"/>
          <w:sz w:val="28"/>
          <w:szCs w:val="28"/>
        </w:rPr>
        <w:t>y</w:t>
      </w:r>
      <w:bookmarkEnd w:id="5"/>
    </w:p>
    <w:p w:rsidR="0095276A" w:rsidRPr="00F825B2" w:rsidRDefault="002F0A63">
      <w:pPr>
        <w:rPr>
          <w:sz w:val="24"/>
          <w:szCs w:val="24"/>
        </w:rPr>
      </w:pPr>
      <w:r w:rsidRPr="00F825B2">
        <w:rPr>
          <w:sz w:val="24"/>
          <w:szCs w:val="24"/>
        </w:rPr>
        <w:t>Cameron and Quinn’s Competing Values Framework identifies clan, adhocracy, market and hierarchy cultures (Cameron and Quinn, 2011). A clan culture emphasises belonging and development; adhocracy favours experimentation; market culture stresses targets an</w:t>
      </w:r>
      <w:r w:rsidRPr="00F825B2">
        <w:rPr>
          <w:sz w:val="24"/>
          <w:szCs w:val="24"/>
        </w:rPr>
        <w:t>d competition; hierarchy values stability, formal processes and control. Lloyds appears to show a hierarchy culture in its governance and risk controls, a market orientation in its focus on income, cost efficiency and sustainable returns, and elements of c</w:t>
      </w:r>
      <w:r w:rsidRPr="00F825B2">
        <w:rPr>
          <w:sz w:val="24"/>
          <w:szCs w:val="24"/>
        </w:rPr>
        <w:t>lan culture in its stated emphasis on colleagues and inclusion. Digital investment and AI adoption suggest an intended adhocracy element, although innovation remains constrained by the need for model validation, privacy and customer protection.</w:t>
      </w:r>
    </w:p>
    <w:tbl>
      <w:tblPr>
        <w:tblStyle w:val="TableGrid"/>
        <w:tblW w:w="0" w:type="auto"/>
        <w:jc w:val="center"/>
        <w:tblLook w:val="04A0"/>
      </w:tblPr>
      <w:tblGrid>
        <w:gridCol w:w="3194"/>
        <w:gridCol w:w="3191"/>
        <w:gridCol w:w="3191"/>
      </w:tblGrid>
      <w:tr w:rsidR="003C2B40">
        <w:trPr>
          <w:jc w:val="center"/>
        </w:trPr>
        <w:tc>
          <w:tcPr>
            <w:tcW w:w="3264" w:type="dxa"/>
            <w:shd w:val="clear" w:color="auto" w:fill="263B53"/>
          </w:tcPr>
          <w:p w:rsidR="003C2B40" w:rsidRPr="00F825B2" w:rsidRDefault="002F0A63" w:rsidP="00F825B2">
            <w:pPr>
              <w:spacing w:line="360" w:lineRule="auto"/>
              <w:rPr>
                <w:sz w:val="22"/>
              </w:rPr>
            </w:pPr>
            <w:r w:rsidRPr="00F825B2">
              <w:rPr>
                <w:b/>
                <w:color w:val="FFFFFF"/>
                <w:sz w:val="22"/>
              </w:rPr>
              <w:t>Framework/type</w:t>
            </w:r>
          </w:p>
        </w:tc>
        <w:tc>
          <w:tcPr>
            <w:tcW w:w="3264" w:type="dxa"/>
            <w:shd w:val="clear" w:color="auto" w:fill="263B53"/>
          </w:tcPr>
          <w:p w:rsidR="003C2B40" w:rsidRPr="00F825B2" w:rsidRDefault="002F0A63" w:rsidP="00F825B2">
            <w:pPr>
              <w:spacing w:line="360" w:lineRule="auto"/>
              <w:rPr>
                <w:sz w:val="22"/>
              </w:rPr>
            </w:pPr>
            <w:r w:rsidRPr="00F825B2">
              <w:rPr>
                <w:b/>
                <w:color w:val="FFFFFF"/>
                <w:sz w:val="22"/>
              </w:rPr>
              <w:t>Evidence-based interpretation at Lloyds</w:t>
            </w:r>
          </w:p>
        </w:tc>
        <w:tc>
          <w:tcPr>
            <w:tcW w:w="3264" w:type="dxa"/>
            <w:shd w:val="clear" w:color="auto" w:fill="263B53"/>
          </w:tcPr>
          <w:p w:rsidR="003C2B40" w:rsidRPr="00F825B2" w:rsidRDefault="002F0A63" w:rsidP="00F825B2">
            <w:pPr>
              <w:spacing w:line="360" w:lineRule="auto"/>
              <w:rPr>
                <w:sz w:val="22"/>
              </w:rPr>
            </w:pPr>
            <w:r w:rsidRPr="00F825B2">
              <w:rPr>
                <w:b/>
                <w:color w:val="FFFFFF"/>
                <w:sz w:val="22"/>
              </w:rPr>
              <w:t>Critical limitation</w:t>
            </w:r>
          </w:p>
        </w:tc>
      </w:tr>
      <w:tr w:rsidR="003C2B40">
        <w:trPr>
          <w:jc w:val="center"/>
        </w:trPr>
        <w:tc>
          <w:tcPr>
            <w:tcW w:w="3264" w:type="dxa"/>
            <w:vAlign w:val="center"/>
          </w:tcPr>
          <w:p w:rsidR="003C2B40" w:rsidRPr="00F825B2" w:rsidRDefault="002F0A63" w:rsidP="00F825B2">
            <w:pPr>
              <w:spacing w:line="360" w:lineRule="auto"/>
              <w:rPr>
                <w:sz w:val="22"/>
              </w:rPr>
            </w:pPr>
            <w:r w:rsidRPr="00F825B2">
              <w:rPr>
                <w:sz w:val="22"/>
              </w:rPr>
              <w:t>Hierarchy</w:t>
            </w:r>
          </w:p>
        </w:tc>
        <w:tc>
          <w:tcPr>
            <w:tcW w:w="3264" w:type="dxa"/>
            <w:vAlign w:val="center"/>
          </w:tcPr>
          <w:p w:rsidR="003C2B40" w:rsidRPr="00F825B2" w:rsidRDefault="002F0A63" w:rsidP="00F825B2">
            <w:pPr>
              <w:spacing w:line="360" w:lineRule="auto"/>
              <w:rPr>
                <w:sz w:val="22"/>
              </w:rPr>
            </w:pPr>
            <w:r w:rsidRPr="00F825B2">
              <w:rPr>
                <w:sz w:val="22"/>
              </w:rPr>
              <w:t>Formal governance, risk management, control and regulatory accountability.</w:t>
            </w:r>
          </w:p>
        </w:tc>
        <w:tc>
          <w:tcPr>
            <w:tcW w:w="3264" w:type="dxa"/>
            <w:vAlign w:val="center"/>
          </w:tcPr>
          <w:p w:rsidR="003C2B40" w:rsidRPr="00F825B2" w:rsidRDefault="002F0A63" w:rsidP="00F825B2">
            <w:pPr>
              <w:spacing w:line="360" w:lineRule="auto"/>
              <w:rPr>
                <w:sz w:val="22"/>
              </w:rPr>
            </w:pPr>
            <w:r w:rsidRPr="00F825B2">
              <w:rPr>
                <w:sz w:val="22"/>
              </w:rPr>
              <w:t>Can create slow approvals, defensive behaviour and silos.</w:t>
            </w:r>
          </w:p>
        </w:tc>
      </w:tr>
      <w:tr w:rsidR="003C2B40">
        <w:trPr>
          <w:jc w:val="center"/>
        </w:trPr>
        <w:tc>
          <w:tcPr>
            <w:tcW w:w="3264" w:type="dxa"/>
            <w:vAlign w:val="center"/>
          </w:tcPr>
          <w:p w:rsidR="003C2B40" w:rsidRPr="00F825B2" w:rsidRDefault="002F0A63" w:rsidP="00F825B2">
            <w:pPr>
              <w:spacing w:line="360" w:lineRule="auto"/>
              <w:rPr>
                <w:sz w:val="22"/>
              </w:rPr>
            </w:pPr>
            <w:r w:rsidRPr="00F825B2">
              <w:rPr>
                <w:sz w:val="22"/>
              </w:rPr>
              <w:t>Market</w:t>
            </w:r>
          </w:p>
        </w:tc>
        <w:tc>
          <w:tcPr>
            <w:tcW w:w="3264" w:type="dxa"/>
            <w:vAlign w:val="center"/>
          </w:tcPr>
          <w:p w:rsidR="003C2B40" w:rsidRPr="00F825B2" w:rsidRDefault="002F0A63" w:rsidP="00F825B2">
            <w:pPr>
              <w:spacing w:line="360" w:lineRule="auto"/>
              <w:rPr>
                <w:sz w:val="22"/>
              </w:rPr>
            </w:pPr>
            <w:r w:rsidRPr="00F825B2">
              <w:rPr>
                <w:sz w:val="22"/>
              </w:rPr>
              <w:t xml:space="preserve">Targets for growth, returns, </w:t>
            </w:r>
            <w:r w:rsidRPr="00F825B2">
              <w:rPr>
                <w:sz w:val="22"/>
              </w:rPr>
              <w:t>efficiency and competitive digital services.</w:t>
            </w:r>
          </w:p>
        </w:tc>
        <w:tc>
          <w:tcPr>
            <w:tcW w:w="3264" w:type="dxa"/>
            <w:vAlign w:val="center"/>
          </w:tcPr>
          <w:p w:rsidR="003C2B40" w:rsidRPr="00F825B2" w:rsidRDefault="002F0A63" w:rsidP="00F825B2">
            <w:pPr>
              <w:spacing w:line="360" w:lineRule="auto"/>
              <w:rPr>
                <w:sz w:val="22"/>
              </w:rPr>
            </w:pPr>
            <w:r w:rsidRPr="00F825B2">
              <w:rPr>
                <w:sz w:val="22"/>
              </w:rPr>
              <w:t>Can create tension if sales or cost targets outweigh customer outcomes.</w:t>
            </w:r>
          </w:p>
        </w:tc>
      </w:tr>
      <w:tr w:rsidR="003C2B40">
        <w:trPr>
          <w:jc w:val="center"/>
        </w:trPr>
        <w:tc>
          <w:tcPr>
            <w:tcW w:w="3264" w:type="dxa"/>
            <w:vAlign w:val="center"/>
          </w:tcPr>
          <w:p w:rsidR="003C2B40" w:rsidRPr="00F825B2" w:rsidRDefault="002F0A63" w:rsidP="00F825B2">
            <w:pPr>
              <w:spacing w:line="360" w:lineRule="auto"/>
              <w:rPr>
                <w:sz w:val="22"/>
              </w:rPr>
            </w:pPr>
            <w:r w:rsidRPr="00F825B2">
              <w:rPr>
                <w:sz w:val="22"/>
              </w:rPr>
              <w:t>Clan</w:t>
            </w:r>
          </w:p>
        </w:tc>
        <w:tc>
          <w:tcPr>
            <w:tcW w:w="3264" w:type="dxa"/>
            <w:vAlign w:val="center"/>
          </w:tcPr>
          <w:p w:rsidR="003C2B40" w:rsidRPr="00F825B2" w:rsidRDefault="002F0A63" w:rsidP="00F825B2">
            <w:pPr>
              <w:spacing w:line="360" w:lineRule="auto"/>
              <w:rPr>
                <w:sz w:val="22"/>
              </w:rPr>
            </w:pPr>
            <w:r w:rsidRPr="00F825B2">
              <w:rPr>
                <w:sz w:val="22"/>
              </w:rPr>
              <w:t>Purpose, colleague engagement, inclusion and listening sessions.</w:t>
            </w:r>
          </w:p>
        </w:tc>
        <w:tc>
          <w:tcPr>
            <w:tcW w:w="3264" w:type="dxa"/>
            <w:vAlign w:val="center"/>
          </w:tcPr>
          <w:p w:rsidR="003C2B40" w:rsidRPr="00F825B2" w:rsidRDefault="002F0A63" w:rsidP="00F825B2">
            <w:pPr>
              <w:spacing w:line="360" w:lineRule="auto"/>
              <w:rPr>
                <w:sz w:val="22"/>
              </w:rPr>
            </w:pPr>
            <w:r w:rsidRPr="00F825B2">
              <w:rPr>
                <w:sz w:val="22"/>
              </w:rPr>
              <w:t>Corporate statements alone cannot establish whether employees feel p</w:t>
            </w:r>
            <w:r w:rsidRPr="00F825B2">
              <w:rPr>
                <w:sz w:val="22"/>
              </w:rPr>
              <w:t>sychologically safe.</w:t>
            </w:r>
          </w:p>
        </w:tc>
      </w:tr>
      <w:tr w:rsidR="003C2B40">
        <w:trPr>
          <w:jc w:val="center"/>
        </w:trPr>
        <w:tc>
          <w:tcPr>
            <w:tcW w:w="3264" w:type="dxa"/>
            <w:vAlign w:val="center"/>
          </w:tcPr>
          <w:p w:rsidR="003C2B40" w:rsidRPr="00F825B2" w:rsidRDefault="002F0A63" w:rsidP="00F825B2">
            <w:pPr>
              <w:spacing w:line="360" w:lineRule="auto"/>
              <w:rPr>
                <w:sz w:val="22"/>
              </w:rPr>
            </w:pPr>
            <w:r w:rsidRPr="00F825B2">
              <w:rPr>
                <w:sz w:val="22"/>
              </w:rPr>
              <w:lastRenderedPageBreak/>
              <w:t>Adhocracy</w:t>
            </w:r>
          </w:p>
        </w:tc>
        <w:tc>
          <w:tcPr>
            <w:tcW w:w="3264" w:type="dxa"/>
            <w:vAlign w:val="center"/>
          </w:tcPr>
          <w:p w:rsidR="003C2B40" w:rsidRPr="00F825B2" w:rsidRDefault="002F0A63" w:rsidP="00F825B2">
            <w:pPr>
              <w:spacing w:line="360" w:lineRule="auto"/>
              <w:rPr>
                <w:sz w:val="22"/>
              </w:rPr>
            </w:pPr>
            <w:r w:rsidRPr="00F825B2">
              <w:rPr>
                <w:sz w:val="22"/>
              </w:rPr>
              <w:t>Technology investment, data use and AI experimentation.</w:t>
            </w:r>
          </w:p>
        </w:tc>
        <w:tc>
          <w:tcPr>
            <w:tcW w:w="3264" w:type="dxa"/>
            <w:vAlign w:val="center"/>
          </w:tcPr>
          <w:p w:rsidR="003C2B40" w:rsidRPr="00F825B2" w:rsidRDefault="002F0A63" w:rsidP="00F825B2">
            <w:pPr>
              <w:spacing w:line="360" w:lineRule="auto"/>
              <w:rPr>
                <w:sz w:val="22"/>
              </w:rPr>
            </w:pPr>
            <w:r w:rsidRPr="00F825B2">
              <w:rPr>
                <w:sz w:val="22"/>
              </w:rPr>
              <w:t>Banking risk controls limit experimentation; novelty is not automatically beneficial.</w:t>
            </w:r>
          </w:p>
        </w:tc>
      </w:tr>
    </w:tbl>
    <w:p w:rsidR="003C2B40" w:rsidRDefault="003C2B40"/>
    <w:p w:rsidR="003C2B40" w:rsidRDefault="002F0A63">
      <w:pPr>
        <w:jc w:val="center"/>
      </w:pPr>
      <w:r>
        <w:rPr>
          <w:i/>
          <w:sz w:val="18"/>
        </w:rPr>
        <w:t>Table 1. Applying the Competing Values Framework to Lloyds Banking Group (author</w:t>
      </w:r>
      <w:r>
        <w:rPr>
          <w:i/>
          <w:sz w:val="18"/>
        </w:rPr>
        <w:t>’s analysis based on Cameron and Quinn, 2011; Lloyds Banking Group, 2026a).</w:t>
      </w:r>
    </w:p>
    <w:p w:rsidR="003C2B40" w:rsidRPr="00F825B2" w:rsidRDefault="002F0A63" w:rsidP="00F825B2">
      <w:pPr>
        <w:spacing w:line="360" w:lineRule="auto"/>
        <w:jc w:val="both"/>
        <w:rPr>
          <w:sz w:val="24"/>
          <w:szCs w:val="24"/>
        </w:rPr>
      </w:pPr>
      <w:r w:rsidRPr="00F825B2">
        <w:rPr>
          <w:sz w:val="24"/>
          <w:szCs w:val="24"/>
        </w:rPr>
        <w:t>Handy (1993) offers a complementary lens: power, role, task and person cultures. A role culture, based on defined jobs and rules, is likely to be prominent in a large bank with ext</w:t>
      </w:r>
      <w:r w:rsidRPr="00F825B2">
        <w:rPr>
          <w:sz w:val="24"/>
          <w:szCs w:val="24"/>
        </w:rPr>
        <w:t>ensive compliance obligations. Task culture appears in cross-functional transformation programmes that bring together technology, risk, operations and product expertise. Elements of power culture may exist where senior executives or specialist control func</w:t>
      </w:r>
      <w:r w:rsidRPr="00F825B2">
        <w:rPr>
          <w:sz w:val="24"/>
          <w:szCs w:val="24"/>
        </w:rPr>
        <w:t>tions hold concentrated authority, although this should not be taken to mean that the organisation is uniformly centralised. Handy’s categories are useful shorthand, but they can oversimplify a complex organisation and are not mutually exclusive.</w:t>
      </w:r>
    </w:p>
    <w:p w:rsidR="003C2B40" w:rsidRPr="00F825B2" w:rsidRDefault="002F0A63">
      <w:pPr>
        <w:pStyle w:val="Heading2"/>
        <w:rPr>
          <w:color w:val="4F81BD" w:themeColor="accent1"/>
          <w:sz w:val="28"/>
          <w:szCs w:val="28"/>
        </w:rPr>
      </w:pPr>
      <w:bookmarkStart w:id="6" w:name="_Toc243760712"/>
      <w:r w:rsidRPr="00F825B2">
        <w:rPr>
          <w:color w:val="4F81BD" w:themeColor="accent1"/>
          <w:sz w:val="28"/>
          <w:szCs w:val="28"/>
        </w:rPr>
        <w:t>4.3 Hofst</w:t>
      </w:r>
      <w:r w:rsidRPr="00F825B2">
        <w:rPr>
          <w:color w:val="4F81BD" w:themeColor="accent1"/>
          <w:sz w:val="28"/>
          <w:szCs w:val="28"/>
        </w:rPr>
        <w:t>ede and Denison: use with caution</w:t>
      </w:r>
      <w:bookmarkEnd w:id="6"/>
    </w:p>
    <w:p w:rsidR="003C2B40" w:rsidRPr="00F825B2" w:rsidRDefault="002F0A63" w:rsidP="00F825B2">
      <w:pPr>
        <w:spacing w:line="360" w:lineRule="auto"/>
        <w:jc w:val="both"/>
        <w:rPr>
          <w:sz w:val="24"/>
          <w:szCs w:val="24"/>
        </w:rPr>
      </w:pPr>
      <w:r w:rsidRPr="00F825B2">
        <w:rPr>
          <w:sz w:val="24"/>
          <w:szCs w:val="24"/>
        </w:rPr>
        <w:t>Hofstede, Hofstede and Minkov (2010) analyse national cultural dimensions, including power distance and uncertainty avoidance. These concepts can prompt questions about hierarchy, challenge and comfort with ambiguity in an</w:t>
      </w:r>
      <w:r w:rsidRPr="00F825B2">
        <w:rPr>
          <w:sz w:val="24"/>
          <w:szCs w:val="24"/>
        </w:rPr>
        <w:t xml:space="preserve"> internationally diverse workforce. However, national averages should not be used to stereotype individual Lloyds employees or treated as direct measures of organisational culture. The framework is best used to encourage inclusive communication and conside</w:t>
      </w:r>
      <w:r w:rsidRPr="00F825B2">
        <w:rPr>
          <w:sz w:val="24"/>
          <w:szCs w:val="24"/>
        </w:rPr>
        <w:t>r how different employees interpret authority, rather than to predict individual behaviour.</w:t>
      </w:r>
    </w:p>
    <w:p w:rsidR="003C2B40" w:rsidRPr="00F825B2" w:rsidRDefault="002F0A63" w:rsidP="00F825B2">
      <w:pPr>
        <w:spacing w:line="360" w:lineRule="auto"/>
        <w:jc w:val="both"/>
        <w:rPr>
          <w:sz w:val="24"/>
          <w:szCs w:val="24"/>
        </w:rPr>
      </w:pPr>
      <w:r w:rsidRPr="00F825B2">
        <w:rPr>
          <w:sz w:val="24"/>
          <w:szCs w:val="24"/>
        </w:rPr>
        <w:t xml:space="preserve">Denison and Mishra’s (1995) model links effectiveness to involvement, consistency, adaptability and mission. Lloyds’ purpose and strategic priorities indicate a </w:t>
      </w:r>
      <w:r w:rsidRPr="00F825B2">
        <w:rPr>
          <w:sz w:val="24"/>
          <w:szCs w:val="24"/>
        </w:rPr>
        <w:t xml:space="preserve">strong mission; risk frameworks and conduct standards support consistency; colleague engagement initiatives indicate an intention to build involvement; and digital/AI investment signals adaptability. The potential imbalance is that consistency and mission </w:t>
      </w:r>
      <w:r w:rsidRPr="00F825B2">
        <w:rPr>
          <w:sz w:val="24"/>
          <w:szCs w:val="24"/>
        </w:rPr>
        <w:t>may be more mature or measurable than employee empowerment and safe experimentation. Denison’s model provides a useful way to turn culture into observable questions, but its traits should be measured with employee, customer and performance data rather than</w:t>
      </w:r>
      <w:r w:rsidRPr="00F825B2">
        <w:rPr>
          <w:sz w:val="24"/>
          <w:szCs w:val="24"/>
        </w:rPr>
        <w:t xml:space="preserve"> inferred solely from annual-report language.</w:t>
      </w:r>
    </w:p>
    <w:p w:rsidR="003C2B40" w:rsidRPr="0095276A" w:rsidRDefault="002F0A63">
      <w:pPr>
        <w:pStyle w:val="Heading1"/>
        <w:rPr>
          <w:color w:val="4F81BD" w:themeColor="accent1"/>
          <w:sz w:val="36"/>
          <w:szCs w:val="36"/>
        </w:rPr>
      </w:pPr>
      <w:bookmarkStart w:id="7" w:name="_Toc243760713"/>
      <w:r w:rsidRPr="0095276A">
        <w:rPr>
          <w:color w:val="4F81BD" w:themeColor="accent1"/>
          <w:sz w:val="36"/>
          <w:szCs w:val="36"/>
        </w:rPr>
        <w:lastRenderedPageBreak/>
        <w:t>5. Culture and the External Environment</w:t>
      </w:r>
      <w:bookmarkEnd w:id="7"/>
    </w:p>
    <w:p w:rsidR="003C2B40" w:rsidRPr="00F825B2" w:rsidRDefault="002F0A63" w:rsidP="00F825B2">
      <w:pPr>
        <w:spacing w:line="360" w:lineRule="auto"/>
        <w:jc w:val="both"/>
        <w:rPr>
          <w:sz w:val="24"/>
          <w:szCs w:val="24"/>
        </w:rPr>
      </w:pPr>
      <w:r w:rsidRPr="00F825B2">
        <w:rPr>
          <w:sz w:val="24"/>
          <w:szCs w:val="24"/>
        </w:rPr>
        <w:t xml:space="preserve">Lloyds’ culture is shaped by external forces including regulation, economic conditions, customer expectations, technological disruption, climate-related risks and public </w:t>
      </w:r>
      <w:r w:rsidRPr="00F825B2">
        <w:rPr>
          <w:sz w:val="24"/>
          <w:szCs w:val="24"/>
        </w:rPr>
        <w:t>scrutiny. The Group’s 2025 reporting describes a changing environment and a strategy that combines growth, cost discipline and digital capability (Lloyds Banking Group, 2026a). Culture helps translate these pressures into everyday action: customer focus ca</w:t>
      </w:r>
      <w:r w:rsidRPr="00F825B2">
        <w:rPr>
          <w:sz w:val="24"/>
          <w:szCs w:val="24"/>
        </w:rPr>
        <w:t>n support fair outcomes; risk awareness can strengthen resilience; and learning can help employees adopt new systems. Conversely, strong historical routines may slow responses if new risks do not fit established categories.</w:t>
      </w:r>
    </w:p>
    <w:p w:rsidR="003C2B40" w:rsidRPr="00F825B2" w:rsidRDefault="002F0A63" w:rsidP="00F825B2">
      <w:pPr>
        <w:spacing w:line="360" w:lineRule="auto"/>
        <w:jc w:val="both"/>
        <w:rPr>
          <w:sz w:val="24"/>
          <w:szCs w:val="24"/>
        </w:rPr>
      </w:pPr>
      <w:r w:rsidRPr="00F825B2">
        <w:rPr>
          <w:sz w:val="24"/>
          <w:szCs w:val="24"/>
        </w:rPr>
        <w:t xml:space="preserve">Regulation is a direct cultural </w:t>
      </w:r>
      <w:r w:rsidRPr="00F825B2">
        <w:rPr>
          <w:sz w:val="24"/>
          <w:szCs w:val="24"/>
        </w:rPr>
        <w:t>influence. The Consumer Duty places emphasis on customer outcomes, fair value, consumer understanding and support. The FCA’s review updated in December 2025 notes that some firms demonstrate good practice while others still have gaps (FCA, 2025). This illu</w:t>
      </w:r>
      <w:r w:rsidRPr="00F825B2">
        <w:rPr>
          <w:sz w:val="24"/>
          <w:szCs w:val="24"/>
        </w:rPr>
        <w:t>strates why compliance cannot be reduced to policy publication: staff need incentives, information and authority to identify foreseeable harm. Likewise, the Bank of England’s December 2025 Financial Stability Report highlighted geopolitical uncertainty, cy</w:t>
      </w:r>
      <w:r w:rsidRPr="00F825B2">
        <w:rPr>
          <w:sz w:val="24"/>
          <w:szCs w:val="24"/>
        </w:rPr>
        <w:t>ber disruption and risks associated with stretched asset valuations (Bank of England, 2025). These conditions reinforce the need for a culture that treats operational resilience and challenge as core business responsibilities.</w:t>
      </w:r>
    </w:p>
    <w:p w:rsidR="003C2B40" w:rsidRPr="00F825B2" w:rsidRDefault="002F0A63" w:rsidP="00F825B2">
      <w:pPr>
        <w:spacing w:line="360" w:lineRule="auto"/>
        <w:jc w:val="both"/>
        <w:rPr>
          <w:sz w:val="24"/>
          <w:szCs w:val="24"/>
        </w:rPr>
      </w:pPr>
      <w:r w:rsidRPr="00F825B2">
        <w:rPr>
          <w:sz w:val="24"/>
          <w:szCs w:val="24"/>
        </w:rPr>
        <w:t>Technology is another pressur</w:t>
      </w:r>
      <w:r w:rsidRPr="00F825B2">
        <w:rPr>
          <w:sz w:val="24"/>
          <w:szCs w:val="24"/>
        </w:rPr>
        <w:t>e. Lloyds reported large-scale distribution of Microsoft Copilot licences and continuing investment in technology and data capabilities in 2025 (Lloyds Banking Group, 2026a). The cultural challenge is to encourage learning without normalising unchecked aut</w:t>
      </w:r>
      <w:r w:rsidRPr="00F825B2">
        <w:rPr>
          <w:sz w:val="24"/>
          <w:szCs w:val="24"/>
        </w:rPr>
        <w:t>omation. Employees need permission to question AI outputs, protect customer data and escalate bias or errors. This requires psychological safety alongside formal model governance. Environmental expectations also matter: climate risk can affect mortgage col</w:t>
      </w:r>
      <w:r w:rsidRPr="00F825B2">
        <w:rPr>
          <w:sz w:val="24"/>
          <w:szCs w:val="24"/>
        </w:rPr>
        <w:t>lateral, business lending and insurance exposure, while transition finance creates opportunities. A culture that integrates long-term environmental risk into lending and investment decisions is more likely to adapt than one treating sustainability as a sep</w:t>
      </w:r>
      <w:r w:rsidRPr="00F825B2">
        <w:rPr>
          <w:sz w:val="24"/>
          <w:szCs w:val="24"/>
        </w:rPr>
        <w:t>arate communications activity.</w:t>
      </w:r>
    </w:p>
    <w:p w:rsidR="003C2B40" w:rsidRPr="00AE461B" w:rsidRDefault="002F0A63">
      <w:pPr>
        <w:pStyle w:val="Heading1"/>
        <w:rPr>
          <w:color w:val="4F81BD" w:themeColor="accent1"/>
          <w:sz w:val="36"/>
          <w:szCs w:val="36"/>
        </w:rPr>
      </w:pPr>
      <w:bookmarkStart w:id="8" w:name="_Toc243760714"/>
      <w:r w:rsidRPr="00AE461B">
        <w:rPr>
          <w:color w:val="4F81BD" w:themeColor="accent1"/>
          <w:sz w:val="36"/>
          <w:szCs w:val="36"/>
        </w:rPr>
        <w:lastRenderedPageBreak/>
        <w:t xml:space="preserve">6. PESTELE Analysis </w:t>
      </w:r>
      <w:bookmarkEnd w:id="8"/>
    </w:p>
    <w:p w:rsidR="003C2B40" w:rsidRPr="00AE461B" w:rsidRDefault="002F0A63" w:rsidP="00AE461B">
      <w:pPr>
        <w:spacing w:line="360" w:lineRule="auto"/>
        <w:jc w:val="both"/>
        <w:rPr>
          <w:sz w:val="24"/>
          <w:szCs w:val="24"/>
        </w:rPr>
      </w:pPr>
      <w:r w:rsidRPr="00AE461B">
        <w:rPr>
          <w:sz w:val="24"/>
          <w:szCs w:val="24"/>
        </w:rPr>
        <w:t>The following analysis summarises major external influences relevant to Lloyds Bank. It uses the latest publicly available evidence identified for this report, including the Group’s</w:t>
      </w:r>
      <w:r w:rsidRPr="00AE461B">
        <w:rPr>
          <w:sz w:val="24"/>
          <w:szCs w:val="24"/>
        </w:rPr>
        <w:t xml:space="preserve"> 2025 Annual Report, the FCA’s Consumer Duty update and the Bank of England’s December 2025 Financial Stability Report. The date is the report’s research cut-off, not a claim that every factor first arose on that date.</w:t>
      </w:r>
    </w:p>
    <w:p w:rsidR="003C2B40" w:rsidRDefault="002F0A63">
      <w:r>
        <w:rPr>
          <w:noProof/>
        </w:rPr>
        <w:drawing>
          <wp:inline distT="0" distB="0" distL="0" distR="0">
            <wp:extent cx="5943600" cy="342091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oyds_pestele.png"/>
                    <pic:cNvPicPr/>
                  </pic:nvPicPr>
                  <pic:blipFill>
                    <a:blip r:embed="rId9"/>
                    <a:stretch>
                      <a:fillRect/>
                    </a:stretch>
                  </pic:blipFill>
                  <pic:spPr>
                    <a:xfrm>
                      <a:off x="0" y="0"/>
                      <a:ext cx="5943600" cy="3420914"/>
                    </a:xfrm>
                    <a:prstGeom prst="rect">
                      <a:avLst/>
                    </a:prstGeom>
                  </pic:spPr>
                </pic:pic>
              </a:graphicData>
            </a:graphic>
          </wp:inline>
        </w:drawing>
      </w:r>
    </w:p>
    <w:p w:rsidR="003C2B40" w:rsidRDefault="002F0A63">
      <w:pPr>
        <w:jc w:val="center"/>
      </w:pPr>
      <w:r>
        <w:rPr>
          <w:i/>
          <w:sz w:val="18"/>
        </w:rPr>
        <w:t>Figure 2. PESTELE factors affecting</w:t>
      </w:r>
      <w:r>
        <w:rPr>
          <w:i/>
          <w:sz w:val="18"/>
        </w:rPr>
        <w:t xml:space="preserve"> Lloyds Banking Group (author’s synthesis; sources below).</w:t>
      </w:r>
    </w:p>
    <w:tbl>
      <w:tblPr>
        <w:tblStyle w:val="TableGrid"/>
        <w:tblW w:w="0" w:type="auto"/>
        <w:jc w:val="center"/>
        <w:tblLook w:val="04A0"/>
      </w:tblPr>
      <w:tblGrid>
        <w:gridCol w:w="3189"/>
        <w:gridCol w:w="3187"/>
        <w:gridCol w:w="3200"/>
      </w:tblGrid>
      <w:tr w:rsidR="003C2B40">
        <w:trPr>
          <w:jc w:val="center"/>
        </w:trPr>
        <w:tc>
          <w:tcPr>
            <w:tcW w:w="3264" w:type="dxa"/>
            <w:shd w:val="clear" w:color="auto" w:fill="263B53"/>
          </w:tcPr>
          <w:p w:rsidR="003C2B40" w:rsidRPr="00AE461B" w:rsidRDefault="002F0A63" w:rsidP="00AE461B">
            <w:pPr>
              <w:spacing w:line="360" w:lineRule="auto"/>
              <w:rPr>
                <w:sz w:val="22"/>
              </w:rPr>
            </w:pPr>
            <w:r w:rsidRPr="00AE461B">
              <w:rPr>
                <w:b/>
                <w:color w:val="FFFFFF"/>
                <w:sz w:val="22"/>
              </w:rPr>
              <w:t>Factor</w:t>
            </w:r>
          </w:p>
        </w:tc>
        <w:tc>
          <w:tcPr>
            <w:tcW w:w="3264" w:type="dxa"/>
            <w:shd w:val="clear" w:color="auto" w:fill="263B53"/>
          </w:tcPr>
          <w:p w:rsidR="003C2B40" w:rsidRPr="00AE461B" w:rsidRDefault="002F0A63" w:rsidP="00AE461B">
            <w:pPr>
              <w:spacing w:line="360" w:lineRule="auto"/>
              <w:rPr>
                <w:sz w:val="22"/>
              </w:rPr>
            </w:pPr>
            <w:r w:rsidRPr="00AE461B">
              <w:rPr>
                <w:b/>
                <w:color w:val="FFFFFF"/>
                <w:sz w:val="22"/>
              </w:rPr>
              <w:t>Implications for Lloyds</w:t>
            </w:r>
          </w:p>
        </w:tc>
        <w:tc>
          <w:tcPr>
            <w:tcW w:w="3264" w:type="dxa"/>
            <w:shd w:val="clear" w:color="auto" w:fill="263B53"/>
          </w:tcPr>
          <w:p w:rsidR="003C2B40" w:rsidRPr="00AE461B" w:rsidRDefault="002F0A63" w:rsidP="00AE461B">
            <w:pPr>
              <w:spacing w:line="360" w:lineRule="auto"/>
              <w:rPr>
                <w:sz w:val="22"/>
              </w:rPr>
            </w:pPr>
            <w:r w:rsidRPr="00AE461B">
              <w:rPr>
                <w:b/>
                <w:color w:val="FFFFFF"/>
                <w:sz w:val="22"/>
              </w:rPr>
              <w:t>Cultural response required</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Political</w:t>
            </w:r>
          </w:p>
        </w:tc>
        <w:tc>
          <w:tcPr>
            <w:tcW w:w="3264" w:type="dxa"/>
            <w:vAlign w:val="center"/>
          </w:tcPr>
          <w:p w:rsidR="003C2B40" w:rsidRPr="00AE461B" w:rsidRDefault="002F0A63" w:rsidP="00AE461B">
            <w:pPr>
              <w:spacing w:line="360" w:lineRule="auto"/>
              <w:rPr>
                <w:sz w:val="22"/>
              </w:rPr>
            </w:pPr>
            <w:r w:rsidRPr="00AE461B">
              <w:rPr>
                <w:sz w:val="22"/>
              </w:rPr>
              <w:t>UK policy priorities, geopolitical tension and financial-market fragmentation can affect confidence and operations (Bank of Engl</w:t>
            </w:r>
            <w:r w:rsidRPr="00AE461B">
              <w:rPr>
                <w:sz w:val="22"/>
              </w:rPr>
              <w:t>and, 2025).</w:t>
            </w:r>
          </w:p>
        </w:tc>
        <w:tc>
          <w:tcPr>
            <w:tcW w:w="3264" w:type="dxa"/>
            <w:vAlign w:val="center"/>
          </w:tcPr>
          <w:p w:rsidR="003C2B40" w:rsidRPr="00AE461B" w:rsidRDefault="002F0A63" w:rsidP="00AE461B">
            <w:pPr>
              <w:spacing w:line="360" w:lineRule="auto"/>
              <w:rPr>
                <w:sz w:val="22"/>
              </w:rPr>
            </w:pPr>
            <w:r w:rsidRPr="00AE461B">
              <w:rPr>
                <w:sz w:val="22"/>
              </w:rPr>
              <w:t>Scenario planning, clear crisis roles and responsible public communication.</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Economic</w:t>
            </w:r>
          </w:p>
        </w:tc>
        <w:tc>
          <w:tcPr>
            <w:tcW w:w="3264" w:type="dxa"/>
            <w:vAlign w:val="center"/>
          </w:tcPr>
          <w:p w:rsidR="003C2B40" w:rsidRPr="00AE461B" w:rsidRDefault="002F0A63" w:rsidP="00AE461B">
            <w:pPr>
              <w:spacing w:line="360" w:lineRule="auto"/>
              <w:rPr>
                <w:sz w:val="22"/>
              </w:rPr>
            </w:pPr>
            <w:r w:rsidRPr="00AE461B">
              <w:rPr>
                <w:sz w:val="22"/>
              </w:rPr>
              <w:t xml:space="preserve">Interest rates, inflation, household affordability and credit quality affect lending </w:t>
            </w:r>
            <w:r w:rsidRPr="00AE461B">
              <w:rPr>
                <w:sz w:val="22"/>
              </w:rPr>
              <w:lastRenderedPageBreak/>
              <w:t>demand and arrears.</w:t>
            </w:r>
          </w:p>
        </w:tc>
        <w:tc>
          <w:tcPr>
            <w:tcW w:w="3264" w:type="dxa"/>
            <w:vAlign w:val="center"/>
          </w:tcPr>
          <w:p w:rsidR="003C2B40" w:rsidRPr="00AE461B" w:rsidRDefault="002F0A63" w:rsidP="00AE461B">
            <w:pPr>
              <w:spacing w:line="360" w:lineRule="auto"/>
              <w:rPr>
                <w:sz w:val="22"/>
              </w:rPr>
            </w:pPr>
            <w:r w:rsidRPr="00AE461B">
              <w:rPr>
                <w:sz w:val="22"/>
              </w:rPr>
              <w:lastRenderedPageBreak/>
              <w:t xml:space="preserve">Evidence-led lending, early support for vulnerable </w:t>
            </w:r>
            <w:r w:rsidRPr="00AE461B">
              <w:rPr>
                <w:sz w:val="22"/>
              </w:rPr>
              <w:t xml:space="preserve">customers and disciplined risk </w:t>
            </w:r>
            <w:r w:rsidRPr="00AE461B">
              <w:rPr>
                <w:sz w:val="22"/>
              </w:rPr>
              <w:lastRenderedPageBreak/>
              <w:t>appetite.</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lastRenderedPageBreak/>
              <w:t>Social</w:t>
            </w:r>
          </w:p>
        </w:tc>
        <w:tc>
          <w:tcPr>
            <w:tcW w:w="3264" w:type="dxa"/>
            <w:vAlign w:val="center"/>
          </w:tcPr>
          <w:p w:rsidR="003C2B40" w:rsidRPr="00AE461B" w:rsidRDefault="002F0A63" w:rsidP="00AE461B">
            <w:pPr>
              <w:spacing w:line="360" w:lineRule="auto"/>
              <w:rPr>
                <w:sz w:val="22"/>
              </w:rPr>
            </w:pPr>
            <w:r w:rsidRPr="00AE461B">
              <w:rPr>
                <w:sz w:val="22"/>
              </w:rPr>
              <w:t>Customers expect convenient digital service, while some need assisted access and additional support.</w:t>
            </w:r>
          </w:p>
        </w:tc>
        <w:tc>
          <w:tcPr>
            <w:tcW w:w="3264" w:type="dxa"/>
            <w:vAlign w:val="center"/>
          </w:tcPr>
          <w:p w:rsidR="003C2B40" w:rsidRPr="00AE461B" w:rsidRDefault="002F0A63" w:rsidP="00AE461B">
            <w:pPr>
              <w:spacing w:line="360" w:lineRule="auto"/>
              <w:rPr>
                <w:sz w:val="22"/>
              </w:rPr>
            </w:pPr>
            <w:r w:rsidRPr="00AE461B">
              <w:rPr>
                <w:sz w:val="22"/>
              </w:rPr>
              <w:t>Inclusive design, empathy, accessible channels and customer-outcome measures.</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Technological</w:t>
            </w:r>
          </w:p>
        </w:tc>
        <w:tc>
          <w:tcPr>
            <w:tcW w:w="3264" w:type="dxa"/>
            <w:vAlign w:val="center"/>
          </w:tcPr>
          <w:p w:rsidR="003C2B40" w:rsidRPr="00AE461B" w:rsidRDefault="002F0A63" w:rsidP="00AE461B">
            <w:pPr>
              <w:spacing w:line="360" w:lineRule="auto"/>
              <w:rPr>
                <w:sz w:val="22"/>
              </w:rPr>
            </w:pPr>
            <w:r w:rsidRPr="00AE461B">
              <w:rPr>
                <w:sz w:val="22"/>
              </w:rPr>
              <w:t>AI, automatio</w:t>
            </w:r>
            <w:r w:rsidRPr="00AE461B">
              <w:rPr>
                <w:sz w:val="22"/>
              </w:rPr>
              <w:t>n, fraud, cyber threats and legacy-system change create opportunities and operational risk (Lloyds Banking Group, 2026a).</w:t>
            </w:r>
          </w:p>
        </w:tc>
        <w:tc>
          <w:tcPr>
            <w:tcW w:w="3264" w:type="dxa"/>
            <w:vAlign w:val="center"/>
          </w:tcPr>
          <w:p w:rsidR="003C2B40" w:rsidRPr="00AE461B" w:rsidRDefault="002F0A63" w:rsidP="00AE461B">
            <w:pPr>
              <w:spacing w:line="360" w:lineRule="auto"/>
              <w:rPr>
                <w:sz w:val="22"/>
              </w:rPr>
            </w:pPr>
            <w:r w:rsidRPr="00AE461B">
              <w:rPr>
                <w:sz w:val="22"/>
              </w:rPr>
              <w:t>Continuous learning, safe experimentation, human oversight and rapid incident reporting.</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Environmental</w:t>
            </w:r>
          </w:p>
        </w:tc>
        <w:tc>
          <w:tcPr>
            <w:tcW w:w="3264" w:type="dxa"/>
            <w:vAlign w:val="center"/>
          </w:tcPr>
          <w:p w:rsidR="003C2B40" w:rsidRPr="00AE461B" w:rsidRDefault="002F0A63" w:rsidP="00AE461B">
            <w:pPr>
              <w:spacing w:line="360" w:lineRule="auto"/>
              <w:rPr>
                <w:sz w:val="22"/>
              </w:rPr>
            </w:pPr>
            <w:r w:rsidRPr="00AE461B">
              <w:rPr>
                <w:sz w:val="22"/>
              </w:rPr>
              <w:t>Physical climate impacts and t</w:t>
            </w:r>
            <w:r w:rsidRPr="00AE461B">
              <w:rPr>
                <w:sz w:val="22"/>
              </w:rPr>
              <w:t>he transition to a lower-carbon economy affect borrowers, assets and financing opportunities.</w:t>
            </w:r>
          </w:p>
        </w:tc>
        <w:tc>
          <w:tcPr>
            <w:tcW w:w="3264" w:type="dxa"/>
            <w:vAlign w:val="center"/>
          </w:tcPr>
          <w:p w:rsidR="003C2B40" w:rsidRPr="00AE461B" w:rsidRDefault="002F0A63" w:rsidP="00AE461B">
            <w:pPr>
              <w:spacing w:line="360" w:lineRule="auto"/>
              <w:rPr>
                <w:sz w:val="22"/>
              </w:rPr>
            </w:pPr>
            <w:r w:rsidRPr="00AE461B">
              <w:rPr>
                <w:sz w:val="22"/>
              </w:rPr>
              <w:t>Integrate climate risk into credit decisions and develop credible transition-finance expertise.</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Legal</w:t>
            </w:r>
          </w:p>
        </w:tc>
        <w:tc>
          <w:tcPr>
            <w:tcW w:w="3264" w:type="dxa"/>
            <w:vAlign w:val="center"/>
          </w:tcPr>
          <w:p w:rsidR="003C2B40" w:rsidRPr="00AE461B" w:rsidRDefault="002F0A63" w:rsidP="00AE461B">
            <w:pPr>
              <w:spacing w:line="360" w:lineRule="auto"/>
              <w:rPr>
                <w:sz w:val="22"/>
              </w:rPr>
            </w:pPr>
            <w:r w:rsidRPr="00AE461B">
              <w:rPr>
                <w:sz w:val="22"/>
              </w:rPr>
              <w:t xml:space="preserve">Consumer Duty, data protection, financial-crime rules, </w:t>
            </w:r>
            <w:r w:rsidRPr="00AE461B">
              <w:rPr>
                <w:sz w:val="22"/>
              </w:rPr>
              <w:t>employment obligations and prudential regulation constrain decisions (FCA, 2025).</w:t>
            </w:r>
          </w:p>
        </w:tc>
        <w:tc>
          <w:tcPr>
            <w:tcW w:w="3264" w:type="dxa"/>
            <w:vAlign w:val="center"/>
          </w:tcPr>
          <w:p w:rsidR="003C2B40" w:rsidRPr="00AE461B" w:rsidRDefault="002F0A63" w:rsidP="00AE461B">
            <w:pPr>
              <w:spacing w:line="360" w:lineRule="auto"/>
              <w:rPr>
                <w:sz w:val="22"/>
              </w:rPr>
            </w:pPr>
            <w:r w:rsidRPr="00AE461B">
              <w:rPr>
                <w:sz w:val="22"/>
              </w:rPr>
              <w:t>Accountability, documented rationale, fair incentives and timely escalation.</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Ethical</w:t>
            </w:r>
          </w:p>
        </w:tc>
        <w:tc>
          <w:tcPr>
            <w:tcW w:w="3264" w:type="dxa"/>
            <w:vAlign w:val="center"/>
          </w:tcPr>
          <w:p w:rsidR="003C2B40" w:rsidRPr="00AE461B" w:rsidRDefault="002F0A63" w:rsidP="00AE461B">
            <w:pPr>
              <w:spacing w:line="360" w:lineRule="auto"/>
              <w:rPr>
                <w:sz w:val="22"/>
              </w:rPr>
            </w:pPr>
            <w:r w:rsidRPr="00AE461B">
              <w:rPr>
                <w:sz w:val="22"/>
              </w:rPr>
              <w:t xml:space="preserve">Trust depends on fair treatment, transparency, responsible AI and a credible speak-up </w:t>
            </w:r>
            <w:r w:rsidRPr="00AE461B">
              <w:rPr>
                <w:sz w:val="22"/>
              </w:rPr>
              <w:t>culture.</w:t>
            </w:r>
          </w:p>
        </w:tc>
        <w:tc>
          <w:tcPr>
            <w:tcW w:w="3264" w:type="dxa"/>
            <w:vAlign w:val="center"/>
          </w:tcPr>
          <w:p w:rsidR="003C2B40" w:rsidRPr="00AE461B" w:rsidRDefault="002F0A63" w:rsidP="00AE461B">
            <w:pPr>
              <w:spacing w:line="360" w:lineRule="auto"/>
              <w:rPr>
                <w:sz w:val="22"/>
              </w:rPr>
            </w:pPr>
            <w:r w:rsidRPr="00AE461B">
              <w:rPr>
                <w:sz w:val="22"/>
              </w:rPr>
              <w:t>Reward integrity, challenge unfair outcomes and protect employees who raise concerns.</w:t>
            </w:r>
          </w:p>
        </w:tc>
      </w:tr>
    </w:tbl>
    <w:p w:rsidR="003C2B40" w:rsidRDefault="003C2B40"/>
    <w:p w:rsidR="003C2B40" w:rsidRDefault="002F0A63">
      <w:pPr>
        <w:jc w:val="center"/>
      </w:pPr>
      <w:r>
        <w:rPr>
          <w:i/>
          <w:sz w:val="18"/>
        </w:rPr>
        <w:t>Table 2. PESTELE analysis of Lloyds Bank / Lloyds Banking Group, research cut-off 24 October 2026.</w:t>
      </w:r>
    </w:p>
    <w:p w:rsidR="00C1537D" w:rsidRDefault="00C1537D" w:rsidP="00AE461B">
      <w:pPr>
        <w:spacing w:line="360" w:lineRule="auto"/>
        <w:jc w:val="both"/>
        <w:rPr>
          <w:sz w:val="24"/>
          <w:szCs w:val="24"/>
        </w:rPr>
      </w:pPr>
    </w:p>
    <w:p w:rsidR="003C2B40" w:rsidRDefault="002F0A63" w:rsidP="00AE461B">
      <w:pPr>
        <w:spacing w:line="360" w:lineRule="auto"/>
        <w:jc w:val="both"/>
      </w:pPr>
      <w:r w:rsidRPr="00AE461B">
        <w:rPr>
          <w:sz w:val="24"/>
          <w:szCs w:val="24"/>
        </w:rPr>
        <w:t>PESTELE shows that external adaptation is not only a strateg</w:t>
      </w:r>
      <w:r w:rsidRPr="00AE461B">
        <w:rPr>
          <w:sz w:val="24"/>
          <w:szCs w:val="24"/>
        </w:rPr>
        <w:t xml:space="preserve">ic planning exercise; it is a cultural capability. Political and legal pressures require consistency, while technological and social change require adaptability and involvement. A culture dominated by any </w:t>
      </w:r>
      <w:r w:rsidRPr="00AE461B">
        <w:rPr>
          <w:sz w:val="24"/>
          <w:szCs w:val="24"/>
        </w:rPr>
        <w:lastRenderedPageBreak/>
        <w:t xml:space="preserve">single response is likely to be incomplete. Lloyds </w:t>
      </w:r>
      <w:r w:rsidRPr="00AE461B">
        <w:rPr>
          <w:sz w:val="24"/>
          <w:szCs w:val="24"/>
        </w:rPr>
        <w:t>should therefore treat risk control and innovation as complementary disciplines, with clear accountability for the trade-offs</w:t>
      </w:r>
      <w:r>
        <w:t>.</w:t>
      </w:r>
    </w:p>
    <w:p w:rsidR="003C2B40" w:rsidRPr="00AE461B" w:rsidRDefault="002F0A63">
      <w:pPr>
        <w:pStyle w:val="Heading1"/>
        <w:rPr>
          <w:color w:val="4F81BD" w:themeColor="accent1"/>
          <w:sz w:val="36"/>
          <w:szCs w:val="36"/>
        </w:rPr>
      </w:pPr>
      <w:bookmarkStart w:id="9" w:name="_Toc243760715"/>
      <w:r w:rsidRPr="00AE461B">
        <w:rPr>
          <w:color w:val="4F81BD" w:themeColor="accent1"/>
          <w:sz w:val="36"/>
          <w:szCs w:val="36"/>
        </w:rPr>
        <w:t>7. Organisational Culture as a Barrier or Enabler</w:t>
      </w:r>
      <w:bookmarkEnd w:id="9"/>
    </w:p>
    <w:p w:rsidR="003C2B40" w:rsidRPr="00AE461B" w:rsidRDefault="002F0A63" w:rsidP="00AE461B">
      <w:pPr>
        <w:spacing w:line="360" w:lineRule="auto"/>
        <w:jc w:val="both"/>
        <w:rPr>
          <w:sz w:val="24"/>
          <w:szCs w:val="24"/>
        </w:rPr>
      </w:pPr>
      <w:r w:rsidRPr="00AE461B">
        <w:rPr>
          <w:sz w:val="24"/>
          <w:szCs w:val="24"/>
        </w:rPr>
        <w:t>Culture acts as an enabler when shared expectations reduce uncertainty, support</w:t>
      </w:r>
      <w:r w:rsidRPr="00AE461B">
        <w:rPr>
          <w:sz w:val="24"/>
          <w:szCs w:val="24"/>
        </w:rPr>
        <w:t xml:space="preserve"> coordination and make responsible conduct routine. In banking, a strong risk culture can make employees more likely to identify fraud, challenge unsuitable lending, protect confidential information and escalate operational weaknesses. A common purpose can</w:t>
      </w:r>
      <w:r w:rsidRPr="00AE461B">
        <w:rPr>
          <w:sz w:val="24"/>
          <w:szCs w:val="24"/>
        </w:rPr>
        <w:t xml:space="preserve"> also help connect the work of branch colleagues, data specialists and risk managers to customer and community outcomes. Lloyds’ formal risk framework, conduct expectations and Speak Up programme provide mechanisms through which such behaviours can be enco</w:t>
      </w:r>
      <w:r w:rsidRPr="00AE461B">
        <w:rPr>
          <w:sz w:val="24"/>
          <w:szCs w:val="24"/>
        </w:rPr>
        <w:t>uraged (Lloyds Banking Group, 2026a).</w:t>
      </w:r>
    </w:p>
    <w:p w:rsidR="003C2B40" w:rsidRPr="00AE461B" w:rsidRDefault="002F0A63" w:rsidP="00AE461B">
      <w:pPr>
        <w:spacing w:line="360" w:lineRule="auto"/>
        <w:jc w:val="both"/>
        <w:rPr>
          <w:sz w:val="24"/>
          <w:szCs w:val="24"/>
        </w:rPr>
      </w:pPr>
      <w:r w:rsidRPr="00AE461B">
        <w:rPr>
          <w:sz w:val="24"/>
          <w:szCs w:val="24"/>
        </w:rPr>
        <w:t>Culture becomes a barrier when shared assumptions are too rigid or when espoused values conflict with actual incentives. A strong hierarchy can lead to upward referral of routine decisions; market pressure can encourag</w:t>
      </w:r>
      <w:r w:rsidRPr="00AE461B">
        <w:rPr>
          <w:sz w:val="24"/>
          <w:szCs w:val="24"/>
        </w:rPr>
        <w:t>e short-termism; and functional subcultures can obstruct information-sharing. Schein (2010) warns that assumptions which once supported success may become dysfunctional when circumstances change. In a bank, ‘avoid all mistakes’ may suppress experimentation</w:t>
      </w:r>
      <w:r w:rsidRPr="00AE461B">
        <w:rPr>
          <w:sz w:val="24"/>
          <w:szCs w:val="24"/>
        </w:rPr>
        <w:t xml:space="preserve"> and reporting, while ‘deliver growth’ may inadvertently reward conduct that is technically compliant but poor for customers. Neither risk aversion nor commercial ambition is inherently negative; the problem is imbalance.</w:t>
      </w:r>
    </w:p>
    <w:p w:rsidR="003C2B40" w:rsidRPr="00AE461B" w:rsidRDefault="002F0A63" w:rsidP="00AE461B">
      <w:pPr>
        <w:spacing w:line="360" w:lineRule="auto"/>
        <w:jc w:val="both"/>
        <w:rPr>
          <w:sz w:val="24"/>
          <w:szCs w:val="24"/>
        </w:rPr>
      </w:pPr>
      <w:r w:rsidRPr="00AE461B">
        <w:rPr>
          <w:sz w:val="24"/>
          <w:szCs w:val="24"/>
        </w:rPr>
        <w:t>The evidence available does not ju</w:t>
      </w:r>
      <w:r w:rsidRPr="00AE461B">
        <w:rPr>
          <w:sz w:val="24"/>
          <w:szCs w:val="24"/>
        </w:rPr>
        <w:t>stify claiming that Lloyds’ culture is definitively dysfunctional. Reported engagement, continued digital investment and formal governance suggest significant strengths (Lloyds Banking Group, 2026a). Nevertheless, engagement scores and public policies cann</w:t>
      </w:r>
      <w:r w:rsidRPr="00AE461B">
        <w:rPr>
          <w:sz w:val="24"/>
          <w:szCs w:val="24"/>
        </w:rPr>
        <w:t>ot fully reveal whether staff feel safe challenging senior decisions or whether customer outcomes consistently outweigh sales pressures. The balanced conclusion is that culture is currently an essential enabler, but it contains predictable risks associated</w:t>
      </w:r>
      <w:r w:rsidRPr="00AE461B">
        <w:rPr>
          <w:sz w:val="24"/>
          <w:szCs w:val="24"/>
        </w:rPr>
        <w:t xml:space="preserve"> with scale, hierarchy and competing performance demands. The appropriate response is targeted diagnosis and improvement, not wholesale replacement of the existing culture.</w:t>
      </w:r>
    </w:p>
    <w:p w:rsidR="003C2B40" w:rsidRPr="00AE461B" w:rsidRDefault="002F0A63">
      <w:pPr>
        <w:pStyle w:val="Heading1"/>
        <w:rPr>
          <w:color w:val="4F81BD" w:themeColor="accent1"/>
          <w:sz w:val="36"/>
          <w:szCs w:val="36"/>
        </w:rPr>
      </w:pPr>
      <w:bookmarkStart w:id="10" w:name="_Toc243760716"/>
      <w:r w:rsidRPr="00AE461B">
        <w:rPr>
          <w:color w:val="4F81BD" w:themeColor="accent1"/>
          <w:sz w:val="36"/>
          <w:szCs w:val="36"/>
        </w:rPr>
        <w:lastRenderedPageBreak/>
        <w:t>8. Impact of Culture on Organisational Performance</w:t>
      </w:r>
      <w:bookmarkEnd w:id="10"/>
    </w:p>
    <w:p w:rsidR="003C2B40" w:rsidRPr="00AE461B" w:rsidRDefault="002F0A63" w:rsidP="00AE461B">
      <w:pPr>
        <w:spacing w:line="360" w:lineRule="auto"/>
        <w:jc w:val="both"/>
        <w:rPr>
          <w:sz w:val="24"/>
          <w:szCs w:val="24"/>
        </w:rPr>
      </w:pPr>
      <w:r w:rsidRPr="00AE461B">
        <w:rPr>
          <w:sz w:val="24"/>
          <w:szCs w:val="24"/>
        </w:rPr>
        <w:t>Culture can influence performanc</w:t>
      </w:r>
      <w:r w:rsidRPr="00AE461B">
        <w:rPr>
          <w:sz w:val="24"/>
          <w:szCs w:val="24"/>
        </w:rPr>
        <w:t>e through employee behaviour, customer outcomes, risk losses, innovation and the cost of coordination. Denison and Mishra (1995) found relationships between cultural traits and effectiveness, while Schein (2010) explains how leadership and shared assumptio</w:t>
      </w:r>
      <w:r w:rsidRPr="00AE461B">
        <w:rPr>
          <w:sz w:val="24"/>
          <w:szCs w:val="24"/>
        </w:rPr>
        <w:t>ns influence organisational learning. These relationships should not be interpreted as proof that culture alone causes financial results: interest rates, market conditions, regulation, portfolio composition and one-off provisions also affect bank performan</w:t>
      </w:r>
      <w:r w:rsidRPr="00AE461B">
        <w:rPr>
          <w:sz w:val="24"/>
          <w:szCs w:val="24"/>
        </w:rPr>
        <w:t>ce.</w:t>
      </w:r>
    </w:p>
    <w:p w:rsidR="003C2B40" w:rsidRPr="00AE461B" w:rsidRDefault="002F0A63" w:rsidP="00AE461B">
      <w:pPr>
        <w:spacing w:line="360" w:lineRule="auto"/>
        <w:jc w:val="both"/>
        <w:rPr>
          <w:sz w:val="24"/>
          <w:szCs w:val="24"/>
        </w:rPr>
      </w:pPr>
      <w:r w:rsidRPr="00AE461B">
        <w:rPr>
          <w:sz w:val="24"/>
          <w:szCs w:val="24"/>
        </w:rPr>
        <w:t>Lloyds Banking Group reported 2025 net income of £18.30 billion, statutory profit after tax of £4.76 billion and return on tangible equity of 12.9%. The cost:income ratio was 58.6%, while digitally active users reached 23.6 million; the Group also repo</w:t>
      </w:r>
      <w:r w:rsidRPr="00AE461B">
        <w:rPr>
          <w:sz w:val="24"/>
          <w:szCs w:val="24"/>
        </w:rPr>
        <w:t>rted a 75% favourable employee engagement index (Lloyds Banking Group, 2026a). These indicators are consistent with an organisation pursuing both commercial performance and digital transformation. Culture may support these outcomes by promoting execution d</w:t>
      </w:r>
      <w:r w:rsidRPr="00AE461B">
        <w:rPr>
          <w:sz w:val="24"/>
          <w:szCs w:val="24"/>
        </w:rPr>
        <w:t>iscipline, customer focus and investment in colleague capability. However, correlation cannot establish that the engagement score caused profit growth or that digital sales necessarily equate to better customer outcomes.</w:t>
      </w:r>
    </w:p>
    <w:p w:rsidR="003C2B40" w:rsidRPr="00AE461B" w:rsidRDefault="002F0A63" w:rsidP="00AE461B">
      <w:pPr>
        <w:spacing w:line="360" w:lineRule="auto"/>
        <w:jc w:val="both"/>
        <w:rPr>
          <w:sz w:val="24"/>
          <w:szCs w:val="24"/>
        </w:rPr>
      </w:pPr>
      <w:r w:rsidRPr="00AE461B">
        <w:rPr>
          <w:sz w:val="24"/>
          <w:szCs w:val="24"/>
        </w:rPr>
        <w:t>Performance must also include non-f</w:t>
      </w:r>
      <w:r w:rsidRPr="00AE461B">
        <w:rPr>
          <w:sz w:val="24"/>
          <w:szCs w:val="24"/>
        </w:rPr>
        <w:t>inancial measures. Customer complaints, vulnerability outcomes, fraud losses, operational incidents, employee turnover, speak-up confidence and remediation costs can reveal weaknesses not visible in headline profit. The FCA’s Consumer Duty guidance reinfor</w:t>
      </w:r>
      <w:r w:rsidRPr="00AE461B">
        <w:rPr>
          <w:sz w:val="24"/>
          <w:szCs w:val="24"/>
        </w:rPr>
        <w:t>ces the need to assess outcomes for retail customers rather than relying only on activity or sales metrics (FCA, 2025). A sustainable culture should make poor news visible early and enable corrective action. If managers are rewarded only for revenue, costs</w:t>
      </w:r>
      <w:r w:rsidRPr="00AE461B">
        <w:rPr>
          <w:sz w:val="24"/>
          <w:szCs w:val="24"/>
        </w:rPr>
        <w:t xml:space="preserve"> and delivery speed, employees may rationally deprioritise harder-to-measure outcomes such as fairness and learning.</w:t>
      </w:r>
    </w:p>
    <w:p w:rsidR="003C2B40" w:rsidRPr="00AE461B" w:rsidRDefault="002F0A63" w:rsidP="00AE461B">
      <w:pPr>
        <w:spacing w:line="360" w:lineRule="auto"/>
        <w:jc w:val="both"/>
        <w:rPr>
          <w:sz w:val="24"/>
          <w:szCs w:val="24"/>
        </w:rPr>
      </w:pPr>
      <w:r w:rsidRPr="00AE461B">
        <w:rPr>
          <w:sz w:val="24"/>
          <w:szCs w:val="24"/>
        </w:rPr>
        <w:t>A useful evaluation therefore links cultural traits to a balanced set of indicators. Involvement can be assessed through employee voice and</w:t>
      </w:r>
      <w:r w:rsidRPr="00AE461B">
        <w:rPr>
          <w:sz w:val="24"/>
          <w:szCs w:val="24"/>
        </w:rPr>
        <w:t xml:space="preserve"> decision autonomy; consistency through control failures and conduct breaches; adaptability through the speed and safety of product improvement; and mission through customer outcomes and strategic delivery. These measures should be segmented by business un</w:t>
      </w:r>
      <w:r w:rsidRPr="00AE461B">
        <w:rPr>
          <w:sz w:val="24"/>
          <w:szCs w:val="24"/>
        </w:rPr>
        <w:t xml:space="preserve">it and </w:t>
      </w:r>
      <w:r w:rsidRPr="00AE461B">
        <w:rPr>
          <w:sz w:val="24"/>
          <w:szCs w:val="24"/>
        </w:rPr>
        <w:lastRenderedPageBreak/>
        <w:t>customer group to identify variation, while avoiding simplistic league tables that encourage gaming.</w:t>
      </w:r>
    </w:p>
    <w:p w:rsidR="003C2B40" w:rsidRPr="00AE461B" w:rsidRDefault="002F0A63">
      <w:pPr>
        <w:pStyle w:val="Heading1"/>
        <w:rPr>
          <w:color w:val="4F81BD" w:themeColor="accent1"/>
          <w:sz w:val="36"/>
          <w:szCs w:val="36"/>
        </w:rPr>
      </w:pPr>
      <w:bookmarkStart w:id="11" w:name="_Toc243760717"/>
      <w:r w:rsidRPr="00AE461B">
        <w:rPr>
          <w:color w:val="4F81BD" w:themeColor="accent1"/>
          <w:sz w:val="36"/>
          <w:szCs w:val="36"/>
        </w:rPr>
        <w:t>9. Recommendations</w:t>
      </w:r>
      <w:bookmarkEnd w:id="11"/>
    </w:p>
    <w:tbl>
      <w:tblPr>
        <w:tblStyle w:val="TableGrid"/>
        <w:tblW w:w="0" w:type="auto"/>
        <w:jc w:val="center"/>
        <w:tblLook w:val="04A0"/>
      </w:tblPr>
      <w:tblGrid>
        <w:gridCol w:w="3200"/>
        <w:gridCol w:w="3199"/>
        <w:gridCol w:w="3177"/>
      </w:tblGrid>
      <w:tr w:rsidR="003C2B40">
        <w:trPr>
          <w:jc w:val="center"/>
        </w:trPr>
        <w:tc>
          <w:tcPr>
            <w:tcW w:w="3264" w:type="dxa"/>
            <w:shd w:val="clear" w:color="auto" w:fill="263B53"/>
          </w:tcPr>
          <w:p w:rsidR="003C2B40" w:rsidRPr="00AE461B" w:rsidRDefault="002F0A63" w:rsidP="00AE461B">
            <w:pPr>
              <w:spacing w:line="360" w:lineRule="auto"/>
              <w:rPr>
                <w:sz w:val="22"/>
              </w:rPr>
            </w:pPr>
            <w:r w:rsidRPr="00AE461B">
              <w:rPr>
                <w:b/>
                <w:color w:val="FFFFFF"/>
                <w:sz w:val="22"/>
              </w:rPr>
              <w:t>Recommendation</w:t>
            </w:r>
          </w:p>
        </w:tc>
        <w:tc>
          <w:tcPr>
            <w:tcW w:w="3264" w:type="dxa"/>
            <w:shd w:val="clear" w:color="auto" w:fill="263B53"/>
          </w:tcPr>
          <w:p w:rsidR="003C2B40" w:rsidRPr="00AE461B" w:rsidRDefault="002F0A63" w:rsidP="00AE461B">
            <w:pPr>
              <w:spacing w:line="360" w:lineRule="auto"/>
              <w:rPr>
                <w:sz w:val="22"/>
              </w:rPr>
            </w:pPr>
            <w:r w:rsidRPr="00AE461B">
              <w:rPr>
                <w:b/>
                <w:color w:val="FFFFFF"/>
                <w:sz w:val="22"/>
              </w:rPr>
              <w:t>Theory and implementation</w:t>
            </w:r>
          </w:p>
        </w:tc>
        <w:tc>
          <w:tcPr>
            <w:tcW w:w="3264" w:type="dxa"/>
            <w:shd w:val="clear" w:color="auto" w:fill="263B53"/>
          </w:tcPr>
          <w:p w:rsidR="003C2B40" w:rsidRPr="00AE461B" w:rsidRDefault="002F0A63" w:rsidP="00AE461B">
            <w:pPr>
              <w:spacing w:line="360" w:lineRule="auto"/>
              <w:rPr>
                <w:sz w:val="22"/>
              </w:rPr>
            </w:pPr>
            <w:r w:rsidRPr="00AE461B">
              <w:rPr>
                <w:b/>
                <w:color w:val="FFFFFF"/>
                <w:sz w:val="22"/>
              </w:rPr>
              <w:t>Measures of progress</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1. Measure lived culture, not only stated values.</w:t>
            </w:r>
          </w:p>
        </w:tc>
        <w:tc>
          <w:tcPr>
            <w:tcW w:w="3264" w:type="dxa"/>
            <w:vAlign w:val="center"/>
          </w:tcPr>
          <w:p w:rsidR="003C2B40" w:rsidRPr="00AE461B" w:rsidRDefault="002F0A63" w:rsidP="00AE461B">
            <w:pPr>
              <w:spacing w:line="360" w:lineRule="auto"/>
              <w:rPr>
                <w:sz w:val="22"/>
              </w:rPr>
            </w:pPr>
            <w:r w:rsidRPr="00AE461B">
              <w:rPr>
                <w:sz w:val="22"/>
              </w:rPr>
              <w:t xml:space="preserve">Use Schein’s </w:t>
            </w:r>
            <w:r w:rsidRPr="00AE461B">
              <w:rPr>
                <w:sz w:val="22"/>
              </w:rPr>
              <w:t>levels and Denison’s four traits in an annual diagnostic combining anonymous colleague surveys, focus groups, exit data, customer feedback and speak-up themes. Compare results across functions and seniority.</w:t>
            </w:r>
          </w:p>
        </w:tc>
        <w:tc>
          <w:tcPr>
            <w:tcW w:w="3264" w:type="dxa"/>
            <w:vAlign w:val="center"/>
          </w:tcPr>
          <w:p w:rsidR="003C2B40" w:rsidRPr="00AE461B" w:rsidRDefault="002F0A63" w:rsidP="00AE461B">
            <w:pPr>
              <w:spacing w:line="360" w:lineRule="auto"/>
              <w:rPr>
                <w:sz w:val="22"/>
              </w:rPr>
            </w:pPr>
            <w:r w:rsidRPr="00AE461B">
              <w:rPr>
                <w:sz w:val="22"/>
              </w:rPr>
              <w:t>Psychological-safety scores; confidence in speak</w:t>
            </w:r>
            <w:r w:rsidRPr="00AE461B">
              <w:rPr>
                <w:sz w:val="22"/>
              </w:rPr>
              <w:t>ing up; response time and closure quality for reported concerns.</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2. Balance performance and customer outcomes.</w:t>
            </w:r>
          </w:p>
        </w:tc>
        <w:tc>
          <w:tcPr>
            <w:tcW w:w="3264" w:type="dxa"/>
            <w:vAlign w:val="center"/>
          </w:tcPr>
          <w:p w:rsidR="003C2B40" w:rsidRPr="00AE461B" w:rsidRDefault="002F0A63" w:rsidP="00AE461B">
            <w:pPr>
              <w:spacing w:line="360" w:lineRule="auto"/>
              <w:rPr>
                <w:sz w:val="22"/>
              </w:rPr>
            </w:pPr>
            <w:r w:rsidRPr="00AE461B">
              <w:rPr>
                <w:sz w:val="22"/>
              </w:rPr>
              <w:t>Apply the Competing Values Framework to review scorecards and incentives. Pair growth/productivity measures with fair value, complaints, vulnera</w:t>
            </w:r>
            <w:r w:rsidRPr="00AE461B">
              <w:rPr>
                <w:sz w:val="22"/>
              </w:rPr>
              <w:t>bility support, remediation and conduct indicators; review unintended consequences quarterly.</w:t>
            </w:r>
          </w:p>
        </w:tc>
        <w:tc>
          <w:tcPr>
            <w:tcW w:w="3264" w:type="dxa"/>
            <w:vAlign w:val="center"/>
          </w:tcPr>
          <w:p w:rsidR="003C2B40" w:rsidRPr="00AE461B" w:rsidRDefault="002F0A63" w:rsidP="00AE461B">
            <w:pPr>
              <w:spacing w:line="360" w:lineRule="auto"/>
              <w:rPr>
                <w:sz w:val="22"/>
              </w:rPr>
            </w:pPr>
            <w:r w:rsidRPr="00AE461B">
              <w:rPr>
                <w:sz w:val="22"/>
              </w:rPr>
              <w:t>Customer outcome indicators; upheld complaints; remediation costs; conduct-related adjustments to performance reviews.</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3. Introduce controlled empowerment.</w:t>
            </w:r>
          </w:p>
        </w:tc>
        <w:tc>
          <w:tcPr>
            <w:tcW w:w="3264" w:type="dxa"/>
            <w:vAlign w:val="center"/>
          </w:tcPr>
          <w:p w:rsidR="003C2B40" w:rsidRPr="00AE461B" w:rsidRDefault="002F0A63" w:rsidP="00AE461B">
            <w:pPr>
              <w:spacing w:line="360" w:lineRule="auto"/>
              <w:rPr>
                <w:sz w:val="22"/>
              </w:rPr>
            </w:pPr>
            <w:r w:rsidRPr="00AE461B">
              <w:rPr>
                <w:sz w:val="22"/>
              </w:rPr>
              <w:t>Map r</w:t>
            </w:r>
            <w:r w:rsidRPr="00AE461B">
              <w:rPr>
                <w:sz w:val="22"/>
              </w:rPr>
              <w:t xml:space="preserve">ecurring decisions and set clear decision rights, risk thresholds and escalation triggers. Allow trained front-line and product teams to resolve low-risk cases within guardrails, while preserving independent risk review for </w:t>
            </w:r>
            <w:r w:rsidRPr="00AE461B">
              <w:rPr>
                <w:sz w:val="22"/>
              </w:rPr>
              <w:lastRenderedPageBreak/>
              <w:t>material decisions.</w:t>
            </w:r>
          </w:p>
        </w:tc>
        <w:tc>
          <w:tcPr>
            <w:tcW w:w="3264" w:type="dxa"/>
            <w:vAlign w:val="center"/>
          </w:tcPr>
          <w:p w:rsidR="003C2B40" w:rsidRPr="00AE461B" w:rsidRDefault="002F0A63" w:rsidP="00AE461B">
            <w:pPr>
              <w:spacing w:line="360" w:lineRule="auto"/>
              <w:rPr>
                <w:sz w:val="22"/>
              </w:rPr>
            </w:pPr>
            <w:r w:rsidRPr="00AE461B">
              <w:rPr>
                <w:sz w:val="22"/>
              </w:rPr>
              <w:lastRenderedPageBreak/>
              <w:t>Decision cyc</w:t>
            </w:r>
            <w:r w:rsidRPr="00AE461B">
              <w:rPr>
                <w:sz w:val="22"/>
              </w:rPr>
              <w:t>le time; rework; escalation quality; control incidents; customer satisfaction.</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lastRenderedPageBreak/>
              <w:t>4. Build a learning culture for digital and AI change.</w:t>
            </w:r>
          </w:p>
        </w:tc>
        <w:tc>
          <w:tcPr>
            <w:tcW w:w="3264" w:type="dxa"/>
            <w:vAlign w:val="center"/>
          </w:tcPr>
          <w:p w:rsidR="003C2B40" w:rsidRPr="00AE461B" w:rsidRDefault="002F0A63" w:rsidP="00AE461B">
            <w:pPr>
              <w:spacing w:line="360" w:lineRule="auto"/>
              <w:rPr>
                <w:sz w:val="22"/>
              </w:rPr>
            </w:pPr>
            <w:r w:rsidRPr="00AE461B">
              <w:rPr>
                <w:sz w:val="22"/>
              </w:rPr>
              <w:t>Create role-based training on AI limitations, data protection, bias, cyber security and human accountability. Run monitor</w:t>
            </w:r>
            <w:r w:rsidRPr="00AE461B">
              <w:rPr>
                <w:sz w:val="22"/>
              </w:rPr>
              <w:t>ed pilots with clear stop criteria and post-implementation reviews; encourage staff to challenge model outputs.</w:t>
            </w:r>
          </w:p>
        </w:tc>
        <w:tc>
          <w:tcPr>
            <w:tcW w:w="3264" w:type="dxa"/>
            <w:vAlign w:val="center"/>
          </w:tcPr>
          <w:p w:rsidR="003C2B40" w:rsidRPr="00AE461B" w:rsidRDefault="002F0A63" w:rsidP="00AE461B">
            <w:pPr>
              <w:spacing w:line="360" w:lineRule="auto"/>
              <w:rPr>
                <w:sz w:val="22"/>
              </w:rPr>
            </w:pPr>
            <w:r w:rsidRPr="00AE461B">
              <w:rPr>
                <w:sz w:val="22"/>
              </w:rPr>
              <w:t>Training proficiency; model incidents; fraud detection quality; adoption with customer-harm checks.</w:t>
            </w:r>
          </w:p>
        </w:tc>
      </w:tr>
      <w:tr w:rsidR="003C2B40">
        <w:trPr>
          <w:jc w:val="center"/>
        </w:trPr>
        <w:tc>
          <w:tcPr>
            <w:tcW w:w="3264" w:type="dxa"/>
            <w:vAlign w:val="center"/>
          </w:tcPr>
          <w:p w:rsidR="003C2B40" w:rsidRPr="00AE461B" w:rsidRDefault="002F0A63" w:rsidP="00AE461B">
            <w:pPr>
              <w:spacing w:line="360" w:lineRule="auto"/>
              <w:rPr>
                <w:sz w:val="22"/>
              </w:rPr>
            </w:pPr>
            <w:r w:rsidRPr="00AE461B">
              <w:rPr>
                <w:sz w:val="22"/>
              </w:rPr>
              <w:t>5. Make leadership behaviour accountable.</w:t>
            </w:r>
          </w:p>
        </w:tc>
        <w:tc>
          <w:tcPr>
            <w:tcW w:w="3264" w:type="dxa"/>
            <w:vAlign w:val="center"/>
          </w:tcPr>
          <w:p w:rsidR="003C2B40" w:rsidRPr="00AE461B" w:rsidRDefault="002F0A63" w:rsidP="00AE461B">
            <w:pPr>
              <w:spacing w:line="360" w:lineRule="auto"/>
              <w:rPr>
                <w:sz w:val="22"/>
              </w:rPr>
            </w:pPr>
            <w:r w:rsidRPr="00AE461B">
              <w:rPr>
                <w:sz w:val="22"/>
              </w:rPr>
              <w:t>Use 360-degree feedback and leadership objectives to assess openness, fairness, collaboration and response to challenge. Share anonymised ‘you said—we did’ outcomes so employees can see how feedback changes decisions.</w:t>
            </w:r>
          </w:p>
        </w:tc>
        <w:tc>
          <w:tcPr>
            <w:tcW w:w="3264" w:type="dxa"/>
            <w:vAlign w:val="center"/>
          </w:tcPr>
          <w:p w:rsidR="003C2B40" w:rsidRPr="00AE461B" w:rsidRDefault="002F0A63" w:rsidP="00AE461B">
            <w:pPr>
              <w:spacing w:line="360" w:lineRule="auto"/>
              <w:rPr>
                <w:sz w:val="22"/>
              </w:rPr>
            </w:pPr>
            <w:r w:rsidRPr="00AE461B">
              <w:rPr>
                <w:sz w:val="22"/>
              </w:rPr>
              <w:t>Employee trust in leadership; cross-fu</w:t>
            </w:r>
            <w:r w:rsidRPr="00AE461B">
              <w:rPr>
                <w:sz w:val="22"/>
              </w:rPr>
              <w:t>nctional issue resolution; evidence of actions following colleague feedback.</w:t>
            </w:r>
          </w:p>
        </w:tc>
      </w:tr>
    </w:tbl>
    <w:p w:rsidR="003C2B40" w:rsidRDefault="003C2B40"/>
    <w:p w:rsidR="003C2B40" w:rsidRDefault="002F0A63">
      <w:pPr>
        <w:jc w:val="center"/>
      </w:pPr>
      <w:r>
        <w:rPr>
          <w:i/>
          <w:sz w:val="18"/>
        </w:rPr>
        <w:t>Table 3. Recommendations linked to culture theory and measurable organisational outcomes (author’s synthesis).</w:t>
      </w:r>
    </w:p>
    <w:p w:rsidR="003C2B40" w:rsidRPr="00AE461B" w:rsidRDefault="002F0A63" w:rsidP="00AE461B">
      <w:pPr>
        <w:spacing w:line="360" w:lineRule="auto"/>
        <w:jc w:val="both"/>
        <w:rPr>
          <w:sz w:val="24"/>
          <w:szCs w:val="24"/>
        </w:rPr>
      </w:pPr>
      <w:r w:rsidRPr="00AE461B">
        <w:rPr>
          <w:sz w:val="24"/>
          <w:szCs w:val="24"/>
        </w:rPr>
        <w:t>These recommendations should be phased over 12–18 months. The firs</w:t>
      </w:r>
      <w:r w:rsidRPr="00AE461B">
        <w:rPr>
          <w:sz w:val="24"/>
          <w:szCs w:val="24"/>
        </w:rPr>
        <w:t>t three months should establish a baseline and select pilot areas; months four to nine should test decision-right changes and revised scorecards in selected teams; months ten to eighteen should evaluate results and scale interventions that improve outcomes</w:t>
      </w:r>
      <w:r w:rsidRPr="00AE461B">
        <w:rPr>
          <w:sz w:val="24"/>
          <w:szCs w:val="24"/>
        </w:rPr>
        <w:t xml:space="preserve"> without weakening controls. The Board and executive risk, people and customer functions should jointly sponsor the programme, with independent assurance to reduce the risk of managers marking their own cultural performance. The purpose is not to replace r</w:t>
      </w:r>
      <w:r w:rsidRPr="00AE461B">
        <w:rPr>
          <w:sz w:val="24"/>
          <w:szCs w:val="24"/>
        </w:rPr>
        <w:t>egulation with values, but to make values observable in everyday decisions.</w:t>
      </w:r>
    </w:p>
    <w:p w:rsidR="003C2B40" w:rsidRPr="00AE461B" w:rsidRDefault="002F0A63">
      <w:pPr>
        <w:pStyle w:val="Heading1"/>
        <w:rPr>
          <w:color w:val="4F81BD" w:themeColor="accent1"/>
          <w:sz w:val="36"/>
          <w:szCs w:val="36"/>
        </w:rPr>
      </w:pPr>
      <w:bookmarkStart w:id="12" w:name="_Toc243760718"/>
      <w:r w:rsidRPr="00AE461B">
        <w:rPr>
          <w:color w:val="4F81BD" w:themeColor="accent1"/>
          <w:sz w:val="36"/>
          <w:szCs w:val="36"/>
        </w:rPr>
        <w:lastRenderedPageBreak/>
        <w:t>10. Conclusion</w:t>
      </w:r>
      <w:bookmarkEnd w:id="12"/>
    </w:p>
    <w:p w:rsidR="003C2B40" w:rsidRPr="00AE461B" w:rsidRDefault="002F0A63" w:rsidP="00AE461B">
      <w:pPr>
        <w:spacing w:line="360" w:lineRule="auto"/>
        <w:jc w:val="both"/>
        <w:rPr>
          <w:sz w:val="24"/>
          <w:szCs w:val="24"/>
        </w:rPr>
      </w:pPr>
      <w:r w:rsidRPr="00AE461B">
        <w:rPr>
          <w:sz w:val="24"/>
          <w:szCs w:val="24"/>
        </w:rPr>
        <w:t>Mullins and Christy’s (2016) argument that culture permeates structure, decision-making, motivation and control is strongly applicable to Lloyds Bank. Public evidenc</w:t>
      </w:r>
      <w:r w:rsidRPr="00AE461B">
        <w:rPr>
          <w:sz w:val="24"/>
          <w:szCs w:val="24"/>
        </w:rPr>
        <w:t>e indicates a hybrid culture: hierarchy and risk management are prominent, market-oriented performance goals shape strategic priorities, and customer purpose, colleague inclusion and digital transformation provide clan and adhocracy elements. Schein’s mode</w:t>
      </w:r>
      <w:r w:rsidRPr="00AE461B">
        <w:rPr>
          <w:sz w:val="24"/>
          <w:szCs w:val="24"/>
        </w:rPr>
        <w:t>l helps distinguish visible controls from stated values and less observable assumptions; the Competing Values Framework and Handy’s typology clarify competing priorities; and Denison’s traits show how culture can be evaluated against involvement, consisten</w:t>
      </w:r>
      <w:r w:rsidRPr="00AE461B">
        <w:rPr>
          <w:sz w:val="24"/>
          <w:szCs w:val="24"/>
        </w:rPr>
        <w:t>cy, adaptability and mission.</w:t>
      </w:r>
    </w:p>
    <w:p w:rsidR="003C2B40" w:rsidRPr="00AE461B" w:rsidRDefault="002F0A63" w:rsidP="00AE461B">
      <w:pPr>
        <w:spacing w:line="360" w:lineRule="auto"/>
        <w:jc w:val="both"/>
        <w:rPr>
          <w:sz w:val="24"/>
          <w:szCs w:val="24"/>
        </w:rPr>
      </w:pPr>
      <w:r w:rsidRPr="00AE461B">
        <w:rPr>
          <w:sz w:val="24"/>
          <w:szCs w:val="24"/>
        </w:rPr>
        <w:t>Culture is best judged as an enabler with potential barriers, rather than as wholly positive or negative. Formal governance and risk discipline support trust and regulatory compliance, but can slow decisions if authority is to</w:t>
      </w:r>
      <w:r w:rsidRPr="00AE461B">
        <w:rPr>
          <w:sz w:val="24"/>
          <w:szCs w:val="24"/>
        </w:rPr>
        <w:t>o centralised. Performance results in 2025 were strong on several reported measures, although these cannot be attributed to culture alone and must be considered alongside customer outcomes, risk and external conditions. Lloyds should preserve accountabilit</w:t>
      </w:r>
      <w:r w:rsidRPr="00AE461B">
        <w:rPr>
          <w:sz w:val="24"/>
          <w:szCs w:val="24"/>
        </w:rPr>
        <w:t xml:space="preserve">y while strengthening employee voice, balanced incentives, controlled empowerment and responsible digital learning. A culture that welcomes challenge and measures success through sustainable customer outcomes as well as financial results is more likely to </w:t>
      </w:r>
      <w:r w:rsidRPr="00AE461B">
        <w:rPr>
          <w:sz w:val="24"/>
          <w:szCs w:val="24"/>
        </w:rPr>
        <w:t>support long-term organisational effectiveness.</w:t>
      </w:r>
    </w:p>
    <w:p w:rsidR="00AE461B" w:rsidRDefault="00AE461B">
      <w:pPr>
        <w:pStyle w:val="Heading1"/>
        <w:rPr>
          <w:color w:val="4F81BD" w:themeColor="accent1"/>
          <w:sz w:val="20"/>
          <w:szCs w:val="20"/>
        </w:rPr>
      </w:pPr>
      <w:bookmarkStart w:id="13" w:name="_Toc243760719"/>
    </w:p>
    <w:p w:rsidR="00AE461B" w:rsidRDefault="00AE461B" w:rsidP="00AE461B"/>
    <w:p w:rsidR="00AE461B" w:rsidRDefault="00AE461B" w:rsidP="00AE461B"/>
    <w:p w:rsidR="00AE461B" w:rsidRDefault="00AE461B" w:rsidP="00AE461B"/>
    <w:p w:rsidR="00AE461B" w:rsidRDefault="00AE461B" w:rsidP="00AE461B"/>
    <w:p w:rsidR="00AE461B" w:rsidRPr="00AE461B" w:rsidRDefault="00AE461B" w:rsidP="00AE461B"/>
    <w:p w:rsidR="003C2B40" w:rsidRPr="00AE461B" w:rsidRDefault="002F0A63">
      <w:pPr>
        <w:pStyle w:val="Heading1"/>
        <w:rPr>
          <w:color w:val="4F81BD" w:themeColor="accent1"/>
          <w:sz w:val="36"/>
          <w:szCs w:val="36"/>
        </w:rPr>
      </w:pPr>
      <w:r w:rsidRPr="00AE461B">
        <w:rPr>
          <w:color w:val="4F81BD" w:themeColor="accent1"/>
          <w:sz w:val="36"/>
          <w:szCs w:val="36"/>
        </w:rPr>
        <w:lastRenderedPageBreak/>
        <w:t>References</w:t>
      </w:r>
      <w:bookmarkEnd w:id="13"/>
    </w:p>
    <w:p w:rsidR="003C2B40" w:rsidRPr="00AE461B" w:rsidRDefault="002F0A63" w:rsidP="00AE461B">
      <w:pPr>
        <w:spacing w:after="100" w:line="360" w:lineRule="auto"/>
        <w:ind w:left="360" w:hanging="360"/>
        <w:rPr>
          <w:sz w:val="24"/>
          <w:szCs w:val="24"/>
        </w:rPr>
      </w:pPr>
      <w:r w:rsidRPr="00AE461B">
        <w:rPr>
          <w:sz w:val="24"/>
          <w:szCs w:val="24"/>
        </w:rPr>
        <w:t xml:space="preserve">Bank of England (2025) Financial Stability Report: December 2025. London: Bank of England. Available at: https://www.bankofengland.co.uk/financial-stability-report/2025/december-2025 (Accessed: 24 </w:t>
      </w:r>
      <w:r w:rsidRPr="00AE461B">
        <w:rPr>
          <w:sz w:val="24"/>
          <w:szCs w:val="24"/>
        </w:rPr>
        <w:t>October 2026).</w:t>
      </w:r>
    </w:p>
    <w:p w:rsidR="003C2B40" w:rsidRPr="00AE461B" w:rsidRDefault="002F0A63" w:rsidP="00AE461B">
      <w:pPr>
        <w:spacing w:after="100" w:line="360" w:lineRule="auto"/>
        <w:ind w:left="360" w:hanging="360"/>
        <w:rPr>
          <w:sz w:val="24"/>
          <w:szCs w:val="24"/>
        </w:rPr>
      </w:pPr>
      <w:r w:rsidRPr="00AE461B">
        <w:rPr>
          <w:sz w:val="24"/>
          <w:szCs w:val="24"/>
        </w:rPr>
        <w:t>Cameron, K.S. and Quinn, R.E. (2011) Diagnosing and Changing Organizational Culture: Based on the Competing Values Framework. 3rd edn. San Francisco: Jossey-Bass.</w:t>
      </w:r>
    </w:p>
    <w:p w:rsidR="003C2B40" w:rsidRPr="00AE461B" w:rsidRDefault="002F0A63" w:rsidP="00AE461B">
      <w:pPr>
        <w:spacing w:after="100" w:line="360" w:lineRule="auto"/>
        <w:ind w:left="360" w:hanging="360"/>
        <w:rPr>
          <w:sz w:val="24"/>
          <w:szCs w:val="24"/>
        </w:rPr>
      </w:pPr>
      <w:r w:rsidRPr="00AE461B">
        <w:rPr>
          <w:sz w:val="24"/>
          <w:szCs w:val="24"/>
        </w:rPr>
        <w:t>Denison, D.R. and Mishra, A.K. (1995) ‘Toward a theory of organizational cultu</w:t>
      </w:r>
      <w:r w:rsidRPr="00AE461B">
        <w:rPr>
          <w:sz w:val="24"/>
          <w:szCs w:val="24"/>
        </w:rPr>
        <w:t>re and effectiveness’, Organization Science, 6(2), pp. 204–223. doi: 10.1287/orsc.6.2.204.</w:t>
      </w:r>
    </w:p>
    <w:p w:rsidR="003C2B40" w:rsidRPr="00AE461B" w:rsidRDefault="002F0A63" w:rsidP="00AE461B">
      <w:pPr>
        <w:spacing w:after="100" w:line="360" w:lineRule="auto"/>
        <w:ind w:left="360" w:hanging="360"/>
        <w:rPr>
          <w:sz w:val="24"/>
          <w:szCs w:val="24"/>
        </w:rPr>
      </w:pPr>
      <w:r w:rsidRPr="00AE461B">
        <w:rPr>
          <w:sz w:val="24"/>
          <w:szCs w:val="24"/>
        </w:rPr>
        <w:t xml:space="preserve">Financial Conduct Authority (FCA) (2025) Consumer Duty implementation: good practice and areas for improvement. Available at: </w:t>
      </w:r>
      <w:r w:rsidRPr="00AE461B">
        <w:rPr>
          <w:sz w:val="24"/>
          <w:szCs w:val="24"/>
        </w:rPr>
        <w:t>https://www.fca.org.uk/publications/good-and-poor-practice/consumer-duty-implementation-good-practice-and-areas-improvement (Accessed: 24 October 2026).</w:t>
      </w:r>
    </w:p>
    <w:p w:rsidR="003C2B40" w:rsidRPr="00AE461B" w:rsidRDefault="002F0A63" w:rsidP="00AE461B">
      <w:pPr>
        <w:spacing w:after="100" w:line="360" w:lineRule="auto"/>
        <w:ind w:left="360" w:hanging="360"/>
        <w:rPr>
          <w:sz w:val="24"/>
          <w:szCs w:val="24"/>
        </w:rPr>
      </w:pPr>
      <w:r w:rsidRPr="00AE461B">
        <w:rPr>
          <w:sz w:val="24"/>
          <w:szCs w:val="24"/>
        </w:rPr>
        <w:t>Handy, C. (1993) Understanding Organizations. 4th edn. London: Penguin.</w:t>
      </w:r>
    </w:p>
    <w:p w:rsidR="003C2B40" w:rsidRPr="00AE461B" w:rsidRDefault="002F0A63" w:rsidP="00AE461B">
      <w:pPr>
        <w:spacing w:after="100" w:line="360" w:lineRule="auto"/>
        <w:ind w:left="360" w:hanging="360"/>
        <w:rPr>
          <w:sz w:val="24"/>
          <w:szCs w:val="24"/>
        </w:rPr>
      </w:pPr>
      <w:r w:rsidRPr="00AE461B">
        <w:rPr>
          <w:sz w:val="24"/>
          <w:szCs w:val="24"/>
        </w:rPr>
        <w:t>Hofstede, G., Hofstede, G.J. an</w:t>
      </w:r>
      <w:r w:rsidRPr="00AE461B">
        <w:rPr>
          <w:sz w:val="24"/>
          <w:szCs w:val="24"/>
        </w:rPr>
        <w:t>d Minkov, M. (2010) Cultures and Organizations: Software of the Mind. 3rd edn. New York: McGraw-Hill.</w:t>
      </w:r>
    </w:p>
    <w:p w:rsidR="003C2B40" w:rsidRPr="00AE461B" w:rsidRDefault="002F0A63" w:rsidP="00AE461B">
      <w:pPr>
        <w:spacing w:after="100" w:line="360" w:lineRule="auto"/>
        <w:ind w:left="360" w:hanging="360"/>
        <w:rPr>
          <w:sz w:val="24"/>
          <w:szCs w:val="24"/>
        </w:rPr>
      </w:pPr>
      <w:r w:rsidRPr="00AE461B">
        <w:rPr>
          <w:sz w:val="24"/>
          <w:szCs w:val="24"/>
        </w:rPr>
        <w:t>Johnson, G., Whittington, R., Scholes, K., Angwin, D. and Regnér, P. (2020) Exploring Strategy: Text and Cases. 12th edn. Harlow: Pearson.</w:t>
      </w:r>
    </w:p>
    <w:p w:rsidR="003C2B40" w:rsidRPr="00AE461B" w:rsidRDefault="002F0A63" w:rsidP="00AE461B">
      <w:pPr>
        <w:spacing w:after="100" w:line="360" w:lineRule="auto"/>
        <w:ind w:left="360" w:hanging="360"/>
        <w:rPr>
          <w:sz w:val="24"/>
          <w:szCs w:val="24"/>
        </w:rPr>
      </w:pPr>
      <w:r w:rsidRPr="00AE461B">
        <w:rPr>
          <w:sz w:val="24"/>
          <w:szCs w:val="24"/>
        </w:rPr>
        <w:t xml:space="preserve">Lloyds Bank </w:t>
      </w:r>
      <w:r w:rsidRPr="00AE461B">
        <w:rPr>
          <w:sz w:val="24"/>
          <w:szCs w:val="24"/>
        </w:rPr>
        <w:t>(2026) Annual Report and Accounts 2025. London: Lloyds Bank plc. Available at: https://www.lloydsbankinggroup.com/investors/annual-report.html (Accessed: 24 October 2026).</w:t>
      </w:r>
    </w:p>
    <w:p w:rsidR="003C2B40" w:rsidRPr="00AE461B" w:rsidRDefault="002F0A63" w:rsidP="00AE461B">
      <w:pPr>
        <w:spacing w:after="100" w:line="360" w:lineRule="auto"/>
        <w:ind w:left="360" w:hanging="360"/>
        <w:rPr>
          <w:sz w:val="24"/>
          <w:szCs w:val="24"/>
        </w:rPr>
      </w:pPr>
      <w:r w:rsidRPr="00AE461B">
        <w:rPr>
          <w:sz w:val="24"/>
          <w:szCs w:val="24"/>
        </w:rPr>
        <w:t>Lloyds Banking Group (2026a) Annual Report and Accounts 2025. London: Lloyds Banking</w:t>
      </w:r>
      <w:r w:rsidRPr="00AE461B">
        <w:rPr>
          <w:sz w:val="24"/>
          <w:szCs w:val="24"/>
        </w:rPr>
        <w:t xml:space="preserve"> Group plc. Available at: https://www.lloydsbankinggroup.com/investors/annual-report.html (Accessed: 24 October 2026).</w:t>
      </w:r>
    </w:p>
    <w:p w:rsidR="003C2B40" w:rsidRPr="00AE461B" w:rsidRDefault="002F0A63" w:rsidP="00AE461B">
      <w:pPr>
        <w:spacing w:after="100" w:line="360" w:lineRule="auto"/>
        <w:ind w:left="360" w:hanging="360"/>
        <w:rPr>
          <w:sz w:val="24"/>
          <w:szCs w:val="24"/>
        </w:rPr>
      </w:pPr>
      <w:r w:rsidRPr="00AE461B">
        <w:rPr>
          <w:sz w:val="24"/>
          <w:szCs w:val="24"/>
        </w:rPr>
        <w:t>Lloyds Banking Group (2026b) Group Executive Committee. Available at: https://www.lloydsbankinggroup.com/who-we-are/group-overview/group-</w:t>
      </w:r>
      <w:r w:rsidRPr="00AE461B">
        <w:rPr>
          <w:sz w:val="24"/>
          <w:szCs w:val="24"/>
        </w:rPr>
        <w:t>executive-committee.html (Accessed: 24 October 2026).</w:t>
      </w:r>
    </w:p>
    <w:p w:rsidR="003C2B40" w:rsidRPr="00AE461B" w:rsidRDefault="002F0A63" w:rsidP="00AE461B">
      <w:pPr>
        <w:spacing w:after="100" w:line="360" w:lineRule="auto"/>
        <w:ind w:left="360" w:hanging="360"/>
        <w:rPr>
          <w:sz w:val="24"/>
          <w:szCs w:val="24"/>
        </w:rPr>
      </w:pPr>
      <w:r w:rsidRPr="00AE461B">
        <w:rPr>
          <w:sz w:val="24"/>
          <w:szCs w:val="24"/>
        </w:rPr>
        <w:lastRenderedPageBreak/>
        <w:t>Mullins, L. and Christy, G. (2016) Management and Organisational Behaviour. 11th edn. Harlow: Pearson Education Limited.</w:t>
      </w:r>
    </w:p>
    <w:p w:rsidR="003C2B40" w:rsidRPr="00AE461B" w:rsidRDefault="002F0A63" w:rsidP="00AE461B">
      <w:pPr>
        <w:spacing w:after="100" w:line="360" w:lineRule="auto"/>
        <w:ind w:left="360" w:hanging="360"/>
        <w:rPr>
          <w:sz w:val="24"/>
          <w:szCs w:val="24"/>
        </w:rPr>
      </w:pPr>
      <w:r w:rsidRPr="00AE461B">
        <w:rPr>
          <w:sz w:val="24"/>
          <w:szCs w:val="24"/>
        </w:rPr>
        <w:t>Robbins, S.P. and Judge, T.A. (2022) Organizational Behavior. 18th edn. Harlow: P</w:t>
      </w:r>
      <w:r w:rsidRPr="00AE461B">
        <w:rPr>
          <w:sz w:val="24"/>
          <w:szCs w:val="24"/>
        </w:rPr>
        <w:t>earson.</w:t>
      </w:r>
    </w:p>
    <w:p w:rsidR="003C2B40" w:rsidRPr="00AE461B" w:rsidRDefault="002F0A63" w:rsidP="00AE461B">
      <w:pPr>
        <w:spacing w:after="100" w:line="360" w:lineRule="auto"/>
        <w:ind w:left="360" w:hanging="360"/>
        <w:rPr>
          <w:sz w:val="24"/>
          <w:szCs w:val="24"/>
        </w:rPr>
      </w:pPr>
      <w:r w:rsidRPr="00AE461B">
        <w:rPr>
          <w:sz w:val="24"/>
          <w:szCs w:val="24"/>
        </w:rPr>
        <w:t>Schein, E.H. (2010) Organizational Culture and Leadership. 4th edn. San Francisco: Jossey-Bass.</w:t>
      </w:r>
    </w:p>
    <w:p w:rsidR="003C2B40" w:rsidRPr="00AE461B" w:rsidRDefault="002F0A63" w:rsidP="00AE461B">
      <w:pPr>
        <w:spacing w:after="100" w:line="360" w:lineRule="auto"/>
        <w:ind w:left="360" w:hanging="360"/>
        <w:rPr>
          <w:sz w:val="24"/>
          <w:szCs w:val="24"/>
        </w:rPr>
      </w:pPr>
      <w:r w:rsidRPr="00AE461B">
        <w:rPr>
          <w:sz w:val="24"/>
          <w:szCs w:val="24"/>
        </w:rPr>
        <w:t>Schneider, B., Ehrhart, M.G. and Macey, W.H. (2013) ‘Organizational climate and culture’, Annual Review of Psychology, 64, pp. 361–388. doi: 10.1146/ann</w:t>
      </w:r>
      <w:r w:rsidRPr="00AE461B">
        <w:rPr>
          <w:sz w:val="24"/>
          <w:szCs w:val="24"/>
        </w:rPr>
        <w:t>urev-psych-113011-143809.</w:t>
      </w:r>
    </w:p>
    <w:p w:rsidR="003C2B40" w:rsidRPr="00AE461B" w:rsidRDefault="002F0A63" w:rsidP="00AE461B">
      <w:pPr>
        <w:spacing w:after="100" w:line="360" w:lineRule="auto"/>
        <w:ind w:left="360" w:hanging="360"/>
        <w:rPr>
          <w:sz w:val="24"/>
          <w:szCs w:val="24"/>
        </w:rPr>
      </w:pPr>
      <w:r w:rsidRPr="00AE461B">
        <w:rPr>
          <w:sz w:val="24"/>
          <w:szCs w:val="24"/>
        </w:rPr>
        <w:t>UK Government (2026) Sector skills needs assessment – financial services. Available at: https://www.gov.uk/government/publications/skills-england-annual-skills-report-and-sectoral-skills-needs-assessments-2026/sector-skills-needs-</w:t>
      </w:r>
      <w:r w:rsidRPr="00AE461B">
        <w:rPr>
          <w:sz w:val="24"/>
          <w:szCs w:val="24"/>
        </w:rPr>
        <w:t>assessment-financial-services (Accessed: 24 October 2026).</w:t>
      </w:r>
    </w:p>
    <w:p w:rsidR="003C2B40" w:rsidRPr="00AE461B" w:rsidRDefault="002F0A63" w:rsidP="00AE461B">
      <w:pPr>
        <w:spacing w:after="100" w:line="360" w:lineRule="auto"/>
        <w:ind w:left="360" w:hanging="360"/>
        <w:rPr>
          <w:sz w:val="24"/>
          <w:szCs w:val="24"/>
        </w:rPr>
      </w:pPr>
      <w:r w:rsidRPr="00AE461B">
        <w:rPr>
          <w:sz w:val="24"/>
          <w:szCs w:val="24"/>
        </w:rPr>
        <w:t>Vial, G. (2019) ‘Understanding digital transformation: A review and a research agenda’, The Journal of Strategic Information Systems, 28(2), pp. 118–144. doi: 10.1016/j.jsis.2019.01.003.</w:t>
      </w:r>
    </w:p>
    <w:p w:rsidR="003C2B40" w:rsidRPr="00AE461B" w:rsidRDefault="002F0A63" w:rsidP="00AE461B">
      <w:pPr>
        <w:spacing w:after="100" w:line="360" w:lineRule="auto"/>
        <w:ind w:left="360" w:hanging="360"/>
        <w:rPr>
          <w:sz w:val="24"/>
          <w:szCs w:val="24"/>
        </w:rPr>
      </w:pPr>
      <w:r w:rsidRPr="00AE461B">
        <w:rPr>
          <w:sz w:val="24"/>
          <w:szCs w:val="24"/>
        </w:rPr>
        <w:t>Westerman,</w:t>
      </w:r>
      <w:r w:rsidRPr="00AE461B">
        <w:rPr>
          <w:sz w:val="24"/>
          <w:szCs w:val="24"/>
        </w:rPr>
        <w:t xml:space="preserve"> G., Bonnet, D. and McAfee, A. (2014) Leading Digital: Turning Technology into Business Transformation. Boston: Harvard Business Review Press.</w:t>
      </w:r>
    </w:p>
    <w:sectPr w:rsidR="003C2B40" w:rsidRPr="00AE461B" w:rsidSect="00F825B2">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F0A63" w:rsidRDefault="002F0A63">
      <w:pPr>
        <w:spacing w:after="0" w:line="240" w:lineRule="auto"/>
      </w:pPr>
      <w:r>
        <w:separator/>
      </w:r>
    </w:p>
  </w:endnote>
  <w:endnote w:type="continuationSeparator" w:id="0">
    <w:p w:rsidR="002F0A63" w:rsidRDefault="002F0A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86285"/>
      <w:docPartObj>
        <w:docPartGallery w:val="Page Numbers (Bottom of Page)"/>
        <w:docPartUnique/>
      </w:docPartObj>
    </w:sdtPr>
    <w:sdtContent>
      <w:p w:rsidR="00F825B2" w:rsidRDefault="00F825B2">
        <w:pPr>
          <w:pStyle w:val="Footer"/>
          <w:jc w:val="center"/>
        </w:pPr>
        <w:fldSimple w:instr=" PAGE   \* MERGEFORMAT ">
          <w:r w:rsidR="003572EF">
            <w:rPr>
              <w:noProof/>
            </w:rPr>
            <w:t>2</w:t>
          </w:r>
        </w:fldSimple>
      </w:p>
    </w:sdtContent>
  </w:sdt>
  <w:p w:rsidR="003C2B40" w:rsidRPr="007E4D67" w:rsidRDefault="003C2B40" w:rsidP="007E4D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F0A63" w:rsidRDefault="002F0A63">
      <w:pPr>
        <w:spacing w:after="0" w:line="240" w:lineRule="auto"/>
      </w:pPr>
      <w:r>
        <w:separator/>
      </w:r>
    </w:p>
  </w:footnote>
  <w:footnote w:type="continuationSeparator" w:id="0">
    <w:p w:rsidR="002F0A63" w:rsidRDefault="002F0A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nsid w:val="08BF3E76"/>
    <w:multiLevelType w:val="hybridMultilevel"/>
    <w:tmpl w:val="047A3072"/>
    <w:lvl w:ilvl="0" w:tplc="D4229622">
      <w:start w:val="1"/>
      <w:numFmt w:val="bullet"/>
      <w:lvlText w:val=""/>
      <w:lvlJc w:val="left"/>
      <w:pPr>
        <w:ind w:left="720" w:hanging="360"/>
      </w:pPr>
      <w:rPr>
        <w:rFonts w:ascii="Symbol" w:hAnsi="Symbol" w:hint="default"/>
      </w:rPr>
    </w:lvl>
    <w:lvl w:ilvl="1" w:tplc="01B03F34">
      <w:start w:val="1"/>
      <w:numFmt w:val="bullet"/>
      <w:lvlText w:val="o"/>
      <w:lvlJc w:val="left"/>
      <w:pPr>
        <w:ind w:left="1440" w:hanging="360"/>
      </w:pPr>
      <w:rPr>
        <w:rFonts w:ascii="Courier New" w:hAnsi="Courier New" w:hint="default"/>
      </w:rPr>
    </w:lvl>
    <w:lvl w:ilvl="2" w:tplc="2E34F76E">
      <w:start w:val="1"/>
      <w:numFmt w:val="bullet"/>
      <w:lvlText w:val=""/>
      <w:lvlJc w:val="left"/>
      <w:pPr>
        <w:ind w:left="2160" w:hanging="360"/>
      </w:pPr>
      <w:rPr>
        <w:rFonts w:ascii="Wingdings" w:hAnsi="Wingdings" w:hint="default"/>
      </w:rPr>
    </w:lvl>
    <w:lvl w:ilvl="3" w:tplc="F1ACEDE8">
      <w:start w:val="1"/>
      <w:numFmt w:val="bullet"/>
      <w:lvlText w:val=""/>
      <w:lvlJc w:val="left"/>
      <w:pPr>
        <w:ind w:left="2880" w:hanging="360"/>
      </w:pPr>
      <w:rPr>
        <w:rFonts w:ascii="Symbol" w:hAnsi="Symbol" w:hint="default"/>
      </w:rPr>
    </w:lvl>
    <w:lvl w:ilvl="4" w:tplc="A32EA7EC">
      <w:start w:val="1"/>
      <w:numFmt w:val="bullet"/>
      <w:lvlText w:val="o"/>
      <w:lvlJc w:val="left"/>
      <w:pPr>
        <w:ind w:left="3600" w:hanging="360"/>
      </w:pPr>
      <w:rPr>
        <w:rFonts w:ascii="Courier New" w:hAnsi="Courier New" w:hint="default"/>
      </w:rPr>
    </w:lvl>
    <w:lvl w:ilvl="5" w:tplc="78DAAA30">
      <w:start w:val="1"/>
      <w:numFmt w:val="bullet"/>
      <w:lvlText w:val=""/>
      <w:lvlJc w:val="left"/>
      <w:pPr>
        <w:ind w:left="4320" w:hanging="360"/>
      </w:pPr>
      <w:rPr>
        <w:rFonts w:ascii="Wingdings" w:hAnsi="Wingdings" w:hint="default"/>
      </w:rPr>
    </w:lvl>
    <w:lvl w:ilvl="6" w:tplc="8182F64A">
      <w:start w:val="1"/>
      <w:numFmt w:val="bullet"/>
      <w:lvlText w:val=""/>
      <w:lvlJc w:val="left"/>
      <w:pPr>
        <w:ind w:left="5040" w:hanging="360"/>
      </w:pPr>
      <w:rPr>
        <w:rFonts w:ascii="Symbol" w:hAnsi="Symbol" w:hint="default"/>
      </w:rPr>
    </w:lvl>
    <w:lvl w:ilvl="7" w:tplc="066CB8A2">
      <w:start w:val="1"/>
      <w:numFmt w:val="bullet"/>
      <w:lvlText w:val="o"/>
      <w:lvlJc w:val="left"/>
      <w:pPr>
        <w:ind w:left="5760" w:hanging="360"/>
      </w:pPr>
      <w:rPr>
        <w:rFonts w:ascii="Courier New" w:hAnsi="Courier New" w:hint="default"/>
      </w:rPr>
    </w:lvl>
    <w:lvl w:ilvl="8" w:tplc="A94EB036">
      <w:start w:val="1"/>
      <w:numFmt w:val="bullet"/>
      <w:lvlText w:val=""/>
      <w:lvlJc w:val="left"/>
      <w:pPr>
        <w:ind w:left="6480" w:hanging="360"/>
      </w:pPr>
      <w:rPr>
        <w:rFonts w:ascii="Wingdings" w:hAnsi="Wingdings" w:hint="default"/>
      </w:rPr>
    </w:lvl>
  </w:abstractNum>
  <w:abstractNum w:abstractNumId="10">
    <w:nsid w:val="34F60028"/>
    <w:multiLevelType w:val="hybridMultilevel"/>
    <w:tmpl w:val="43882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32F5188"/>
    <w:multiLevelType w:val="hybridMultilevel"/>
    <w:tmpl w:val="5C9429A0"/>
    <w:lvl w:ilvl="0" w:tplc="1EDADC56">
      <w:numFmt w:val="bullet"/>
      <w:lvlText w:val="-"/>
      <w:lvlJc w:val="left"/>
      <w:pPr>
        <w:ind w:left="720" w:hanging="360"/>
      </w:pPr>
      <w:rPr>
        <w:rFonts w:ascii="Cambria" w:eastAsiaTheme="minorEastAsia"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6BF04DE"/>
    <w:multiLevelType w:val="hybridMultilevel"/>
    <w:tmpl w:val="0464E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 w:numId="11">
    <w:abstractNumId w:val="12"/>
  </w:num>
  <w:num w:numId="12">
    <w:abstractNumId w:val="11"/>
  </w:num>
  <w:num w:numId="13">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05"/>
  <w:displayHorizontalDrawingGridEvery w:val="2"/>
  <w:characterSpacingControl w:val="doNotCompress"/>
  <w:footnotePr>
    <w:footnote w:id="-1"/>
    <w:footnote w:id="0"/>
  </w:footnotePr>
  <w:endnotePr>
    <w:endnote w:id="-1"/>
    <w:endnote w:id="0"/>
  </w:endnotePr>
  <w:compat>
    <w:useFELayout/>
  </w:compat>
  <w:rsids>
    <w:rsidRoot w:val="00B47730"/>
    <w:rsid w:val="00034616"/>
    <w:rsid w:val="0006063C"/>
    <w:rsid w:val="0015074B"/>
    <w:rsid w:val="00181308"/>
    <w:rsid w:val="001E4DC8"/>
    <w:rsid w:val="00260B3A"/>
    <w:rsid w:val="0029639D"/>
    <w:rsid w:val="002F0A63"/>
    <w:rsid w:val="002F5ED1"/>
    <w:rsid w:val="00326F90"/>
    <w:rsid w:val="003572EF"/>
    <w:rsid w:val="00376D76"/>
    <w:rsid w:val="003C2B40"/>
    <w:rsid w:val="004424B8"/>
    <w:rsid w:val="0057191B"/>
    <w:rsid w:val="005A3305"/>
    <w:rsid w:val="005A3F35"/>
    <w:rsid w:val="005D2B11"/>
    <w:rsid w:val="005D44EA"/>
    <w:rsid w:val="007A4203"/>
    <w:rsid w:val="007E4D67"/>
    <w:rsid w:val="008901D2"/>
    <w:rsid w:val="008C311C"/>
    <w:rsid w:val="0095276A"/>
    <w:rsid w:val="009A214C"/>
    <w:rsid w:val="00A6490D"/>
    <w:rsid w:val="00A976B5"/>
    <w:rsid w:val="00AA1D8D"/>
    <w:rsid w:val="00AB345F"/>
    <w:rsid w:val="00AE461B"/>
    <w:rsid w:val="00B47730"/>
    <w:rsid w:val="00BA0F32"/>
    <w:rsid w:val="00C1537D"/>
    <w:rsid w:val="00C21DCE"/>
    <w:rsid w:val="00CB0664"/>
    <w:rsid w:val="00CD6DF9"/>
    <w:rsid w:val="00D53181"/>
    <w:rsid w:val="00D87F62"/>
    <w:rsid w:val="00E4620A"/>
    <w:rsid w:val="00EA0218"/>
    <w:rsid w:val="00EC2A14"/>
    <w:rsid w:val="00EC5303"/>
    <w:rsid w:val="00EF7819"/>
    <w:rsid w:val="00F50734"/>
    <w:rsid w:val="00F825B2"/>
    <w:rsid w:val="00FC693F"/>
    <w:rsid w:val="00FE532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after="120"/>
    </w:pPr>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3952"/>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3952"/>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ableParagraph">
    <w:name w:val="Table Paragraph"/>
    <w:basedOn w:val="Normal"/>
    <w:uiPriority w:val="1"/>
    <w:qFormat/>
    <w:rsid w:val="004424B8"/>
    <w:pPr>
      <w:widowControl w:val="0"/>
      <w:autoSpaceDE w:val="0"/>
      <w:autoSpaceDN w:val="0"/>
      <w:spacing w:after="0" w:line="240" w:lineRule="auto"/>
    </w:pPr>
    <w:rPr>
      <w:rFonts w:eastAsia="Arial" w:cs="Arial"/>
    </w:rPr>
  </w:style>
  <w:style w:type="paragraph" w:styleId="TOC1">
    <w:name w:val="toc 1"/>
    <w:basedOn w:val="Normal"/>
    <w:next w:val="Normal"/>
    <w:autoRedefine/>
    <w:uiPriority w:val="39"/>
    <w:unhideWhenUsed/>
    <w:rsid w:val="00F825B2"/>
    <w:pPr>
      <w:spacing w:after="100"/>
    </w:pPr>
  </w:style>
  <w:style w:type="paragraph" w:styleId="TOC2">
    <w:name w:val="toc 2"/>
    <w:basedOn w:val="Normal"/>
    <w:next w:val="Normal"/>
    <w:autoRedefine/>
    <w:uiPriority w:val="39"/>
    <w:unhideWhenUsed/>
    <w:rsid w:val="00F825B2"/>
    <w:pPr>
      <w:spacing w:after="100"/>
      <w:ind w:left="210"/>
    </w:pPr>
  </w:style>
  <w:style w:type="character" w:styleId="Hyperlink">
    <w:name w:val="Hyperlink"/>
    <w:basedOn w:val="DefaultParagraphFont"/>
    <w:uiPriority w:val="99"/>
    <w:unhideWhenUsed/>
    <w:rsid w:val="00F825B2"/>
    <w:rPr>
      <w:color w:val="0000FF" w:themeColor="hyperlink"/>
      <w:u w:val="single"/>
    </w:rPr>
  </w:style>
  <w:style w:type="paragraph" w:styleId="BalloonText">
    <w:name w:val="Balloon Text"/>
    <w:basedOn w:val="Normal"/>
    <w:link w:val="BalloonTextChar"/>
    <w:uiPriority w:val="99"/>
    <w:semiHidden/>
    <w:unhideWhenUsed/>
    <w:rsid w:val="00F825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5B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7C03C3-0FCA-47A4-8A9E-E73AA202E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4622</Words>
  <Characters>26347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Organisational Culture at Lloyds Bank</vt:lpstr>
    </vt:vector>
  </TitlesOfParts>
  <Manager/>
  <Company/>
  <LinksUpToDate>false</LinksUpToDate>
  <CharactersWithSpaces>30908</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at Lloyds Bank</dc:title>
  <dc:subject>LCLM5005 Component 1 report</dc:subject>
  <dc:creator>Student</dc:creator>
  <cp:keywords/>
  <dc:description>generated by python-docx</dc:description>
  <cp:lastModifiedBy>Mihaela</cp:lastModifiedBy>
  <cp:revision>19</cp:revision>
  <dcterms:created xsi:type="dcterms:W3CDTF">2025-05-31T06:43:00Z</dcterms:created>
  <dcterms:modified xsi:type="dcterms:W3CDTF">2026-10-24T18:13:00Z</dcterms:modified>
  <cp:category/>
</cp:coreProperties>
</file>