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55C91" w14:textId="77777777" w:rsidR="00825295" w:rsidRPr="0036435F" w:rsidRDefault="00825295" w:rsidP="0036435F">
      <w:pPr>
        <w:jc w:val="both"/>
        <w:rPr>
          <w:rFonts w:ascii="Times New Roman" w:hAnsi="Times New Roman" w:cs="Times New Roman"/>
          <w:sz w:val="24"/>
          <w:szCs w:val="24"/>
        </w:rPr>
      </w:pPr>
    </w:p>
    <w:p w14:paraId="17956BEC" w14:textId="77777777" w:rsidR="000C430E" w:rsidRDefault="000C430E" w:rsidP="00C17001">
      <w:pPr>
        <w:jc w:val="center"/>
        <w:rPr>
          <w:rFonts w:ascii="Times New Roman" w:hAnsi="Times New Roman" w:cs="Times New Roman"/>
          <w:b/>
          <w:bCs/>
          <w:sz w:val="40"/>
          <w:szCs w:val="40"/>
        </w:rPr>
      </w:pPr>
    </w:p>
    <w:p w14:paraId="487DAC7C" w14:textId="77777777" w:rsidR="000C430E" w:rsidRDefault="000C430E" w:rsidP="00C17001">
      <w:pPr>
        <w:jc w:val="center"/>
        <w:rPr>
          <w:rFonts w:ascii="Times New Roman" w:hAnsi="Times New Roman" w:cs="Times New Roman"/>
          <w:b/>
          <w:bCs/>
          <w:sz w:val="40"/>
          <w:szCs w:val="40"/>
        </w:rPr>
      </w:pPr>
    </w:p>
    <w:p w14:paraId="289E20BB" w14:textId="77777777" w:rsidR="000C430E" w:rsidRDefault="000C430E" w:rsidP="00C17001">
      <w:pPr>
        <w:jc w:val="center"/>
        <w:rPr>
          <w:rFonts w:ascii="Times New Roman" w:hAnsi="Times New Roman" w:cs="Times New Roman"/>
          <w:b/>
          <w:bCs/>
          <w:sz w:val="40"/>
          <w:szCs w:val="40"/>
        </w:rPr>
      </w:pPr>
    </w:p>
    <w:p w14:paraId="0946DEBD" w14:textId="77777777" w:rsidR="000C430E" w:rsidRDefault="000C430E" w:rsidP="00C17001">
      <w:pPr>
        <w:jc w:val="center"/>
        <w:rPr>
          <w:rFonts w:ascii="Times New Roman" w:hAnsi="Times New Roman" w:cs="Times New Roman"/>
          <w:b/>
          <w:bCs/>
          <w:sz w:val="40"/>
          <w:szCs w:val="40"/>
        </w:rPr>
      </w:pPr>
    </w:p>
    <w:p w14:paraId="65BC3857" w14:textId="555A6E50" w:rsidR="00C17001" w:rsidRDefault="00C17001" w:rsidP="00C17001">
      <w:pPr>
        <w:jc w:val="center"/>
        <w:rPr>
          <w:rFonts w:ascii="Times New Roman" w:hAnsi="Times New Roman" w:cs="Times New Roman"/>
          <w:b/>
          <w:bCs/>
          <w:sz w:val="40"/>
          <w:szCs w:val="40"/>
        </w:rPr>
      </w:pPr>
      <w:r w:rsidRPr="001E3226">
        <w:rPr>
          <w:rFonts w:ascii="Times New Roman" w:hAnsi="Times New Roman" w:cs="Times New Roman"/>
          <w:b/>
          <w:bCs/>
          <w:sz w:val="40"/>
          <w:szCs w:val="40"/>
        </w:rPr>
        <w:t>Strategic Management and Sustainability</w:t>
      </w:r>
    </w:p>
    <w:p w14:paraId="00CA41BE" w14:textId="77777777" w:rsidR="00C17001" w:rsidRDefault="00C17001" w:rsidP="00C17001">
      <w:pPr>
        <w:jc w:val="center"/>
        <w:rPr>
          <w:rFonts w:ascii="Times New Roman" w:hAnsi="Times New Roman" w:cs="Times New Roman"/>
          <w:b/>
          <w:bCs/>
          <w:sz w:val="40"/>
          <w:szCs w:val="40"/>
        </w:rPr>
      </w:pPr>
      <w:r>
        <w:rPr>
          <w:rFonts w:ascii="Times New Roman" w:hAnsi="Times New Roman" w:cs="Times New Roman"/>
          <w:b/>
          <w:bCs/>
          <w:sz w:val="40"/>
          <w:szCs w:val="40"/>
        </w:rPr>
        <w:t>REPORT</w:t>
      </w:r>
    </w:p>
    <w:p w14:paraId="6A48CB38" w14:textId="77777777" w:rsidR="00C17001" w:rsidRDefault="00C17001" w:rsidP="00C17001">
      <w:pPr>
        <w:jc w:val="center"/>
        <w:rPr>
          <w:rFonts w:ascii="Times New Roman" w:hAnsi="Times New Roman" w:cs="Times New Roman"/>
          <w:b/>
          <w:bCs/>
          <w:sz w:val="36"/>
          <w:szCs w:val="36"/>
        </w:rPr>
      </w:pPr>
      <w:r w:rsidRPr="001E3226">
        <w:rPr>
          <w:rFonts w:ascii="Times New Roman" w:hAnsi="Times New Roman" w:cs="Times New Roman"/>
          <w:b/>
          <w:bCs/>
          <w:sz w:val="36"/>
          <w:szCs w:val="36"/>
        </w:rPr>
        <w:t>Module code: LCBB6015</w:t>
      </w:r>
    </w:p>
    <w:p w14:paraId="25847261" w14:textId="48ABEB83" w:rsidR="00C17001" w:rsidRDefault="00C17001" w:rsidP="00C17001">
      <w:pPr>
        <w:ind w:firstLine="0"/>
        <w:rPr>
          <w:rFonts w:ascii="Times New Roman" w:hAnsi="Times New Roman" w:cs="Times New Roman"/>
          <w:b/>
          <w:bCs/>
          <w:sz w:val="28"/>
          <w:szCs w:val="28"/>
        </w:rPr>
      </w:pPr>
    </w:p>
    <w:p w14:paraId="6524B0C1" w14:textId="77777777" w:rsidR="00C17001" w:rsidRDefault="00C17001" w:rsidP="00C17001">
      <w:pPr>
        <w:ind w:firstLine="0"/>
        <w:rPr>
          <w:rFonts w:ascii="Times New Roman" w:hAnsi="Times New Roman" w:cs="Times New Roman"/>
          <w:b/>
          <w:bCs/>
          <w:sz w:val="28"/>
          <w:szCs w:val="28"/>
        </w:rPr>
      </w:pPr>
    </w:p>
    <w:p w14:paraId="4B9DBAD2" w14:textId="77777777" w:rsidR="00C17001" w:rsidRDefault="00C17001" w:rsidP="00C17001">
      <w:pPr>
        <w:ind w:firstLine="0"/>
        <w:rPr>
          <w:rFonts w:ascii="Times New Roman" w:hAnsi="Times New Roman" w:cs="Times New Roman"/>
          <w:b/>
          <w:bCs/>
          <w:sz w:val="28"/>
          <w:szCs w:val="28"/>
        </w:rPr>
      </w:pPr>
    </w:p>
    <w:p w14:paraId="7D14FAE7" w14:textId="77777777" w:rsidR="00C17001" w:rsidRDefault="00C17001" w:rsidP="00C17001">
      <w:pPr>
        <w:ind w:firstLine="0"/>
        <w:rPr>
          <w:rFonts w:ascii="Times New Roman" w:hAnsi="Times New Roman" w:cs="Times New Roman"/>
          <w:b/>
          <w:bCs/>
          <w:sz w:val="28"/>
          <w:szCs w:val="28"/>
        </w:rPr>
      </w:pPr>
    </w:p>
    <w:p w14:paraId="28EA7059" w14:textId="77777777" w:rsidR="00C17001" w:rsidRDefault="00C17001" w:rsidP="00C17001">
      <w:pPr>
        <w:ind w:firstLine="0"/>
        <w:rPr>
          <w:rFonts w:ascii="Times New Roman" w:hAnsi="Times New Roman" w:cs="Times New Roman"/>
          <w:b/>
          <w:bCs/>
          <w:sz w:val="28"/>
          <w:szCs w:val="28"/>
        </w:rPr>
      </w:pPr>
    </w:p>
    <w:p w14:paraId="44E4C6B2" w14:textId="77777777" w:rsidR="00C17001" w:rsidRPr="001E3226" w:rsidRDefault="00C17001" w:rsidP="00C17001">
      <w:pPr>
        <w:ind w:firstLine="0"/>
        <w:rPr>
          <w:rFonts w:ascii="Times New Roman" w:hAnsi="Times New Roman" w:cs="Times New Roman"/>
          <w:b/>
          <w:bCs/>
          <w:sz w:val="28"/>
          <w:szCs w:val="28"/>
        </w:rPr>
      </w:pPr>
      <w:r>
        <w:rPr>
          <w:rFonts w:ascii="Times New Roman" w:hAnsi="Times New Roman" w:cs="Times New Roman"/>
          <w:b/>
          <w:bCs/>
          <w:sz w:val="28"/>
          <w:szCs w:val="28"/>
        </w:rPr>
        <w:t xml:space="preserve">                                                                              </w:t>
      </w:r>
      <w:r w:rsidRPr="001E3226">
        <w:rPr>
          <w:rFonts w:ascii="Times New Roman" w:hAnsi="Times New Roman" w:cs="Times New Roman"/>
          <w:b/>
          <w:bCs/>
          <w:sz w:val="28"/>
          <w:szCs w:val="28"/>
        </w:rPr>
        <w:t>Lecturer: Mr. Nadeem Mirza</w:t>
      </w:r>
    </w:p>
    <w:p w14:paraId="17A775A1" w14:textId="77777777" w:rsidR="00C17001" w:rsidRDefault="00C17001" w:rsidP="00C17001">
      <w:pPr>
        <w:ind w:firstLine="0"/>
        <w:rPr>
          <w:rFonts w:ascii="Times New Roman" w:hAnsi="Times New Roman" w:cs="Times New Roman"/>
          <w:b/>
          <w:bCs/>
          <w:sz w:val="36"/>
          <w:szCs w:val="36"/>
        </w:rPr>
      </w:pPr>
    </w:p>
    <w:p w14:paraId="0E586899" w14:textId="77777777" w:rsidR="00C17001" w:rsidRDefault="00C17001" w:rsidP="00C17001">
      <w:pPr>
        <w:ind w:firstLine="0"/>
        <w:rPr>
          <w:rFonts w:ascii="Times New Roman" w:hAnsi="Times New Roman" w:cs="Times New Roman"/>
          <w:b/>
          <w:bCs/>
          <w:sz w:val="36"/>
          <w:szCs w:val="36"/>
        </w:rPr>
      </w:pPr>
    </w:p>
    <w:p w14:paraId="70B17784" w14:textId="77777777" w:rsidR="00C17001" w:rsidRPr="001E3226" w:rsidRDefault="00C17001" w:rsidP="00C17001">
      <w:pPr>
        <w:ind w:firstLine="0"/>
        <w:rPr>
          <w:rFonts w:ascii="Times New Roman" w:hAnsi="Times New Roman" w:cs="Times New Roman"/>
          <w:b/>
          <w:bCs/>
          <w:sz w:val="28"/>
          <w:szCs w:val="28"/>
        </w:rPr>
      </w:pPr>
      <w:r>
        <w:rPr>
          <w:rFonts w:ascii="Times New Roman" w:hAnsi="Times New Roman" w:cs="Times New Roman"/>
          <w:b/>
          <w:bCs/>
          <w:sz w:val="36"/>
          <w:szCs w:val="36"/>
        </w:rPr>
        <w:t xml:space="preserve"> </w:t>
      </w:r>
      <w:r w:rsidRPr="001E3226">
        <w:rPr>
          <w:rFonts w:ascii="Times New Roman" w:hAnsi="Times New Roman" w:cs="Times New Roman"/>
          <w:b/>
          <w:bCs/>
          <w:sz w:val="28"/>
          <w:szCs w:val="28"/>
        </w:rPr>
        <w:t>STUDEN: GABRIELA BUDAN</w:t>
      </w:r>
    </w:p>
    <w:p w14:paraId="10FCA884" w14:textId="012A7C09" w:rsidR="0056283F" w:rsidRDefault="00C17001" w:rsidP="0013271D">
      <w:pPr>
        <w:rPr>
          <w:rFonts w:ascii="Times New Roman" w:hAnsi="Times New Roman" w:cs="Times New Roman"/>
          <w:b/>
          <w:bCs/>
          <w:sz w:val="28"/>
          <w:szCs w:val="28"/>
        </w:rPr>
      </w:pPr>
      <w:r>
        <w:rPr>
          <w:rFonts w:ascii="Times New Roman" w:hAnsi="Times New Roman" w:cs="Times New Roman"/>
          <w:b/>
          <w:bCs/>
          <w:sz w:val="28"/>
          <w:szCs w:val="28"/>
        </w:rPr>
        <w:t xml:space="preserve">   </w:t>
      </w:r>
      <w:r w:rsidRPr="001E3226">
        <w:rPr>
          <w:rFonts w:ascii="Times New Roman" w:hAnsi="Times New Roman" w:cs="Times New Roman"/>
          <w:b/>
          <w:bCs/>
          <w:sz w:val="28"/>
          <w:szCs w:val="28"/>
        </w:rPr>
        <w:t>ID: 2316848</w:t>
      </w:r>
    </w:p>
    <w:p w14:paraId="4FA5B810" w14:textId="77777777" w:rsidR="0013271D" w:rsidRDefault="0013271D" w:rsidP="0013271D">
      <w:pPr>
        <w:rPr>
          <w:rFonts w:ascii="Times New Roman" w:hAnsi="Times New Roman" w:cs="Times New Roman"/>
          <w:b/>
          <w:bCs/>
          <w:sz w:val="28"/>
          <w:szCs w:val="28"/>
        </w:rPr>
      </w:pPr>
    </w:p>
    <w:p w14:paraId="5B8C6406" w14:textId="77777777" w:rsidR="0013271D" w:rsidRDefault="0013271D" w:rsidP="0013271D">
      <w:pPr>
        <w:rPr>
          <w:rFonts w:ascii="Times New Roman" w:hAnsi="Times New Roman" w:cs="Times New Roman"/>
          <w:b/>
          <w:bCs/>
          <w:sz w:val="28"/>
          <w:szCs w:val="28"/>
        </w:rPr>
      </w:pPr>
    </w:p>
    <w:p w14:paraId="1BB7BFB5" w14:textId="77777777" w:rsidR="0013271D" w:rsidRDefault="0013271D" w:rsidP="0013271D">
      <w:pPr>
        <w:rPr>
          <w:rFonts w:ascii="Times New Roman" w:hAnsi="Times New Roman" w:cs="Times New Roman"/>
          <w:b/>
          <w:bCs/>
          <w:sz w:val="28"/>
          <w:szCs w:val="28"/>
        </w:rPr>
      </w:pPr>
    </w:p>
    <w:p w14:paraId="50E1C7AE" w14:textId="77777777" w:rsidR="0013271D" w:rsidRDefault="0013271D" w:rsidP="0013271D">
      <w:pPr>
        <w:rPr>
          <w:rFonts w:ascii="Times New Roman" w:hAnsi="Times New Roman" w:cs="Times New Roman"/>
          <w:b/>
          <w:bCs/>
          <w:sz w:val="28"/>
          <w:szCs w:val="28"/>
        </w:rPr>
      </w:pPr>
    </w:p>
    <w:p w14:paraId="68EA63E5" w14:textId="77777777" w:rsidR="0013271D" w:rsidRDefault="0013271D" w:rsidP="0013271D">
      <w:pPr>
        <w:rPr>
          <w:rFonts w:ascii="Times New Roman" w:hAnsi="Times New Roman" w:cs="Times New Roman"/>
          <w:b/>
          <w:bCs/>
          <w:sz w:val="28"/>
          <w:szCs w:val="28"/>
        </w:rPr>
      </w:pPr>
    </w:p>
    <w:p w14:paraId="7DDE1ED3"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494BEF5C"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3DF79CBE"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72B34FD2"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722B356F"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70FE5834" w14:textId="77777777" w:rsidR="0013271D" w:rsidRDefault="0013271D" w:rsidP="003173CD">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p>
    <w:p w14:paraId="737F7E51" w14:textId="4C635A4F" w:rsidR="00C17001" w:rsidRPr="00854A79" w:rsidRDefault="00C17001" w:rsidP="00C17001">
      <w:pPr>
        <w:spacing w:before="100" w:beforeAutospacing="1" w:after="100" w:afterAutospacing="1" w:line="240" w:lineRule="auto"/>
        <w:ind w:firstLine="0"/>
        <w:jc w:val="center"/>
        <w:outlineLvl w:val="0"/>
        <w:rPr>
          <w:rFonts w:ascii="Times New Roman" w:eastAsia="Times New Roman" w:hAnsi="Times New Roman" w:cs="Times New Roman"/>
          <w:b/>
          <w:bCs/>
          <w:kern w:val="36"/>
          <w:sz w:val="48"/>
          <w:szCs w:val="48"/>
          <w:lang w:eastAsia="en-GB"/>
          <w14:ligatures w14:val="none"/>
        </w:rPr>
      </w:pPr>
      <w:r w:rsidRPr="00854A79">
        <w:rPr>
          <w:rFonts w:ascii="Times New Roman" w:eastAsia="Times New Roman" w:hAnsi="Times New Roman" w:cs="Times New Roman"/>
          <w:b/>
          <w:bCs/>
          <w:kern w:val="36"/>
          <w:sz w:val="48"/>
          <w:szCs w:val="48"/>
          <w:lang w:eastAsia="en-GB"/>
          <w14:ligatures w14:val="none"/>
        </w:rPr>
        <w:t>Strategic Management Report: Jaguar Land Rover (JLR)</w:t>
      </w:r>
    </w:p>
    <w:p w14:paraId="6840D919" w14:textId="77777777" w:rsidR="0036435F" w:rsidRPr="0036435F" w:rsidRDefault="0036435F" w:rsidP="0036435F">
      <w:pPr>
        <w:jc w:val="both"/>
        <w:rPr>
          <w:rFonts w:ascii="Times New Roman" w:hAnsi="Times New Roman" w:cs="Times New Roman"/>
          <w:sz w:val="24"/>
          <w:szCs w:val="24"/>
        </w:rPr>
      </w:pPr>
    </w:p>
    <w:p w14:paraId="0CFFF935" w14:textId="77777777" w:rsidR="0036435F" w:rsidRPr="0036435F" w:rsidRDefault="0036435F" w:rsidP="0036435F">
      <w:pPr>
        <w:jc w:val="both"/>
        <w:rPr>
          <w:rFonts w:ascii="Times New Roman" w:hAnsi="Times New Roman" w:cs="Times New Roman"/>
          <w:sz w:val="24"/>
          <w:szCs w:val="24"/>
        </w:rPr>
      </w:pPr>
    </w:p>
    <w:p w14:paraId="778B1B37" w14:textId="77777777" w:rsidR="0036435F" w:rsidRPr="0036435F" w:rsidRDefault="0036435F" w:rsidP="0036435F">
      <w:pPr>
        <w:jc w:val="both"/>
        <w:rPr>
          <w:rFonts w:ascii="Times New Roman" w:hAnsi="Times New Roman" w:cs="Times New Roman"/>
          <w:sz w:val="24"/>
          <w:szCs w:val="24"/>
        </w:rPr>
      </w:pPr>
    </w:p>
    <w:p w14:paraId="4DE16D57" w14:textId="77777777" w:rsidR="0036435F" w:rsidRDefault="0036435F" w:rsidP="0036435F">
      <w:pPr>
        <w:jc w:val="both"/>
        <w:rPr>
          <w:rFonts w:ascii="Times New Roman" w:hAnsi="Times New Roman" w:cs="Times New Roman"/>
          <w:sz w:val="24"/>
          <w:szCs w:val="24"/>
        </w:rPr>
      </w:pPr>
    </w:p>
    <w:p w14:paraId="455E4950" w14:textId="77777777" w:rsidR="003173CD" w:rsidRDefault="003173CD" w:rsidP="0036435F">
      <w:pPr>
        <w:jc w:val="both"/>
        <w:rPr>
          <w:rFonts w:ascii="Times New Roman" w:hAnsi="Times New Roman" w:cs="Times New Roman"/>
          <w:sz w:val="24"/>
          <w:szCs w:val="24"/>
        </w:rPr>
      </w:pPr>
    </w:p>
    <w:p w14:paraId="2C97E215" w14:textId="77777777" w:rsidR="003173CD" w:rsidRDefault="003173CD" w:rsidP="0036435F">
      <w:pPr>
        <w:jc w:val="both"/>
        <w:rPr>
          <w:rFonts w:ascii="Times New Roman" w:hAnsi="Times New Roman" w:cs="Times New Roman"/>
          <w:sz w:val="24"/>
          <w:szCs w:val="24"/>
        </w:rPr>
      </w:pPr>
    </w:p>
    <w:p w14:paraId="123F09A4" w14:textId="77777777" w:rsidR="003173CD" w:rsidRDefault="003173CD" w:rsidP="0036435F">
      <w:pPr>
        <w:jc w:val="both"/>
        <w:rPr>
          <w:rFonts w:ascii="Times New Roman" w:hAnsi="Times New Roman" w:cs="Times New Roman"/>
          <w:sz w:val="24"/>
          <w:szCs w:val="24"/>
        </w:rPr>
      </w:pPr>
    </w:p>
    <w:p w14:paraId="14EA9F64" w14:textId="77777777" w:rsidR="003173CD" w:rsidRDefault="003173CD" w:rsidP="0036435F">
      <w:pPr>
        <w:jc w:val="both"/>
        <w:rPr>
          <w:rFonts w:ascii="Times New Roman" w:hAnsi="Times New Roman" w:cs="Times New Roman"/>
          <w:sz w:val="24"/>
          <w:szCs w:val="24"/>
        </w:rPr>
      </w:pPr>
    </w:p>
    <w:p w14:paraId="5407C36E" w14:textId="77777777" w:rsidR="003173CD" w:rsidRDefault="003173CD" w:rsidP="0036435F">
      <w:pPr>
        <w:jc w:val="both"/>
        <w:rPr>
          <w:rFonts w:ascii="Times New Roman" w:hAnsi="Times New Roman" w:cs="Times New Roman"/>
          <w:sz w:val="24"/>
          <w:szCs w:val="24"/>
        </w:rPr>
      </w:pPr>
    </w:p>
    <w:p w14:paraId="03CDCBA3" w14:textId="77777777" w:rsidR="003173CD" w:rsidRDefault="003173CD" w:rsidP="0036435F">
      <w:pPr>
        <w:jc w:val="both"/>
        <w:rPr>
          <w:rFonts w:ascii="Times New Roman" w:hAnsi="Times New Roman" w:cs="Times New Roman"/>
          <w:sz w:val="24"/>
          <w:szCs w:val="24"/>
        </w:rPr>
      </w:pPr>
    </w:p>
    <w:p w14:paraId="5AA67D2B" w14:textId="77777777" w:rsidR="003173CD" w:rsidRDefault="003173CD" w:rsidP="0036435F">
      <w:pPr>
        <w:jc w:val="both"/>
        <w:rPr>
          <w:rFonts w:ascii="Times New Roman" w:hAnsi="Times New Roman" w:cs="Times New Roman"/>
          <w:sz w:val="24"/>
          <w:szCs w:val="24"/>
        </w:rPr>
      </w:pPr>
    </w:p>
    <w:p w14:paraId="4FE9B762" w14:textId="77777777" w:rsidR="0036435F" w:rsidRPr="0036435F" w:rsidRDefault="0036435F" w:rsidP="0036435F">
      <w:pPr>
        <w:jc w:val="both"/>
        <w:rPr>
          <w:rFonts w:ascii="Times New Roman" w:hAnsi="Times New Roman" w:cs="Times New Roman"/>
          <w:sz w:val="24"/>
          <w:szCs w:val="24"/>
        </w:rPr>
      </w:pPr>
    </w:p>
    <w:p w14:paraId="7CD4B807" w14:textId="77777777" w:rsidR="0056283F" w:rsidRPr="0056283F" w:rsidRDefault="0056283F" w:rsidP="0056283F">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r w:rsidRPr="0056283F">
        <w:rPr>
          <w:rFonts w:ascii="Times New Roman" w:eastAsia="Times New Roman" w:hAnsi="Times New Roman" w:cs="Times New Roman"/>
          <w:b/>
          <w:bCs/>
          <w:kern w:val="36"/>
          <w:sz w:val="48"/>
          <w:szCs w:val="48"/>
          <w:lang w:eastAsia="en-GB"/>
          <w14:ligatures w14:val="none"/>
        </w:rPr>
        <w:t>Table of Contents</w:t>
      </w:r>
    </w:p>
    <w:p w14:paraId="07A4EB45" w14:textId="45AADC0F"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Executive Summary</w:t>
      </w:r>
      <w:r w:rsidR="00DE2863">
        <w:rPr>
          <w:rFonts w:ascii="Times New Roman" w:eastAsia="Times New Roman" w:hAnsi="Times New Roman" w:cs="Times New Roman"/>
          <w:kern w:val="0"/>
          <w:sz w:val="24"/>
          <w:szCs w:val="24"/>
          <w:lang w:eastAsia="en-GB"/>
          <w14:ligatures w14:val="none"/>
        </w:rPr>
        <w:t>------------------------------------------------------------------------------1</w:t>
      </w:r>
    </w:p>
    <w:p w14:paraId="50611335" w14:textId="484E1611"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Introduction</w:t>
      </w:r>
      <w:r w:rsidR="00DE2863">
        <w:rPr>
          <w:rFonts w:ascii="Times New Roman" w:eastAsia="Times New Roman" w:hAnsi="Times New Roman" w:cs="Times New Roman"/>
          <w:kern w:val="0"/>
          <w:sz w:val="24"/>
          <w:szCs w:val="24"/>
          <w:lang w:eastAsia="en-GB"/>
          <w14:ligatures w14:val="none"/>
        </w:rPr>
        <w:t>---------------------------------------------------------------------------------------1</w:t>
      </w:r>
    </w:p>
    <w:p w14:paraId="7F23F02D" w14:textId="30A7DBA4"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xml:space="preserve">2.1 Importance of Strategic Management </w:t>
      </w:r>
      <w:r w:rsidR="00DE2863">
        <w:rPr>
          <w:rFonts w:ascii="Times New Roman" w:eastAsia="Times New Roman" w:hAnsi="Times New Roman" w:cs="Times New Roman"/>
          <w:kern w:val="0"/>
          <w:sz w:val="24"/>
          <w:szCs w:val="24"/>
          <w:lang w:eastAsia="en-GB"/>
          <w14:ligatures w14:val="none"/>
        </w:rPr>
        <w:t>----------------------------------------------------1</w:t>
      </w:r>
      <w:r w:rsidRPr="0056283F">
        <w:rPr>
          <w:rFonts w:ascii="Times New Roman" w:eastAsia="Times New Roman" w:hAnsi="Times New Roman" w:cs="Times New Roman"/>
          <w:kern w:val="0"/>
          <w:sz w:val="24"/>
          <w:szCs w:val="24"/>
          <w:lang w:eastAsia="en-GB"/>
          <w14:ligatures w14:val="none"/>
        </w:rPr>
        <w:t> </w:t>
      </w:r>
    </w:p>
    <w:p w14:paraId="4A652EEB" w14:textId="2A5B5F04"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xml:space="preserve">2.2 Company Background: Jaguar Land Rover </w:t>
      </w:r>
      <w:r w:rsidR="00DE2863">
        <w:rPr>
          <w:rFonts w:ascii="Times New Roman" w:eastAsia="Times New Roman" w:hAnsi="Times New Roman" w:cs="Times New Roman"/>
          <w:kern w:val="0"/>
          <w:sz w:val="24"/>
          <w:szCs w:val="24"/>
          <w:lang w:eastAsia="en-GB"/>
          <w14:ligatures w14:val="none"/>
        </w:rPr>
        <w:t>---------------------------------------------2</w:t>
      </w:r>
      <w:r w:rsidRPr="0056283F">
        <w:rPr>
          <w:rFonts w:ascii="Times New Roman" w:eastAsia="Times New Roman" w:hAnsi="Times New Roman" w:cs="Times New Roman"/>
          <w:kern w:val="0"/>
          <w:sz w:val="24"/>
          <w:szCs w:val="24"/>
          <w:lang w:eastAsia="en-GB"/>
          <w14:ligatures w14:val="none"/>
        </w:rPr>
        <w:t> </w:t>
      </w:r>
    </w:p>
    <w:p w14:paraId="5CE259F5" w14:textId="005079C0" w:rsidR="0056283F" w:rsidRP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2.3 Vision, Mission and Strategic Objectives</w:t>
      </w:r>
      <w:r w:rsidR="00DE2863">
        <w:rPr>
          <w:rFonts w:ascii="Times New Roman" w:eastAsia="Times New Roman" w:hAnsi="Times New Roman" w:cs="Times New Roman"/>
          <w:kern w:val="0"/>
          <w:sz w:val="24"/>
          <w:szCs w:val="24"/>
          <w:lang w:eastAsia="en-GB"/>
          <w14:ligatures w14:val="none"/>
        </w:rPr>
        <w:t>------------------------------------------------2</w:t>
      </w:r>
    </w:p>
    <w:p w14:paraId="0828680B" w14:textId="2EC105C2" w:rsid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b/>
          <w:bCs/>
          <w:kern w:val="0"/>
          <w:sz w:val="24"/>
          <w:szCs w:val="24"/>
          <w:lang w:eastAsia="en-GB"/>
          <w14:ligatures w14:val="none"/>
        </w:rPr>
        <w:t>Strategy Analysis for Jaguar Land Rover</w:t>
      </w:r>
      <w:r w:rsidRPr="0056283F">
        <w:rPr>
          <w:rFonts w:ascii="Times New Roman" w:eastAsia="Times New Roman" w:hAnsi="Times New Roman" w:cs="Times New Roman"/>
          <w:kern w:val="0"/>
          <w:sz w:val="24"/>
          <w:szCs w:val="24"/>
          <w:lang w:eastAsia="en-GB"/>
          <w14:ligatures w14:val="none"/>
        </w:rPr>
        <w:t xml:space="preserve"> </w:t>
      </w:r>
      <w:r w:rsidR="00DE2863">
        <w:rPr>
          <w:rFonts w:ascii="Times New Roman" w:eastAsia="Times New Roman" w:hAnsi="Times New Roman" w:cs="Times New Roman"/>
          <w:kern w:val="0"/>
          <w:sz w:val="24"/>
          <w:szCs w:val="24"/>
          <w:lang w:eastAsia="en-GB"/>
          <w14:ligatures w14:val="none"/>
        </w:rPr>
        <w:t>------------------------------------------------3</w:t>
      </w:r>
    </w:p>
    <w:p w14:paraId="3C39EFAA" w14:textId="5A606CF9"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w:t>
      </w:r>
      <w:r w:rsidRPr="0056283F">
        <w:rPr>
          <w:rFonts w:ascii="Times New Roman" w:eastAsia="Times New Roman" w:hAnsi="Times New Roman" w:cs="Times New Roman"/>
          <w:kern w:val="0"/>
          <w:sz w:val="24"/>
          <w:szCs w:val="24"/>
          <w:lang w:eastAsia="en-GB"/>
          <w14:ligatures w14:val="none"/>
        </w:rPr>
        <w:t xml:space="preserve">3.1 External Environment Audit </w:t>
      </w:r>
      <w:r w:rsidR="00DE2863">
        <w:rPr>
          <w:rFonts w:ascii="Times New Roman" w:eastAsia="Times New Roman" w:hAnsi="Times New Roman" w:cs="Times New Roman"/>
          <w:kern w:val="0"/>
          <w:sz w:val="24"/>
          <w:szCs w:val="24"/>
          <w:lang w:eastAsia="en-GB"/>
          <w14:ligatures w14:val="none"/>
        </w:rPr>
        <w:t>------------------------------------------------------------3</w:t>
      </w:r>
    </w:p>
    <w:p w14:paraId="0820AF75" w14:textId="7A406DCE"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w:t>
      </w:r>
      <w:r w:rsidR="00DE2863">
        <w:rPr>
          <w:rFonts w:ascii="Times New Roman" w:eastAsia="Times New Roman" w:hAnsi="Times New Roman" w:cs="Times New Roman"/>
          <w:kern w:val="0"/>
          <w:sz w:val="24"/>
          <w:szCs w:val="24"/>
          <w:lang w:eastAsia="en-GB"/>
          <w14:ligatures w14:val="none"/>
        </w:rPr>
        <w:t xml:space="preserve">    </w:t>
      </w:r>
      <w:r w:rsidRPr="0056283F">
        <w:rPr>
          <w:rFonts w:ascii="Times New Roman" w:eastAsia="Times New Roman" w:hAnsi="Times New Roman" w:cs="Times New Roman"/>
          <w:kern w:val="0"/>
          <w:sz w:val="24"/>
          <w:szCs w:val="24"/>
          <w:lang w:eastAsia="en-GB"/>
          <w14:ligatures w14:val="none"/>
        </w:rPr>
        <w:t xml:space="preserve">3.1.1 PESTLE Analysis </w:t>
      </w:r>
      <w:r w:rsidRPr="0056283F">
        <w:rPr>
          <w:rFonts w:ascii="Times New Roman" w:eastAsia="Times New Roman" w:hAnsi="Times New Roman" w:cs="Times New Roman"/>
          <w:kern w:val="0"/>
          <w:sz w:val="24"/>
          <w:szCs w:val="24"/>
          <w:lang w:eastAsia="en-GB"/>
          <w14:ligatures w14:val="none"/>
        </w:rPr>
        <w:t> </w:t>
      </w:r>
      <w:r w:rsidR="00DE2863">
        <w:rPr>
          <w:rFonts w:ascii="Times New Roman" w:eastAsia="Times New Roman" w:hAnsi="Times New Roman" w:cs="Times New Roman"/>
          <w:kern w:val="0"/>
          <w:sz w:val="24"/>
          <w:szCs w:val="24"/>
          <w:lang w:eastAsia="en-GB"/>
          <w14:ligatures w14:val="none"/>
        </w:rPr>
        <w:t>----------------------------------------------------------------3</w:t>
      </w:r>
    </w:p>
    <w:p w14:paraId="72A1E611" w14:textId="2405E44E" w:rsidR="0056283F" w:rsidRP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w:t>
      </w:r>
      <w:r w:rsidR="00DE2863">
        <w:rPr>
          <w:rFonts w:ascii="Times New Roman" w:eastAsia="Times New Roman" w:hAnsi="Times New Roman" w:cs="Times New Roman"/>
          <w:kern w:val="0"/>
          <w:sz w:val="24"/>
          <w:szCs w:val="24"/>
          <w:lang w:eastAsia="en-GB"/>
          <w14:ligatures w14:val="none"/>
        </w:rPr>
        <w:t xml:space="preserve">   </w:t>
      </w:r>
      <w:r w:rsidRPr="0056283F">
        <w:rPr>
          <w:rFonts w:ascii="Times New Roman" w:eastAsia="Times New Roman" w:hAnsi="Times New Roman" w:cs="Times New Roman"/>
          <w:kern w:val="0"/>
          <w:sz w:val="24"/>
          <w:szCs w:val="24"/>
          <w:lang w:eastAsia="en-GB"/>
          <w14:ligatures w14:val="none"/>
        </w:rPr>
        <w:t>3.1.2 Porter’s Five Forces Analysis</w:t>
      </w:r>
      <w:r w:rsidR="00DE2863">
        <w:rPr>
          <w:rFonts w:ascii="Times New Roman" w:eastAsia="Times New Roman" w:hAnsi="Times New Roman" w:cs="Times New Roman"/>
          <w:kern w:val="0"/>
          <w:sz w:val="24"/>
          <w:szCs w:val="24"/>
          <w:lang w:eastAsia="en-GB"/>
          <w14:ligatures w14:val="none"/>
        </w:rPr>
        <w:t>------------------------------------------------------4</w:t>
      </w:r>
    </w:p>
    <w:p w14:paraId="04BB3125" w14:textId="71061092"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b/>
          <w:bCs/>
          <w:kern w:val="0"/>
          <w:sz w:val="24"/>
          <w:szCs w:val="24"/>
          <w:lang w:eastAsia="en-GB"/>
          <w14:ligatures w14:val="none"/>
        </w:rPr>
        <w:t>Internal Environment Audit</w:t>
      </w:r>
      <w:r w:rsidR="00DE2863">
        <w:rPr>
          <w:rFonts w:ascii="Times New Roman" w:eastAsia="Times New Roman" w:hAnsi="Times New Roman" w:cs="Times New Roman"/>
          <w:b/>
          <w:bCs/>
          <w:kern w:val="0"/>
          <w:sz w:val="24"/>
          <w:szCs w:val="24"/>
          <w:lang w:eastAsia="en-GB"/>
          <w14:ligatures w14:val="none"/>
        </w:rPr>
        <w:t>-----------------------------------------------------------------5</w:t>
      </w:r>
    </w:p>
    <w:p w14:paraId="20479B3E" w14:textId="7314FFA6"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xml:space="preserve"> </w:t>
      </w:r>
      <w:r w:rsidRPr="0056283F">
        <w:rPr>
          <w:rFonts w:ascii="Times New Roman" w:eastAsia="Times New Roman" w:hAnsi="Times New Roman" w:cs="Times New Roman"/>
          <w:kern w:val="0"/>
          <w:sz w:val="24"/>
          <w:szCs w:val="24"/>
          <w:lang w:eastAsia="en-GB"/>
          <w14:ligatures w14:val="none"/>
        </w:rPr>
        <w:t> </w:t>
      </w:r>
      <w:r w:rsidRPr="0056283F">
        <w:rPr>
          <w:rFonts w:ascii="Times New Roman" w:eastAsia="Times New Roman" w:hAnsi="Times New Roman" w:cs="Times New Roman"/>
          <w:kern w:val="0"/>
          <w:sz w:val="24"/>
          <w:szCs w:val="24"/>
          <w:lang w:eastAsia="en-GB"/>
          <w14:ligatures w14:val="none"/>
        </w:rPr>
        <w:t>4.1 Resource</w:t>
      </w:r>
      <w:r w:rsidRPr="0056283F">
        <w:rPr>
          <w:rFonts w:ascii="Times New Roman" w:eastAsia="Times New Roman" w:hAnsi="Times New Roman" w:cs="Times New Roman"/>
          <w:kern w:val="0"/>
          <w:sz w:val="24"/>
          <w:szCs w:val="24"/>
          <w:lang w:eastAsia="en-GB"/>
          <w14:ligatures w14:val="none"/>
        </w:rPr>
        <w:noBreakHyphen/>
        <w:t>Based View (RBV)</w:t>
      </w:r>
      <w:r w:rsidR="00DE2863">
        <w:rPr>
          <w:rFonts w:ascii="Times New Roman" w:eastAsia="Times New Roman" w:hAnsi="Times New Roman" w:cs="Times New Roman"/>
          <w:kern w:val="0"/>
          <w:sz w:val="24"/>
          <w:szCs w:val="24"/>
          <w:lang w:eastAsia="en-GB"/>
          <w14:ligatures w14:val="none"/>
        </w:rPr>
        <w:t>----------------------------------------------------------5</w:t>
      </w:r>
      <w:r w:rsidRPr="0056283F">
        <w:rPr>
          <w:rFonts w:ascii="Times New Roman" w:eastAsia="Times New Roman" w:hAnsi="Times New Roman" w:cs="Times New Roman"/>
          <w:kern w:val="0"/>
          <w:sz w:val="24"/>
          <w:szCs w:val="24"/>
          <w:lang w:eastAsia="en-GB"/>
          <w14:ligatures w14:val="none"/>
        </w:rPr>
        <w:t xml:space="preserve"> </w:t>
      </w:r>
      <w:r w:rsidRPr="0056283F">
        <w:rPr>
          <w:rFonts w:ascii="Times New Roman" w:eastAsia="Times New Roman" w:hAnsi="Times New Roman" w:cs="Times New Roman"/>
          <w:kern w:val="0"/>
          <w:sz w:val="24"/>
          <w:szCs w:val="24"/>
          <w:lang w:eastAsia="en-GB"/>
          <w14:ligatures w14:val="none"/>
        </w:rPr>
        <w:t> </w:t>
      </w:r>
    </w:p>
    <w:p w14:paraId="126E1344" w14:textId="5922DEC8" w:rsid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56283F">
        <w:rPr>
          <w:rFonts w:ascii="Times New Roman" w:eastAsia="Times New Roman" w:hAnsi="Times New Roman" w:cs="Times New Roman"/>
          <w:kern w:val="0"/>
          <w:sz w:val="24"/>
          <w:szCs w:val="24"/>
          <w:lang w:eastAsia="en-GB"/>
          <w14:ligatures w14:val="none"/>
        </w:rPr>
        <w:t xml:space="preserve">4.2 VRIO Analysis </w:t>
      </w:r>
      <w:r w:rsidR="00DE2863">
        <w:rPr>
          <w:rFonts w:ascii="Times New Roman" w:eastAsia="Times New Roman" w:hAnsi="Times New Roman" w:cs="Times New Roman"/>
          <w:kern w:val="0"/>
          <w:sz w:val="24"/>
          <w:szCs w:val="24"/>
          <w:lang w:eastAsia="en-GB"/>
          <w14:ligatures w14:val="none"/>
        </w:rPr>
        <w:t>--------------------------------------------------------------------------5</w:t>
      </w:r>
    </w:p>
    <w:p w14:paraId="480400C1" w14:textId="7B4B8006" w:rsidR="0056283F" w:rsidRPr="0056283F" w:rsidRDefault="0056283F" w:rsidP="0056283F">
      <w:pPr>
        <w:spacing w:before="100" w:beforeAutospacing="1" w:after="100" w:afterAutospacing="1"/>
        <w:ind w:left="714" w:firstLine="0"/>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 </w:t>
      </w:r>
      <w:r w:rsidRPr="0056283F">
        <w:rPr>
          <w:rFonts w:ascii="Times New Roman" w:eastAsia="Times New Roman" w:hAnsi="Times New Roman" w:cs="Times New Roman"/>
          <w:kern w:val="0"/>
          <w:sz w:val="24"/>
          <w:szCs w:val="24"/>
          <w:lang w:eastAsia="en-GB"/>
          <w14:ligatures w14:val="none"/>
        </w:rPr>
        <w:t>4.3 Value Chain Analysis</w:t>
      </w:r>
      <w:r w:rsidR="00DE2863">
        <w:rPr>
          <w:rFonts w:ascii="Times New Roman" w:eastAsia="Times New Roman" w:hAnsi="Times New Roman" w:cs="Times New Roman"/>
          <w:kern w:val="0"/>
          <w:sz w:val="24"/>
          <w:szCs w:val="24"/>
          <w:lang w:eastAsia="en-GB"/>
          <w14:ligatures w14:val="none"/>
        </w:rPr>
        <w:t>--------------------------------------------------------------------5</w:t>
      </w:r>
    </w:p>
    <w:p w14:paraId="5C9DB937" w14:textId="07A39188"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SWOT Analysis</w:t>
      </w:r>
      <w:r w:rsidR="00DE2863">
        <w:rPr>
          <w:rFonts w:ascii="Times New Roman" w:eastAsia="Times New Roman" w:hAnsi="Times New Roman" w:cs="Times New Roman"/>
          <w:kern w:val="0"/>
          <w:sz w:val="24"/>
          <w:szCs w:val="24"/>
          <w:lang w:eastAsia="en-GB"/>
          <w14:ligatures w14:val="none"/>
        </w:rPr>
        <w:t>----------------------------------------------------------------------------------6</w:t>
      </w:r>
    </w:p>
    <w:p w14:paraId="29D7494D" w14:textId="6A1CF1E3"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Strategy Formulation</w:t>
      </w:r>
      <w:r w:rsidR="00DE2863">
        <w:rPr>
          <w:rFonts w:ascii="Times New Roman" w:eastAsia="Times New Roman" w:hAnsi="Times New Roman" w:cs="Times New Roman"/>
          <w:kern w:val="0"/>
          <w:sz w:val="24"/>
          <w:szCs w:val="24"/>
          <w:lang w:eastAsia="en-GB"/>
          <w14:ligatures w14:val="none"/>
        </w:rPr>
        <w:t>----------------------------------------------------------------------------7</w:t>
      </w:r>
    </w:p>
    <w:p w14:paraId="4323CC0A" w14:textId="1DAF7E8B" w:rsidR="0056283F" w:rsidRPr="0056283F" w:rsidRDefault="0056283F" w:rsidP="0056283F">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pPr>
      <w:r w:rsidRPr="0056283F">
        <w:rPr>
          <w:rFonts w:ascii="Times New Roman" w:eastAsia="Times New Roman" w:hAnsi="Times New Roman" w:cs="Times New Roman"/>
          <w:kern w:val="0"/>
          <w:sz w:val="24"/>
          <w:szCs w:val="24"/>
          <w:lang w:eastAsia="en-GB"/>
          <w14:ligatures w14:val="none"/>
        </w:rPr>
        <w:t>Conclusion and Recommendations</w:t>
      </w:r>
      <w:r w:rsidR="00DE2863">
        <w:rPr>
          <w:rFonts w:ascii="Times New Roman" w:eastAsia="Times New Roman" w:hAnsi="Times New Roman" w:cs="Times New Roman"/>
          <w:kern w:val="0"/>
          <w:sz w:val="24"/>
          <w:szCs w:val="24"/>
          <w:lang w:eastAsia="en-GB"/>
          <w14:ligatures w14:val="none"/>
        </w:rPr>
        <w:t>------------------------------------------------------------8</w:t>
      </w:r>
    </w:p>
    <w:p w14:paraId="5ED4E297" w14:textId="4C01F7C3" w:rsidR="00D55483" w:rsidRPr="00DE2863" w:rsidRDefault="0056283F" w:rsidP="00DE2863">
      <w:pPr>
        <w:numPr>
          <w:ilvl w:val="0"/>
          <w:numId w:val="1"/>
        </w:numPr>
        <w:spacing w:before="100" w:beforeAutospacing="1" w:after="100" w:afterAutospacing="1"/>
        <w:ind w:left="714" w:hanging="357"/>
        <w:rPr>
          <w:rFonts w:ascii="Times New Roman" w:eastAsia="Times New Roman" w:hAnsi="Times New Roman" w:cs="Times New Roman"/>
          <w:kern w:val="0"/>
          <w:sz w:val="24"/>
          <w:szCs w:val="24"/>
          <w:lang w:eastAsia="en-GB"/>
          <w14:ligatures w14:val="none"/>
        </w:rPr>
        <w:sectPr w:rsidR="00D55483" w:rsidRPr="00DE2863" w:rsidSect="00D55483">
          <w:headerReference w:type="default" r:id="rId7"/>
          <w:footerReference w:type="default" r:id="rId8"/>
          <w:pgSz w:w="11906" w:h="16838"/>
          <w:pgMar w:top="1440" w:right="1440" w:bottom="1440" w:left="1440" w:header="708" w:footer="708" w:gutter="0"/>
          <w:pgNumType w:start="1"/>
          <w:cols w:space="708"/>
          <w:docGrid w:linePitch="360"/>
        </w:sectPr>
      </w:pPr>
      <w:r w:rsidRPr="0056283F">
        <w:rPr>
          <w:rFonts w:ascii="Times New Roman" w:eastAsia="Times New Roman" w:hAnsi="Times New Roman" w:cs="Times New Roman"/>
          <w:kern w:val="0"/>
          <w:sz w:val="24"/>
          <w:szCs w:val="24"/>
          <w:lang w:eastAsia="en-GB"/>
          <w14:ligatures w14:val="none"/>
        </w:rPr>
        <w:t>Reference</w:t>
      </w:r>
      <w:r w:rsidR="00DE2863">
        <w:rPr>
          <w:rFonts w:ascii="Times New Roman" w:eastAsia="Times New Roman" w:hAnsi="Times New Roman" w:cs="Times New Roman"/>
          <w:kern w:val="0"/>
          <w:sz w:val="24"/>
          <w:szCs w:val="24"/>
          <w:lang w:eastAsia="en-GB"/>
          <w14:ligatures w14:val="none"/>
        </w:rPr>
        <w:t>s-----------------------------------------------------------------------------------------</w:t>
      </w:r>
      <w:r w:rsidR="00B1362A">
        <w:rPr>
          <w:rFonts w:ascii="Times New Roman" w:eastAsia="Times New Roman" w:hAnsi="Times New Roman" w:cs="Times New Roman"/>
          <w:kern w:val="0"/>
          <w:sz w:val="24"/>
          <w:szCs w:val="24"/>
          <w:lang w:eastAsia="en-GB"/>
          <w14:ligatures w14:val="none"/>
        </w:rPr>
        <w:t>9</w:t>
      </w:r>
    </w:p>
    <w:p w14:paraId="6099D77E" w14:textId="77777777" w:rsidR="0036435F" w:rsidRPr="0036435F" w:rsidRDefault="0036435F" w:rsidP="00B1362A">
      <w:pPr>
        <w:ind w:firstLine="0"/>
        <w:jc w:val="both"/>
        <w:rPr>
          <w:rFonts w:ascii="Times New Roman" w:hAnsi="Times New Roman" w:cs="Times New Roman"/>
          <w:sz w:val="24"/>
          <w:szCs w:val="24"/>
        </w:rPr>
      </w:pPr>
    </w:p>
    <w:p w14:paraId="00758BA9" w14:textId="666EB099" w:rsidR="0036435F" w:rsidRPr="0056283F" w:rsidRDefault="0036435F" w:rsidP="0056283F">
      <w:pPr>
        <w:pStyle w:val="ListParagraph"/>
        <w:numPr>
          <w:ilvl w:val="1"/>
          <w:numId w:val="1"/>
        </w:numPr>
        <w:spacing w:before="100" w:beforeAutospacing="1" w:after="100" w:afterAutospacing="1"/>
        <w:jc w:val="both"/>
        <w:outlineLvl w:val="0"/>
        <w:rPr>
          <w:rFonts w:ascii="Times New Roman" w:eastAsia="Times New Roman" w:hAnsi="Times New Roman" w:cs="Times New Roman"/>
          <w:b/>
          <w:bCs/>
          <w:kern w:val="36"/>
          <w:sz w:val="40"/>
          <w:szCs w:val="40"/>
          <w:lang w:eastAsia="en-GB"/>
          <w14:ligatures w14:val="none"/>
        </w:rPr>
      </w:pPr>
      <w:r w:rsidRPr="0056283F">
        <w:rPr>
          <w:rFonts w:ascii="Times New Roman" w:eastAsia="Times New Roman" w:hAnsi="Times New Roman" w:cs="Times New Roman"/>
          <w:b/>
          <w:bCs/>
          <w:kern w:val="36"/>
          <w:sz w:val="40"/>
          <w:szCs w:val="40"/>
          <w:lang w:eastAsia="en-GB"/>
          <w14:ligatures w14:val="none"/>
        </w:rPr>
        <w:t>Executive Summary</w:t>
      </w:r>
    </w:p>
    <w:p w14:paraId="387B9096" w14:textId="7AEFF730"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 xml:space="preserve">This report provides a critical evaluation of Jaguar Land Rover’s (JLR) strategic position using established strategic management frameworks. Strategic management enables organisations to navigate </w:t>
      </w:r>
      <w:r w:rsidR="000652A5">
        <w:rPr>
          <w:rFonts w:ascii="Times New Roman" w:eastAsia="Times New Roman" w:hAnsi="Times New Roman" w:cs="Times New Roman"/>
          <w:kern w:val="0"/>
          <w:sz w:val="24"/>
          <w:szCs w:val="24"/>
          <w:lang w:eastAsia="en-GB"/>
          <w14:ligatures w14:val="none"/>
        </w:rPr>
        <w:t xml:space="preserve">in </w:t>
      </w:r>
      <w:r w:rsidRPr="0036435F">
        <w:rPr>
          <w:rFonts w:ascii="Times New Roman" w:eastAsia="Times New Roman" w:hAnsi="Times New Roman" w:cs="Times New Roman"/>
          <w:kern w:val="0"/>
          <w:sz w:val="24"/>
          <w:szCs w:val="24"/>
          <w:lang w:eastAsia="en-GB"/>
          <w14:ligatures w14:val="none"/>
        </w:rPr>
        <w:t>complex and rapidly changing environments, a necessity within the global automotive industry where electrification, digitalisation and sustainability expectations are reshaping competition (Johnson, Whittington and Scholes, 2020). The external environment is assessed through PESTLE and Porter’s Five Forces, revealing significant pressures arising from regulatory tightening, technological disruption and shifting consumer expectations (SMMT, 2024; UK Government, 2023). These forces continue to influence JLR’s strategic choices and long</w:t>
      </w:r>
      <w:r w:rsidRPr="0036435F">
        <w:rPr>
          <w:rFonts w:ascii="Times New Roman" w:eastAsia="Times New Roman" w:hAnsi="Times New Roman" w:cs="Times New Roman"/>
          <w:kern w:val="0"/>
          <w:sz w:val="24"/>
          <w:szCs w:val="24"/>
          <w:lang w:eastAsia="en-GB"/>
          <w14:ligatures w14:val="none"/>
        </w:rPr>
        <w:noBreakHyphen/>
        <w:t>term competitiveness.</w:t>
      </w:r>
    </w:p>
    <w:p w14:paraId="77669B30" w14:textId="6629A7EB"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Internal analysis using the Resource</w:t>
      </w:r>
      <w:r w:rsidRPr="0036435F">
        <w:rPr>
          <w:rFonts w:ascii="Times New Roman" w:eastAsia="Times New Roman" w:hAnsi="Times New Roman" w:cs="Times New Roman"/>
          <w:kern w:val="0"/>
          <w:sz w:val="24"/>
          <w:szCs w:val="24"/>
          <w:lang w:eastAsia="en-GB"/>
          <w14:ligatures w14:val="none"/>
        </w:rPr>
        <w:noBreakHyphen/>
        <w:t>Based View (RBV), VRIO and Value Chain frameworks shows that JLR benefits from strong brand equity, advanced engineering capabilities and a heritage of luxury and off</w:t>
      </w:r>
      <w:r w:rsidRPr="0036435F">
        <w:rPr>
          <w:rFonts w:ascii="Times New Roman" w:eastAsia="Times New Roman" w:hAnsi="Times New Roman" w:cs="Times New Roman"/>
          <w:kern w:val="0"/>
          <w:sz w:val="24"/>
          <w:szCs w:val="24"/>
          <w:lang w:eastAsia="en-GB"/>
          <w14:ligatures w14:val="none"/>
        </w:rPr>
        <w:noBreakHyphen/>
        <w:t>road performance (Barney, 1991; JLR, 2023). However, weaknesses such as high production costs, supply chain vulnerabilities and slower progress in electrification compared with leading competitors (ACEA, 202</w:t>
      </w:r>
      <w:r w:rsidR="000652A5">
        <w:rPr>
          <w:rFonts w:ascii="Times New Roman" w:eastAsia="Times New Roman" w:hAnsi="Times New Roman" w:cs="Times New Roman"/>
          <w:kern w:val="0"/>
          <w:sz w:val="24"/>
          <w:szCs w:val="24"/>
          <w:lang w:eastAsia="en-GB"/>
          <w14:ligatures w14:val="none"/>
        </w:rPr>
        <w:t>5</w:t>
      </w:r>
      <w:r w:rsidRPr="0036435F">
        <w:rPr>
          <w:rFonts w:ascii="Times New Roman" w:eastAsia="Times New Roman" w:hAnsi="Times New Roman" w:cs="Times New Roman"/>
          <w:kern w:val="0"/>
          <w:sz w:val="24"/>
          <w:szCs w:val="24"/>
          <w:lang w:eastAsia="en-GB"/>
          <w14:ligatures w14:val="none"/>
        </w:rPr>
        <w:t>) present strategic challenges. The SWOT analysis integrates these insights to identify the key issues shaping JLR’s future direction.</w:t>
      </w:r>
    </w:p>
    <w:p w14:paraId="365C7DCB"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Based on the findings, the report proposes three strategic priorities: accelerating electrification, strengthening supply chain resilience and enhancing digital transformation. These recommendations align with academic perspectives on dynamic capabilities and long</w:t>
      </w:r>
      <w:r w:rsidRPr="0036435F">
        <w:rPr>
          <w:rFonts w:ascii="Times New Roman" w:eastAsia="Times New Roman" w:hAnsi="Times New Roman" w:cs="Times New Roman"/>
          <w:kern w:val="0"/>
          <w:sz w:val="24"/>
          <w:szCs w:val="24"/>
          <w:lang w:eastAsia="en-GB"/>
          <w14:ligatures w14:val="none"/>
        </w:rPr>
        <w:noBreakHyphen/>
        <w:t xml:space="preserve">term competitive advantage (Teece, Pisano and </w:t>
      </w:r>
      <w:proofErr w:type="spellStart"/>
      <w:r w:rsidRPr="0036435F">
        <w:rPr>
          <w:rFonts w:ascii="Times New Roman" w:eastAsia="Times New Roman" w:hAnsi="Times New Roman" w:cs="Times New Roman"/>
          <w:kern w:val="0"/>
          <w:sz w:val="24"/>
          <w:szCs w:val="24"/>
          <w:lang w:eastAsia="en-GB"/>
          <w14:ligatures w14:val="none"/>
        </w:rPr>
        <w:t>Shuen</w:t>
      </w:r>
      <w:proofErr w:type="spellEnd"/>
      <w:r w:rsidRPr="0036435F">
        <w:rPr>
          <w:rFonts w:ascii="Times New Roman" w:eastAsia="Times New Roman" w:hAnsi="Times New Roman" w:cs="Times New Roman"/>
          <w:kern w:val="0"/>
          <w:sz w:val="24"/>
          <w:szCs w:val="24"/>
          <w:lang w:eastAsia="en-GB"/>
          <w14:ligatures w14:val="none"/>
        </w:rPr>
        <w:t>, 1997). Implementing these strategies will support JLR’s sustainability goals, improve operational efficiency and reinforce its competitive position in the global premium automotive sector.</w:t>
      </w:r>
    </w:p>
    <w:p w14:paraId="1552AA3E" w14:textId="6694CFC4"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2</w:t>
      </w:r>
      <w:r w:rsidR="0036435F" w:rsidRPr="0036435F">
        <w:rPr>
          <w:rFonts w:ascii="Times New Roman" w:eastAsia="Times New Roman" w:hAnsi="Times New Roman" w:cs="Times New Roman"/>
          <w:b/>
          <w:bCs/>
          <w:kern w:val="36"/>
          <w:sz w:val="36"/>
          <w:szCs w:val="36"/>
          <w:lang w:eastAsia="en-GB"/>
          <w14:ligatures w14:val="none"/>
        </w:rPr>
        <w:t>. Introduction</w:t>
      </w:r>
    </w:p>
    <w:p w14:paraId="1F59C9AB" w14:textId="1750CA7D"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w:t>
      </w:r>
      <w:r w:rsidR="0036435F" w:rsidRPr="0036435F">
        <w:rPr>
          <w:rFonts w:ascii="Times New Roman" w:eastAsia="Times New Roman" w:hAnsi="Times New Roman" w:cs="Times New Roman"/>
          <w:b/>
          <w:bCs/>
          <w:kern w:val="0"/>
          <w:sz w:val="24"/>
          <w:szCs w:val="24"/>
          <w:lang w:eastAsia="en-GB"/>
          <w14:ligatures w14:val="none"/>
        </w:rPr>
        <w:t>.1 Importance of Strategic Management</w:t>
      </w:r>
    </w:p>
    <w:p w14:paraId="529A60FD" w14:textId="59E78E8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 xml:space="preserve">Strategic management is essential for organisations operating in dynamic and competitive environments. It enables firms to analyse internal capabilities, respond to external </w:t>
      </w:r>
      <w:r w:rsidRPr="0036435F">
        <w:rPr>
          <w:rFonts w:ascii="Times New Roman" w:eastAsia="Times New Roman" w:hAnsi="Times New Roman" w:cs="Times New Roman"/>
          <w:kern w:val="0"/>
          <w:sz w:val="24"/>
          <w:szCs w:val="24"/>
          <w:lang w:eastAsia="en-GB"/>
          <w14:ligatures w14:val="none"/>
        </w:rPr>
        <w:lastRenderedPageBreak/>
        <w:t>pressures and make informed long</w:t>
      </w:r>
      <w:r w:rsidRPr="0036435F">
        <w:rPr>
          <w:rFonts w:ascii="Times New Roman" w:eastAsia="Times New Roman" w:hAnsi="Times New Roman" w:cs="Times New Roman"/>
          <w:kern w:val="0"/>
          <w:sz w:val="24"/>
          <w:szCs w:val="24"/>
          <w:lang w:eastAsia="en-GB"/>
          <w14:ligatures w14:val="none"/>
        </w:rPr>
        <w:noBreakHyphen/>
        <w:t xml:space="preserve">term decisions (Johnson, Whittington and Scholes, 2020). In industries such as automotive manufacturing, where electrification, digitalisation and sustainability expectations are rapidly reshaping competition, strategic management helps firms adapt and maintain competitive advantage (Grant, 2019). Porter’s </w:t>
      </w:r>
      <w:r w:rsidR="000652A5">
        <w:rPr>
          <w:rFonts w:ascii="Times New Roman" w:eastAsia="Times New Roman" w:hAnsi="Times New Roman" w:cs="Times New Roman"/>
          <w:kern w:val="0"/>
          <w:sz w:val="24"/>
          <w:szCs w:val="24"/>
          <w:lang w:eastAsia="en-GB"/>
          <w14:ligatures w14:val="none"/>
        </w:rPr>
        <w:t xml:space="preserve">Five Forces </w:t>
      </w:r>
      <w:r w:rsidRPr="0036435F">
        <w:rPr>
          <w:rFonts w:ascii="Times New Roman" w:eastAsia="Times New Roman" w:hAnsi="Times New Roman" w:cs="Times New Roman"/>
          <w:kern w:val="0"/>
          <w:sz w:val="24"/>
          <w:szCs w:val="24"/>
          <w:lang w:eastAsia="en-GB"/>
          <w14:ligatures w14:val="none"/>
        </w:rPr>
        <w:t>(1980) work on industry forces further highlights the need for continuous assessment of competitive pressures to avoid strategic decline. For companies like Jaguar Land Rover (JLR), operating in a technologically disruptive and highly regulated sector, strategic management is critical for navigating uncertainty and sustaining performance.</w:t>
      </w:r>
    </w:p>
    <w:p w14:paraId="0787A8C6" w14:textId="304A15C5"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w:t>
      </w:r>
      <w:r w:rsidR="0036435F" w:rsidRPr="0036435F">
        <w:rPr>
          <w:rFonts w:ascii="Times New Roman" w:eastAsia="Times New Roman" w:hAnsi="Times New Roman" w:cs="Times New Roman"/>
          <w:b/>
          <w:bCs/>
          <w:kern w:val="0"/>
          <w:sz w:val="24"/>
          <w:szCs w:val="24"/>
          <w:lang w:eastAsia="en-GB"/>
          <w14:ligatures w14:val="none"/>
        </w:rPr>
        <w:t>.2</w:t>
      </w:r>
      <w:r>
        <w:rPr>
          <w:rFonts w:ascii="Times New Roman" w:eastAsia="Times New Roman" w:hAnsi="Times New Roman" w:cs="Times New Roman"/>
          <w:b/>
          <w:bCs/>
          <w:kern w:val="0"/>
          <w:sz w:val="24"/>
          <w:szCs w:val="24"/>
          <w:lang w:eastAsia="en-GB"/>
          <w14:ligatures w14:val="none"/>
        </w:rPr>
        <w:t>.</w:t>
      </w:r>
      <w:r w:rsidR="0036435F" w:rsidRPr="0036435F">
        <w:rPr>
          <w:rFonts w:ascii="Times New Roman" w:eastAsia="Times New Roman" w:hAnsi="Times New Roman" w:cs="Times New Roman"/>
          <w:b/>
          <w:bCs/>
          <w:kern w:val="0"/>
          <w:sz w:val="24"/>
          <w:szCs w:val="24"/>
          <w:lang w:eastAsia="en-GB"/>
          <w14:ligatures w14:val="none"/>
        </w:rPr>
        <w:t xml:space="preserve"> Company Background: Jaguar Land Rover</w:t>
      </w:r>
    </w:p>
    <w:p w14:paraId="7A6265C1"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Jaguar Land Rover (JLR) is the UK’s largest automotive manufacturer and a leading producer of luxury vehicles. Headquartered in Coventry and owned by Tata Motors since 2008, the company designs and manufactures premium vehicles marketed globally through national sales companies and franchise dealers (MarketLine, 2025). JLR manages two iconic brands: Jaguar, associated with luxury saloons and electric performance vehicles, and Land Rover, known for premium SUVs and off</w:t>
      </w:r>
      <w:r w:rsidRPr="0036435F">
        <w:rPr>
          <w:rFonts w:ascii="Times New Roman" w:eastAsia="Times New Roman" w:hAnsi="Times New Roman" w:cs="Times New Roman"/>
          <w:kern w:val="0"/>
          <w:sz w:val="24"/>
          <w:szCs w:val="24"/>
          <w:lang w:eastAsia="en-GB"/>
          <w14:ligatures w14:val="none"/>
        </w:rPr>
        <w:noBreakHyphen/>
        <w:t>road capability. Employing over 41,000 people and generating a turnover of approximately £28.9 billion, JLR holds a significant position in the global automotive sector (MarketLine, 2025).</w:t>
      </w:r>
    </w:p>
    <w:p w14:paraId="2BE6954D" w14:textId="1755611B"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JLR competes in a premium market dominated by BMW, Mercedes</w:t>
      </w:r>
      <w:r w:rsidRPr="0036435F">
        <w:rPr>
          <w:rFonts w:ascii="Times New Roman" w:eastAsia="Times New Roman" w:hAnsi="Times New Roman" w:cs="Times New Roman"/>
          <w:kern w:val="0"/>
          <w:sz w:val="24"/>
          <w:szCs w:val="24"/>
          <w:lang w:eastAsia="en-GB"/>
          <w14:ligatures w14:val="none"/>
        </w:rPr>
        <w:noBreakHyphen/>
        <w:t xml:space="preserve">Benz, Audi, Volvo, Lexus and Tesla. The company has invested heavily in innovation, electrification and digital technologies, including the Future Energy Lab and a £500 million investment in the Halewood plant to support electric vehicle (EV) production. These developments reflect JLR’s ongoing transformation and its need to strengthen competitiveness in a rapidly evolving </w:t>
      </w:r>
      <w:proofErr w:type="gramStart"/>
      <w:r w:rsidRPr="0036435F">
        <w:rPr>
          <w:rFonts w:ascii="Times New Roman" w:eastAsia="Times New Roman" w:hAnsi="Times New Roman" w:cs="Times New Roman"/>
          <w:kern w:val="0"/>
          <w:sz w:val="24"/>
          <w:szCs w:val="24"/>
          <w:lang w:eastAsia="en-GB"/>
          <w14:ligatures w14:val="none"/>
        </w:rPr>
        <w:t>industry</w:t>
      </w:r>
      <w:r w:rsidR="000652A5" w:rsidRPr="0036435F">
        <w:rPr>
          <w:rFonts w:ascii="Times New Roman" w:eastAsia="Times New Roman" w:hAnsi="Times New Roman" w:cs="Times New Roman"/>
          <w:kern w:val="0"/>
          <w:sz w:val="24"/>
          <w:szCs w:val="24"/>
          <w:lang w:eastAsia="en-GB"/>
          <w14:ligatures w14:val="none"/>
        </w:rPr>
        <w:t>(</w:t>
      </w:r>
      <w:proofErr w:type="gramEnd"/>
      <w:r w:rsidR="000652A5" w:rsidRPr="0036435F">
        <w:rPr>
          <w:rFonts w:ascii="Times New Roman" w:eastAsia="Times New Roman" w:hAnsi="Times New Roman" w:cs="Times New Roman"/>
          <w:kern w:val="0"/>
          <w:sz w:val="24"/>
          <w:szCs w:val="24"/>
          <w:lang w:eastAsia="en-GB"/>
          <w14:ligatures w14:val="none"/>
        </w:rPr>
        <w:t>MarketLine, 2025).</w:t>
      </w:r>
      <w:r w:rsidR="000652A5">
        <w:rPr>
          <w:rFonts w:ascii="Times New Roman" w:eastAsia="Times New Roman" w:hAnsi="Times New Roman" w:cs="Times New Roman"/>
          <w:kern w:val="0"/>
          <w:sz w:val="24"/>
          <w:szCs w:val="24"/>
          <w:lang w:eastAsia="en-GB"/>
          <w14:ligatures w14:val="none"/>
        </w:rPr>
        <w:t xml:space="preserve"> </w:t>
      </w:r>
    </w:p>
    <w:p w14:paraId="47FA6BEF" w14:textId="077EA7C2"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w:t>
      </w:r>
      <w:r w:rsidR="0036435F" w:rsidRPr="0036435F">
        <w:rPr>
          <w:rFonts w:ascii="Times New Roman" w:eastAsia="Times New Roman" w:hAnsi="Times New Roman" w:cs="Times New Roman"/>
          <w:b/>
          <w:bCs/>
          <w:kern w:val="0"/>
          <w:sz w:val="24"/>
          <w:szCs w:val="24"/>
          <w:lang w:eastAsia="en-GB"/>
          <w14:ligatures w14:val="none"/>
        </w:rPr>
        <w:t>.3</w:t>
      </w:r>
      <w:r>
        <w:rPr>
          <w:rFonts w:ascii="Times New Roman" w:eastAsia="Times New Roman" w:hAnsi="Times New Roman" w:cs="Times New Roman"/>
          <w:b/>
          <w:bCs/>
          <w:kern w:val="0"/>
          <w:sz w:val="24"/>
          <w:szCs w:val="24"/>
          <w:lang w:eastAsia="en-GB"/>
          <w14:ligatures w14:val="none"/>
        </w:rPr>
        <w:t>.</w:t>
      </w:r>
      <w:r w:rsidR="0036435F" w:rsidRPr="0036435F">
        <w:rPr>
          <w:rFonts w:ascii="Times New Roman" w:eastAsia="Times New Roman" w:hAnsi="Times New Roman" w:cs="Times New Roman"/>
          <w:b/>
          <w:bCs/>
          <w:kern w:val="0"/>
          <w:sz w:val="24"/>
          <w:szCs w:val="24"/>
          <w:lang w:eastAsia="en-GB"/>
          <w14:ligatures w14:val="none"/>
        </w:rPr>
        <w:t xml:space="preserve"> Vision, Mission and Strategic Objectives</w:t>
      </w:r>
    </w:p>
    <w:p w14:paraId="6D0B9C2B"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JLR’s strategic direction is guided by its “Reimagine” strategy, launched in 2021, which focuses on electrification, sustainability and delivering “modern luxury” experiences (JLR, 2024). Although the company does not publish traditional mission and vision statements, its strategic objectives are communicated through corporate updates and sustainability reports. These include achieving net</w:t>
      </w:r>
      <w:r w:rsidRPr="0036435F">
        <w:rPr>
          <w:rFonts w:ascii="Times New Roman" w:eastAsia="Times New Roman" w:hAnsi="Times New Roman" w:cs="Times New Roman"/>
          <w:kern w:val="0"/>
          <w:sz w:val="24"/>
          <w:szCs w:val="24"/>
          <w:lang w:eastAsia="en-GB"/>
          <w14:ligatures w14:val="none"/>
        </w:rPr>
        <w:noBreakHyphen/>
        <w:t xml:space="preserve">zero carbon emissions by 2039 (JLR, 2023), launching the first fully electric Jaguar models by 2025, introducing six pure electric Land Rover models by 2030, </w:t>
      </w:r>
      <w:r w:rsidRPr="0036435F">
        <w:rPr>
          <w:rFonts w:ascii="Times New Roman" w:eastAsia="Times New Roman" w:hAnsi="Times New Roman" w:cs="Times New Roman"/>
          <w:kern w:val="0"/>
          <w:sz w:val="24"/>
          <w:szCs w:val="24"/>
          <w:lang w:eastAsia="en-GB"/>
          <w14:ligatures w14:val="none"/>
        </w:rPr>
        <w:lastRenderedPageBreak/>
        <w:t>reducing production complexity and strengthening digital capabilities. These objectives align with contemporary strategic thinking on sustainability, innovation and competitive differentiation (Porter and Kramer, 2011).</w:t>
      </w:r>
    </w:p>
    <w:p w14:paraId="7173107C" w14:textId="2ADF00BA"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3</w:t>
      </w:r>
      <w:r w:rsidR="0036435F" w:rsidRPr="0036435F">
        <w:rPr>
          <w:rFonts w:ascii="Times New Roman" w:eastAsia="Times New Roman" w:hAnsi="Times New Roman" w:cs="Times New Roman"/>
          <w:b/>
          <w:bCs/>
          <w:kern w:val="36"/>
          <w:sz w:val="36"/>
          <w:szCs w:val="36"/>
          <w:lang w:eastAsia="en-GB"/>
          <w14:ligatures w14:val="none"/>
        </w:rPr>
        <w:t>. Strategy Analysis for Jaguar Land Rover</w:t>
      </w:r>
    </w:p>
    <w:p w14:paraId="664C506B" w14:textId="4CE2ABF1"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3</w:t>
      </w:r>
      <w:r w:rsidR="0036435F" w:rsidRPr="0036435F">
        <w:rPr>
          <w:rFonts w:ascii="Times New Roman" w:eastAsia="Times New Roman" w:hAnsi="Times New Roman" w:cs="Times New Roman"/>
          <w:b/>
          <w:bCs/>
          <w:kern w:val="0"/>
          <w:sz w:val="28"/>
          <w:szCs w:val="28"/>
          <w:lang w:eastAsia="en-GB"/>
          <w14:ligatures w14:val="none"/>
        </w:rPr>
        <w:t>.1 External Environment Audit</w:t>
      </w:r>
    </w:p>
    <w:p w14:paraId="18B5FDF4" w14:textId="0CA1422D" w:rsidR="0036435F" w:rsidRPr="0036435F" w:rsidRDefault="0056283F" w:rsidP="0036435F">
      <w:pPr>
        <w:spacing w:before="100" w:beforeAutospacing="1" w:after="100" w:afterAutospacing="1"/>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w:t>
      </w:r>
      <w:r w:rsidR="0036435F" w:rsidRPr="0036435F">
        <w:rPr>
          <w:rFonts w:ascii="Times New Roman" w:eastAsia="Times New Roman" w:hAnsi="Times New Roman" w:cs="Times New Roman"/>
          <w:b/>
          <w:bCs/>
          <w:kern w:val="0"/>
          <w:sz w:val="24"/>
          <w:szCs w:val="24"/>
          <w:lang w:eastAsia="en-GB"/>
          <w14:ligatures w14:val="none"/>
        </w:rPr>
        <w:t>.1.1 PESTLE Analysis</w:t>
      </w:r>
    </w:p>
    <w:p w14:paraId="18DC2E65"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Political Factors</w:t>
      </w:r>
      <w:r w:rsidRPr="0036435F">
        <w:rPr>
          <w:rFonts w:ascii="Times New Roman" w:eastAsia="Times New Roman" w:hAnsi="Times New Roman" w:cs="Times New Roman"/>
          <w:kern w:val="0"/>
          <w:sz w:val="24"/>
          <w:szCs w:val="24"/>
          <w:lang w:eastAsia="en-GB"/>
          <w14:ligatures w14:val="none"/>
        </w:rPr>
        <w:t xml:space="preserve"> Political forces strongly influence JLR’s strategic direction, particularly around emissions legislation and industrial policy. The trucking industry study highlights that “policies related to emission reduction, taxes, and subsidies for clean energy face resistance” (Torres</w:t>
      </w:r>
      <w:r w:rsidRPr="0036435F">
        <w:rPr>
          <w:rFonts w:ascii="Times New Roman" w:eastAsia="Times New Roman" w:hAnsi="Times New Roman" w:cs="Times New Roman"/>
          <w:kern w:val="0"/>
          <w:sz w:val="24"/>
          <w:szCs w:val="24"/>
          <w:lang w:eastAsia="en-GB"/>
          <w14:ligatures w14:val="none"/>
        </w:rPr>
        <w:noBreakHyphen/>
        <w:t>Nunez et al., 2024), yet these policies continue to intensify globally. For JLR, this means accelerating electrification to comply with UK and EU Zero Emission Vehicle (ZEV) mandates. Brexit has also increased customs complexity and regulatory divergence, raising operational costs for a manufacturer that exports most of its vehicles.</w:t>
      </w:r>
    </w:p>
    <w:p w14:paraId="51EC875F"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Economic Factors</w:t>
      </w:r>
      <w:r w:rsidRPr="0036435F">
        <w:rPr>
          <w:rFonts w:ascii="Times New Roman" w:eastAsia="Times New Roman" w:hAnsi="Times New Roman" w:cs="Times New Roman"/>
          <w:kern w:val="0"/>
          <w:sz w:val="24"/>
          <w:szCs w:val="24"/>
          <w:lang w:eastAsia="en-GB"/>
          <w14:ligatures w14:val="none"/>
        </w:rPr>
        <w:t xml:space="preserve"> Economic conditions directly affect JLR’s performance, especially as a premium brand. Rising inflation, interest rates and raw material costs increase production expenses. The trucking article notes that rising fuel and operational costs “negatively impact the economies of these businesses” (Torres</w:t>
      </w:r>
      <w:r w:rsidRPr="0036435F">
        <w:rPr>
          <w:rFonts w:ascii="Times New Roman" w:eastAsia="Times New Roman" w:hAnsi="Times New Roman" w:cs="Times New Roman"/>
          <w:kern w:val="0"/>
          <w:sz w:val="24"/>
          <w:szCs w:val="24"/>
          <w:lang w:eastAsia="en-GB"/>
          <w14:ligatures w14:val="none"/>
        </w:rPr>
        <w:noBreakHyphen/>
        <w:t>Nunez et al., 2024), reflecting broader cost pressures across transport</w:t>
      </w:r>
      <w:r w:rsidRPr="0036435F">
        <w:rPr>
          <w:rFonts w:ascii="Times New Roman" w:eastAsia="Times New Roman" w:hAnsi="Times New Roman" w:cs="Times New Roman"/>
          <w:kern w:val="0"/>
          <w:sz w:val="24"/>
          <w:szCs w:val="24"/>
          <w:lang w:eastAsia="en-GB"/>
          <w14:ligatures w14:val="none"/>
        </w:rPr>
        <w:noBreakHyphen/>
        <w:t>related industries. Semiconductor shortages and fluctuating exchange rates have disrupted production and profitability. Economic downturns also reduce consumer spending on luxury goods, making cost control and market diversification essential.</w:t>
      </w:r>
    </w:p>
    <w:p w14:paraId="7A122791"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Social Factors</w:t>
      </w:r>
      <w:r w:rsidRPr="0036435F">
        <w:rPr>
          <w:rFonts w:ascii="Times New Roman" w:eastAsia="Times New Roman" w:hAnsi="Times New Roman" w:cs="Times New Roman"/>
          <w:kern w:val="0"/>
          <w:sz w:val="24"/>
          <w:szCs w:val="24"/>
          <w:lang w:eastAsia="en-GB"/>
          <w14:ligatures w14:val="none"/>
        </w:rPr>
        <w:t xml:space="preserve"> Social trends are shifting towards sustainability, digital experiences and personalised luxury. Workforce concerns around automation are highlighted in the trucking article, noting that “drivers feared losing their jobs” (Torres</w:t>
      </w:r>
      <w:r w:rsidRPr="0036435F">
        <w:rPr>
          <w:rFonts w:ascii="Times New Roman" w:eastAsia="Times New Roman" w:hAnsi="Times New Roman" w:cs="Times New Roman"/>
          <w:kern w:val="0"/>
          <w:sz w:val="24"/>
          <w:szCs w:val="24"/>
          <w:lang w:eastAsia="en-GB"/>
          <w14:ligatures w14:val="none"/>
        </w:rPr>
        <w:noBreakHyphen/>
        <w:t>Nunez et al., 2024). JLR faces similar challenges as it transitions to EV and software</w:t>
      </w:r>
      <w:r w:rsidRPr="0036435F">
        <w:rPr>
          <w:rFonts w:ascii="Times New Roman" w:eastAsia="Times New Roman" w:hAnsi="Times New Roman" w:cs="Times New Roman"/>
          <w:kern w:val="0"/>
          <w:sz w:val="24"/>
          <w:szCs w:val="24"/>
          <w:lang w:eastAsia="en-GB"/>
          <w14:ligatures w14:val="none"/>
        </w:rPr>
        <w:noBreakHyphen/>
        <w:t>based technologies, requiring significant reskilling. Consumers increasingly expect environmentally responsible products, advanced connectivity and seamless digital services. Younger generations are also more open to shared mobility, potentially reducing long</w:t>
      </w:r>
      <w:r w:rsidRPr="0036435F">
        <w:rPr>
          <w:rFonts w:ascii="Times New Roman" w:eastAsia="Times New Roman" w:hAnsi="Times New Roman" w:cs="Times New Roman"/>
          <w:kern w:val="0"/>
          <w:sz w:val="24"/>
          <w:szCs w:val="24"/>
          <w:lang w:eastAsia="en-GB"/>
          <w14:ligatures w14:val="none"/>
        </w:rPr>
        <w:noBreakHyphen/>
        <w:t>term private car ownership.</w:t>
      </w:r>
    </w:p>
    <w:p w14:paraId="2584E0A3"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lastRenderedPageBreak/>
        <w:t>Technological Factors</w:t>
      </w:r>
      <w:r w:rsidRPr="0036435F">
        <w:rPr>
          <w:rFonts w:ascii="Times New Roman" w:eastAsia="Times New Roman" w:hAnsi="Times New Roman" w:cs="Times New Roman"/>
          <w:kern w:val="0"/>
          <w:sz w:val="24"/>
          <w:szCs w:val="24"/>
          <w:lang w:eastAsia="en-GB"/>
          <w14:ligatures w14:val="none"/>
        </w:rPr>
        <w:t xml:space="preserve"> Technology is one of the most disruptive forces affecting JLR. Electrification demands “more advanced skills to operate increasingly high</w:t>
      </w:r>
      <w:r w:rsidRPr="0036435F">
        <w:rPr>
          <w:rFonts w:ascii="Times New Roman" w:eastAsia="Times New Roman" w:hAnsi="Times New Roman" w:cs="Times New Roman"/>
          <w:kern w:val="0"/>
          <w:sz w:val="24"/>
          <w:szCs w:val="24"/>
          <w:lang w:eastAsia="en-GB"/>
          <w14:ligatures w14:val="none"/>
        </w:rPr>
        <w:noBreakHyphen/>
        <w:t>tech trucks” (Torres</w:t>
      </w:r>
      <w:r w:rsidRPr="0036435F">
        <w:rPr>
          <w:rFonts w:ascii="Times New Roman" w:eastAsia="Times New Roman" w:hAnsi="Times New Roman" w:cs="Times New Roman"/>
          <w:kern w:val="0"/>
          <w:sz w:val="24"/>
          <w:szCs w:val="24"/>
          <w:lang w:eastAsia="en-GB"/>
          <w14:ligatures w14:val="none"/>
        </w:rPr>
        <w:noBreakHyphen/>
        <w:t>Nunez et al., 2024), and the same applies to automotive manufacturing. JLR must invest heavily in EV platforms, battery technology, autonomous driving systems and connected services. Dobbs (2014) stresses the importance of structured technological analysis in competitive industries. Tata’s planned UK battery gigafactory is strategically important for securing long</w:t>
      </w:r>
      <w:r w:rsidRPr="0036435F">
        <w:rPr>
          <w:rFonts w:ascii="Times New Roman" w:eastAsia="Times New Roman" w:hAnsi="Times New Roman" w:cs="Times New Roman"/>
          <w:kern w:val="0"/>
          <w:sz w:val="24"/>
          <w:szCs w:val="24"/>
          <w:lang w:eastAsia="en-GB"/>
          <w14:ligatures w14:val="none"/>
        </w:rPr>
        <w:noBreakHyphen/>
        <w:t>term supply. Rapid innovation cycles mean JLR must continually update its technology to remain competitive.</w:t>
      </w:r>
    </w:p>
    <w:p w14:paraId="75AA8389"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Legal Factors</w:t>
      </w:r>
      <w:r w:rsidRPr="0036435F">
        <w:rPr>
          <w:rFonts w:ascii="Times New Roman" w:eastAsia="Times New Roman" w:hAnsi="Times New Roman" w:cs="Times New Roman"/>
          <w:kern w:val="0"/>
          <w:sz w:val="24"/>
          <w:szCs w:val="24"/>
          <w:lang w:eastAsia="en-GB"/>
          <w14:ligatures w14:val="none"/>
        </w:rPr>
        <w:t xml:space="preserve"> JLR must comply with strict safety, emissions and data</w:t>
      </w:r>
      <w:r w:rsidRPr="0036435F">
        <w:rPr>
          <w:rFonts w:ascii="Times New Roman" w:eastAsia="Times New Roman" w:hAnsi="Times New Roman" w:cs="Times New Roman"/>
          <w:kern w:val="0"/>
          <w:sz w:val="24"/>
          <w:szCs w:val="24"/>
          <w:lang w:eastAsia="en-GB"/>
          <w14:ligatures w14:val="none"/>
        </w:rPr>
        <w:noBreakHyphen/>
        <w:t>protection regulations. Updated rules in the trucking industry “showed a reduction in crashes” (Torres</w:t>
      </w:r>
      <w:r w:rsidRPr="0036435F">
        <w:rPr>
          <w:rFonts w:ascii="Times New Roman" w:eastAsia="Times New Roman" w:hAnsi="Times New Roman" w:cs="Times New Roman"/>
          <w:kern w:val="0"/>
          <w:sz w:val="24"/>
          <w:szCs w:val="24"/>
          <w:lang w:eastAsia="en-GB"/>
          <w14:ligatures w14:val="none"/>
        </w:rPr>
        <w:noBreakHyphen/>
        <w:t>Nunez et al., 2024), demonstrating the impact of regulatory change. For JLR, evolving battery safety standards, cybersecurity requirements and emissions legislation require ongoing investment. Failure to comply can lead to fines, recalls and reputational damage.</w:t>
      </w:r>
    </w:p>
    <w:p w14:paraId="2985130F"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Environmental Factors</w:t>
      </w:r>
      <w:r w:rsidRPr="0036435F">
        <w:rPr>
          <w:rFonts w:ascii="Times New Roman" w:eastAsia="Times New Roman" w:hAnsi="Times New Roman" w:cs="Times New Roman"/>
          <w:kern w:val="0"/>
          <w:sz w:val="24"/>
          <w:szCs w:val="24"/>
          <w:lang w:eastAsia="en-GB"/>
          <w14:ligatures w14:val="none"/>
        </w:rPr>
        <w:t xml:space="preserve"> Environmental pressures are central to JLR’s strategy. Transportation is “one of the most significant contributors to greenhouse gas emissions” (Torres</w:t>
      </w:r>
      <w:r w:rsidRPr="0036435F">
        <w:rPr>
          <w:rFonts w:ascii="Times New Roman" w:eastAsia="Times New Roman" w:hAnsi="Times New Roman" w:cs="Times New Roman"/>
          <w:kern w:val="0"/>
          <w:sz w:val="24"/>
          <w:szCs w:val="24"/>
          <w:lang w:eastAsia="en-GB"/>
          <w14:ligatures w14:val="none"/>
        </w:rPr>
        <w:noBreakHyphen/>
        <w:t>Nunez et al., 2024). JLR must reduce lifecycle emissions, adopt sustainable materials and transition to circular manufacturing practices. Climate change also increases supply chain risks, such as extreme weather disrupting logistics. These pressures reinforce the importance of JLR’s Reimagine Strategy.</w:t>
      </w:r>
    </w:p>
    <w:p w14:paraId="7138FCB0" w14:textId="09569AF8"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w:t>
      </w:r>
      <w:r w:rsidR="0036435F" w:rsidRPr="0036435F">
        <w:rPr>
          <w:rFonts w:ascii="Times New Roman" w:eastAsia="Times New Roman" w:hAnsi="Times New Roman" w:cs="Times New Roman"/>
          <w:b/>
          <w:bCs/>
          <w:kern w:val="0"/>
          <w:sz w:val="24"/>
          <w:szCs w:val="24"/>
          <w:lang w:eastAsia="en-GB"/>
          <w14:ligatures w14:val="none"/>
        </w:rPr>
        <w:t>.1.2 Porter’s Five Forces Analysis</w:t>
      </w:r>
    </w:p>
    <w:p w14:paraId="3242EEC3" w14:textId="0CAA2479"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Competitive Rivalry — High</w:t>
      </w:r>
      <w:r w:rsidRPr="0036435F">
        <w:rPr>
          <w:rFonts w:ascii="Times New Roman" w:eastAsia="Times New Roman" w:hAnsi="Times New Roman" w:cs="Times New Roman"/>
          <w:kern w:val="0"/>
          <w:sz w:val="24"/>
          <w:szCs w:val="24"/>
          <w:lang w:eastAsia="en-GB"/>
          <w14:ligatures w14:val="none"/>
        </w:rPr>
        <w:t xml:space="preserve"> JLR faces intense competition from BMW, Mercedes</w:t>
      </w:r>
      <w:r w:rsidRPr="0036435F">
        <w:rPr>
          <w:rFonts w:ascii="Times New Roman" w:eastAsia="Times New Roman" w:hAnsi="Times New Roman" w:cs="Times New Roman"/>
          <w:kern w:val="0"/>
          <w:sz w:val="24"/>
          <w:szCs w:val="24"/>
          <w:lang w:eastAsia="en-GB"/>
          <w14:ligatures w14:val="none"/>
        </w:rPr>
        <w:noBreakHyphen/>
        <w:t>Benz, Audi, Volvo, Lexus, Tesla and emerging Chinese EV brands. High fixed costs, slow market growth and rapid EV innovation intensify rivalry. JLR must differentiate through British luxury, design and advanced EV technology</w:t>
      </w:r>
      <w:r w:rsidR="005746E5">
        <w:rPr>
          <w:rFonts w:ascii="Times New Roman" w:eastAsia="Times New Roman" w:hAnsi="Times New Roman" w:cs="Times New Roman"/>
          <w:kern w:val="0"/>
          <w:sz w:val="24"/>
          <w:szCs w:val="24"/>
          <w:lang w:eastAsia="en-GB"/>
          <w14:ligatures w14:val="none"/>
        </w:rPr>
        <w:t xml:space="preserve"> (MarketLine, 2025).</w:t>
      </w:r>
    </w:p>
    <w:p w14:paraId="6A668232" w14:textId="50C9A128" w:rsidR="005746E5" w:rsidRPr="0036435F" w:rsidRDefault="0036435F" w:rsidP="005746E5">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Buyer Power — High</w:t>
      </w:r>
      <w:r w:rsidRPr="0036435F">
        <w:rPr>
          <w:rFonts w:ascii="Times New Roman" w:eastAsia="Times New Roman" w:hAnsi="Times New Roman" w:cs="Times New Roman"/>
          <w:kern w:val="0"/>
          <w:sz w:val="24"/>
          <w:szCs w:val="24"/>
          <w:lang w:eastAsia="en-GB"/>
          <w14:ligatures w14:val="none"/>
        </w:rPr>
        <w:t xml:space="preserve"> Buyers have strong access to information and can easily compare alternatives. Dobbs (2014) notes that powerful buyers “force down prices and demand better quality/service”. Reliability concerns and strong competition increase buyer expectations. Enhancing quality and customer experience is essential to justify premium pricing</w:t>
      </w:r>
      <w:r w:rsidR="005746E5">
        <w:rPr>
          <w:rFonts w:ascii="Times New Roman" w:eastAsia="Times New Roman" w:hAnsi="Times New Roman" w:cs="Times New Roman"/>
          <w:kern w:val="0"/>
          <w:sz w:val="24"/>
          <w:szCs w:val="24"/>
          <w:lang w:eastAsia="en-GB"/>
          <w14:ligatures w14:val="none"/>
        </w:rPr>
        <w:t xml:space="preserve"> (Dobbs, 2014).</w:t>
      </w:r>
    </w:p>
    <w:p w14:paraId="2B38C30E" w14:textId="35A15AC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lastRenderedPageBreak/>
        <w:t>Supplier Power — High</w:t>
      </w:r>
      <w:r w:rsidRPr="0036435F">
        <w:rPr>
          <w:rFonts w:ascii="Times New Roman" w:eastAsia="Times New Roman" w:hAnsi="Times New Roman" w:cs="Times New Roman"/>
          <w:kern w:val="0"/>
          <w:sz w:val="24"/>
          <w:szCs w:val="24"/>
          <w:lang w:eastAsia="en-GB"/>
          <w14:ligatures w14:val="none"/>
        </w:rPr>
        <w:t xml:space="preserve"> Battery suppliers, semiconductor manufacturers and EV component providers hold significant power. Supply shortages increase dependency. Tata’s battery gigafactory will help reduce this risk by localising supply and improving long</w:t>
      </w:r>
      <w:r w:rsidRPr="0036435F">
        <w:rPr>
          <w:rFonts w:ascii="Times New Roman" w:eastAsia="Times New Roman" w:hAnsi="Times New Roman" w:cs="Times New Roman"/>
          <w:kern w:val="0"/>
          <w:sz w:val="24"/>
          <w:szCs w:val="24"/>
          <w:lang w:eastAsia="en-GB"/>
          <w14:ligatures w14:val="none"/>
        </w:rPr>
        <w:noBreakHyphen/>
        <w:t>term resilience</w:t>
      </w:r>
      <w:r w:rsidR="005746E5">
        <w:rPr>
          <w:rFonts w:ascii="Times New Roman" w:eastAsia="Times New Roman" w:hAnsi="Times New Roman" w:cs="Times New Roman"/>
          <w:kern w:val="0"/>
          <w:sz w:val="24"/>
          <w:szCs w:val="24"/>
          <w:lang w:eastAsia="en-GB"/>
          <w14:ligatures w14:val="none"/>
        </w:rPr>
        <w:t xml:space="preserve"> (MarketLine, 2025).</w:t>
      </w:r>
    </w:p>
    <w:p w14:paraId="3B9FC32F" w14:textId="2E60A74B"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Threat of New Entrants — Moderate</w:t>
      </w:r>
      <w:r w:rsidRPr="0036435F">
        <w:rPr>
          <w:rFonts w:ascii="Times New Roman" w:eastAsia="Times New Roman" w:hAnsi="Times New Roman" w:cs="Times New Roman"/>
          <w:kern w:val="0"/>
          <w:sz w:val="24"/>
          <w:szCs w:val="24"/>
          <w:lang w:eastAsia="en-GB"/>
          <w14:ligatures w14:val="none"/>
        </w:rPr>
        <w:t xml:space="preserve"> Traditional automotive manufacturing has high entry barriers, but EV startups such as Tesla, Rivian, Lucid and BYD bypass many barriers through software</w:t>
      </w:r>
      <w:r w:rsidRPr="0036435F">
        <w:rPr>
          <w:rFonts w:ascii="Times New Roman" w:eastAsia="Times New Roman" w:hAnsi="Times New Roman" w:cs="Times New Roman"/>
          <w:kern w:val="0"/>
          <w:sz w:val="24"/>
          <w:szCs w:val="24"/>
          <w:lang w:eastAsia="en-GB"/>
          <w14:ligatures w14:val="none"/>
        </w:rPr>
        <w:noBreakHyphen/>
        <w:t>driven models. JLR must accelerate digital transformation and EV innovation to remain competitive</w:t>
      </w:r>
      <w:r w:rsidR="000D3202">
        <w:rPr>
          <w:rFonts w:ascii="Times New Roman" w:eastAsia="Times New Roman" w:hAnsi="Times New Roman" w:cs="Times New Roman"/>
          <w:kern w:val="0"/>
          <w:sz w:val="24"/>
          <w:szCs w:val="24"/>
          <w:lang w:eastAsia="en-GB"/>
          <w14:ligatures w14:val="none"/>
        </w:rPr>
        <w:t xml:space="preserve"> (MarketLine, 2025).</w:t>
      </w:r>
    </w:p>
    <w:p w14:paraId="7B0FA668" w14:textId="08C71BB5"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Threat of Substitutes — High</w:t>
      </w:r>
      <w:r w:rsidRPr="0036435F">
        <w:rPr>
          <w:rFonts w:ascii="Times New Roman" w:eastAsia="Times New Roman" w:hAnsi="Times New Roman" w:cs="Times New Roman"/>
          <w:kern w:val="0"/>
          <w:sz w:val="24"/>
          <w:szCs w:val="24"/>
          <w:lang w:eastAsia="en-GB"/>
          <w14:ligatures w14:val="none"/>
        </w:rPr>
        <w:t xml:space="preserve"> Substitutes include public transport, ride</w:t>
      </w:r>
      <w:r w:rsidRPr="0036435F">
        <w:rPr>
          <w:rFonts w:ascii="Times New Roman" w:eastAsia="Times New Roman" w:hAnsi="Times New Roman" w:cs="Times New Roman"/>
          <w:kern w:val="0"/>
          <w:sz w:val="24"/>
          <w:szCs w:val="24"/>
          <w:lang w:eastAsia="en-GB"/>
          <w14:ligatures w14:val="none"/>
        </w:rPr>
        <w:noBreakHyphen/>
        <w:t>sharing, mobility subscriptions and non</w:t>
      </w:r>
      <w:r w:rsidRPr="0036435F">
        <w:rPr>
          <w:rFonts w:ascii="Times New Roman" w:eastAsia="Times New Roman" w:hAnsi="Times New Roman" w:cs="Times New Roman"/>
          <w:kern w:val="0"/>
          <w:sz w:val="24"/>
          <w:szCs w:val="24"/>
          <w:lang w:eastAsia="en-GB"/>
          <w14:ligatures w14:val="none"/>
        </w:rPr>
        <w:noBreakHyphen/>
        <w:t>luxury EVs offering similar performance. Strengthening brand loyalty and offering premium digital services are essential to mitigate this threat</w:t>
      </w:r>
      <w:r w:rsidR="000D3202">
        <w:rPr>
          <w:rFonts w:ascii="Times New Roman" w:eastAsia="Times New Roman" w:hAnsi="Times New Roman" w:cs="Times New Roman"/>
          <w:kern w:val="0"/>
          <w:sz w:val="24"/>
          <w:szCs w:val="24"/>
          <w:lang w:eastAsia="en-GB"/>
          <w14:ligatures w14:val="none"/>
        </w:rPr>
        <w:t xml:space="preserve"> (MarketLine ,2025).</w:t>
      </w:r>
    </w:p>
    <w:p w14:paraId="226FD6CC" w14:textId="0BC4FC7A"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4</w:t>
      </w:r>
      <w:r w:rsidR="0036435F" w:rsidRPr="0036435F">
        <w:rPr>
          <w:rFonts w:ascii="Times New Roman" w:eastAsia="Times New Roman" w:hAnsi="Times New Roman" w:cs="Times New Roman"/>
          <w:b/>
          <w:bCs/>
          <w:kern w:val="36"/>
          <w:sz w:val="36"/>
          <w:szCs w:val="36"/>
          <w:lang w:eastAsia="en-GB"/>
          <w14:ligatures w14:val="none"/>
        </w:rPr>
        <w:t>. Internal Environment Audit</w:t>
      </w:r>
    </w:p>
    <w:p w14:paraId="3790230E" w14:textId="3DC935C4"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w:t>
      </w:r>
      <w:r w:rsidR="0036435F" w:rsidRPr="0036435F">
        <w:rPr>
          <w:rFonts w:ascii="Times New Roman" w:eastAsia="Times New Roman" w:hAnsi="Times New Roman" w:cs="Times New Roman"/>
          <w:b/>
          <w:bCs/>
          <w:kern w:val="0"/>
          <w:sz w:val="24"/>
          <w:szCs w:val="24"/>
          <w:lang w:eastAsia="en-GB"/>
          <w14:ligatures w14:val="none"/>
        </w:rPr>
        <w:t>.1 Resource</w:t>
      </w:r>
      <w:r w:rsidR="0036435F" w:rsidRPr="0036435F">
        <w:rPr>
          <w:rFonts w:ascii="Times New Roman" w:eastAsia="Times New Roman" w:hAnsi="Times New Roman" w:cs="Times New Roman"/>
          <w:b/>
          <w:bCs/>
          <w:kern w:val="0"/>
          <w:sz w:val="24"/>
          <w:szCs w:val="24"/>
          <w:lang w:eastAsia="en-GB"/>
          <w14:ligatures w14:val="none"/>
        </w:rPr>
        <w:noBreakHyphen/>
        <w:t>Based View (RBV)</w:t>
      </w:r>
    </w:p>
    <w:p w14:paraId="2F9DACD9" w14:textId="3341315A"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JLR possesses several valuable resources, including strong brand heritage, luxury design capability and the financial backing of Tata Group</w:t>
      </w:r>
      <w:r w:rsidR="005746E5">
        <w:rPr>
          <w:rFonts w:ascii="Times New Roman" w:eastAsia="Times New Roman" w:hAnsi="Times New Roman" w:cs="Times New Roman"/>
          <w:kern w:val="0"/>
          <w:sz w:val="24"/>
          <w:szCs w:val="24"/>
          <w:lang w:eastAsia="en-GB"/>
          <w14:ligatures w14:val="none"/>
        </w:rPr>
        <w:t xml:space="preserve">. </w:t>
      </w:r>
      <w:r w:rsidRPr="0036435F">
        <w:rPr>
          <w:rFonts w:ascii="Times New Roman" w:eastAsia="Times New Roman" w:hAnsi="Times New Roman" w:cs="Times New Roman"/>
          <w:kern w:val="0"/>
          <w:sz w:val="24"/>
          <w:szCs w:val="24"/>
          <w:lang w:eastAsia="en-GB"/>
          <w14:ligatures w14:val="none"/>
        </w:rPr>
        <w:t>These resources support differentiation in the premium market. However, legacy combustion platforms and historical reliability issues weaken competitiveness in an EV</w:t>
      </w:r>
      <w:r w:rsidRPr="0036435F">
        <w:rPr>
          <w:rFonts w:ascii="Times New Roman" w:eastAsia="Times New Roman" w:hAnsi="Times New Roman" w:cs="Times New Roman"/>
          <w:kern w:val="0"/>
          <w:sz w:val="24"/>
          <w:szCs w:val="24"/>
          <w:lang w:eastAsia="en-GB"/>
          <w14:ligatures w14:val="none"/>
        </w:rPr>
        <w:noBreakHyphen/>
        <w:t>driven environment</w:t>
      </w:r>
      <w:r w:rsidR="005746E5">
        <w:rPr>
          <w:rFonts w:ascii="Times New Roman" w:eastAsia="Times New Roman" w:hAnsi="Times New Roman" w:cs="Times New Roman"/>
          <w:kern w:val="0"/>
          <w:sz w:val="24"/>
          <w:szCs w:val="24"/>
          <w:lang w:eastAsia="en-GB"/>
          <w14:ligatures w14:val="none"/>
        </w:rPr>
        <w:t xml:space="preserve"> </w:t>
      </w:r>
      <w:r w:rsidR="005746E5">
        <w:rPr>
          <w:rFonts w:ascii="Times New Roman" w:eastAsia="Times New Roman" w:hAnsi="Times New Roman" w:cs="Times New Roman"/>
          <w:kern w:val="0"/>
          <w:sz w:val="24"/>
          <w:szCs w:val="24"/>
          <w:lang w:eastAsia="en-GB"/>
          <w14:ligatures w14:val="none"/>
        </w:rPr>
        <w:t>(MarketLine, 2025)</w:t>
      </w:r>
      <w:r w:rsidR="005746E5" w:rsidRPr="0036435F">
        <w:rPr>
          <w:rFonts w:ascii="Times New Roman" w:eastAsia="Times New Roman" w:hAnsi="Times New Roman" w:cs="Times New Roman"/>
          <w:kern w:val="0"/>
          <w:sz w:val="24"/>
          <w:szCs w:val="24"/>
          <w:lang w:eastAsia="en-GB"/>
          <w14:ligatures w14:val="none"/>
        </w:rPr>
        <w:t xml:space="preserve">. </w:t>
      </w:r>
    </w:p>
    <w:p w14:paraId="4EFCD5BA" w14:textId="56C057A2"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w:t>
      </w:r>
      <w:r w:rsidR="0036435F" w:rsidRPr="0036435F">
        <w:rPr>
          <w:rFonts w:ascii="Times New Roman" w:eastAsia="Times New Roman" w:hAnsi="Times New Roman" w:cs="Times New Roman"/>
          <w:b/>
          <w:bCs/>
          <w:kern w:val="0"/>
          <w:sz w:val="24"/>
          <w:szCs w:val="24"/>
          <w:lang w:eastAsia="en-GB"/>
          <w14:ligatures w14:val="none"/>
        </w:rPr>
        <w:t>.2 VRIO Analysis</w:t>
      </w:r>
    </w:p>
    <w:p w14:paraId="54A012B1" w14:textId="6067D148"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Brand heritage is valuable, rare and difficult to imitate, giving JLR a sustained competitive advantage</w:t>
      </w:r>
      <w:r w:rsidR="005746E5">
        <w:rPr>
          <w:rFonts w:ascii="Times New Roman" w:eastAsia="Times New Roman" w:hAnsi="Times New Roman" w:cs="Times New Roman"/>
          <w:kern w:val="0"/>
          <w:sz w:val="24"/>
          <w:szCs w:val="24"/>
          <w:lang w:eastAsia="en-GB"/>
          <w14:ligatures w14:val="none"/>
        </w:rPr>
        <w:t xml:space="preserve">, </w:t>
      </w:r>
      <w:r w:rsidR="005746E5" w:rsidRPr="005746E5">
        <w:rPr>
          <w:rFonts w:ascii="Times New Roman" w:hAnsi="Times New Roman" w:cs="Times New Roman"/>
          <w:sz w:val="24"/>
          <w:szCs w:val="24"/>
        </w:rPr>
        <w:t xml:space="preserve">which aligns with the characteristics outlined by </w:t>
      </w:r>
      <w:r w:rsidR="005746E5" w:rsidRPr="005746E5">
        <w:rPr>
          <w:rStyle w:val="Strong"/>
          <w:rFonts w:ascii="Times New Roman" w:hAnsi="Times New Roman" w:cs="Times New Roman"/>
          <w:b w:val="0"/>
          <w:bCs w:val="0"/>
          <w:sz w:val="24"/>
          <w:szCs w:val="24"/>
        </w:rPr>
        <w:t>Barney (1991)</w:t>
      </w:r>
      <w:r w:rsidR="005746E5">
        <w:rPr>
          <w:rStyle w:val="Strong"/>
          <w:rFonts w:ascii="Times New Roman" w:hAnsi="Times New Roman" w:cs="Times New Roman"/>
          <w:b w:val="0"/>
          <w:bCs w:val="0"/>
          <w:sz w:val="24"/>
          <w:szCs w:val="24"/>
        </w:rPr>
        <w:t>.</w:t>
      </w:r>
      <w:r w:rsidRPr="0036435F">
        <w:rPr>
          <w:rFonts w:ascii="Times New Roman" w:eastAsia="Times New Roman" w:hAnsi="Times New Roman" w:cs="Times New Roman"/>
          <w:kern w:val="0"/>
          <w:sz w:val="24"/>
          <w:szCs w:val="24"/>
          <w:lang w:eastAsia="en-GB"/>
          <w14:ligatures w14:val="none"/>
        </w:rPr>
        <w:t xml:space="preserve"> Design capability is also valuable and rare, supporting differentiation. However, EV technology and software capability, while valuable, are neither rare nor inimitable, offering only temporary advantages. Supply chain resilience remains an area of competitive parity rather than advantage</w:t>
      </w:r>
      <w:r w:rsidR="005746E5">
        <w:rPr>
          <w:rFonts w:ascii="Times New Roman" w:eastAsia="Times New Roman" w:hAnsi="Times New Roman" w:cs="Times New Roman"/>
          <w:kern w:val="0"/>
          <w:sz w:val="24"/>
          <w:szCs w:val="24"/>
          <w:lang w:eastAsia="en-GB"/>
          <w14:ligatures w14:val="none"/>
        </w:rPr>
        <w:t xml:space="preserve"> </w:t>
      </w:r>
      <w:r w:rsidR="005746E5" w:rsidRPr="005746E5">
        <w:rPr>
          <w:rStyle w:val="Strong"/>
          <w:rFonts w:ascii="Times New Roman" w:hAnsi="Times New Roman" w:cs="Times New Roman"/>
          <w:b w:val="0"/>
          <w:bCs w:val="0"/>
          <w:sz w:val="24"/>
          <w:szCs w:val="24"/>
        </w:rPr>
        <w:t>(Barney, 1991)</w:t>
      </w:r>
      <w:r w:rsidRPr="0036435F">
        <w:rPr>
          <w:rFonts w:ascii="Times New Roman" w:eastAsia="Times New Roman" w:hAnsi="Times New Roman" w:cs="Times New Roman"/>
          <w:b/>
          <w:bCs/>
          <w:kern w:val="0"/>
          <w:sz w:val="24"/>
          <w:szCs w:val="24"/>
          <w:lang w:eastAsia="en-GB"/>
          <w14:ligatures w14:val="none"/>
        </w:rPr>
        <w:t>.</w:t>
      </w:r>
    </w:p>
    <w:p w14:paraId="1BF9ED24" w14:textId="040D1FA9" w:rsidR="0036435F" w:rsidRPr="0036435F" w:rsidRDefault="0056283F" w:rsidP="0036435F">
      <w:pPr>
        <w:spacing w:before="100" w:beforeAutospacing="1" w:after="100" w:afterAutospacing="1"/>
        <w:jc w:val="both"/>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w:t>
      </w:r>
      <w:r w:rsidR="0036435F" w:rsidRPr="0036435F">
        <w:rPr>
          <w:rFonts w:ascii="Times New Roman" w:eastAsia="Times New Roman" w:hAnsi="Times New Roman" w:cs="Times New Roman"/>
          <w:b/>
          <w:bCs/>
          <w:kern w:val="0"/>
          <w:sz w:val="24"/>
          <w:szCs w:val="24"/>
          <w:lang w:eastAsia="en-GB"/>
          <w14:ligatures w14:val="none"/>
        </w:rPr>
        <w:t>.3 Value Chain Analysis</w:t>
      </w:r>
    </w:p>
    <w:p w14:paraId="5E0B3393" w14:textId="059DF339"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lastRenderedPageBreak/>
        <w:t>JLR’s operations demonstrate strong design and manufacturing capability, but high production costs and supply chain vulnerabilities remain challenges. Technology development is increasingly focused on EVs and autonomous systems, while HR management must support large</w:t>
      </w:r>
      <w:r w:rsidRPr="0036435F">
        <w:rPr>
          <w:rFonts w:ascii="Times New Roman" w:eastAsia="Times New Roman" w:hAnsi="Times New Roman" w:cs="Times New Roman"/>
          <w:kern w:val="0"/>
          <w:sz w:val="24"/>
          <w:szCs w:val="24"/>
          <w:lang w:eastAsia="en-GB"/>
          <w14:ligatures w14:val="none"/>
        </w:rPr>
        <w:noBreakHyphen/>
        <w:t>scale reskilling for digital and EV competencies</w:t>
      </w:r>
      <w:r w:rsidR="000D3202">
        <w:rPr>
          <w:rFonts w:ascii="Times New Roman" w:eastAsia="Times New Roman" w:hAnsi="Times New Roman" w:cs="Times New Roman"/>
          <w:kern w:val="0"/>
          <w:sz w:val="24"/>
          <w:szCs w:val="24"/>
          <w:lang w:eastAsia="en-GB"/>
          <w14:ligatures w14:val="none"/>
        </w:rPr>
        <w:t xml:space="preserve"> (MarketLine,2025).</w:t>
      </w:r>
    </w:p>
    <w:p w14:paraId="6EC682C3" w14:textId="458DFE0A"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5</w:t>
      </w:r>
      <w:r w:rsidR="0036435F" w:rsidRPr="0036435F">
        <w:rPr>
          <w:rFonts w:ascii="Times New Roman" w:eastAsia="Times New Roman" w:hAnsi="Times New Roman" w:cs="Times New Roman"/>
          <w:b/>
          <w:bCs/>
          <w:kern w:val="36"/>
          <w:sz w:val="36"/>
          <w:szCs w:val="36"/>
          <w:lang w:eastAsia="en-GB"/>
          <w14:ligatures w14:val="none"/>
        </w:rPr>
        <w:t xml:space="preserve">. SWOT Analysis </w:t>
      </w:r>
    </w:p>
    <w:p w14:paraId="5093766A" w14:textId="6F97169F"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 xml:space="preserve">A SWOT analysis integrates the findings from the </w:t>
      </w:r>
      <w:proofErr w:type="gramStart"/>
      <w:r w:rsidRPr="0036435F">
        <w:rPr>
          <w:rFonts w:ascii="Times New Roman" w:eastAsia="Times New Roman" w:hAnsi="Times New Roman" w:cs="Times New Roman"/>
          <w:kern w:val="0"/>
          <w:sz w:val="24"/>
          <w:szCs w:val="24"/>
          <w:lang w:eastAsia="en-GB"/>
          <w14:ligatures w14:val="none"/>
        </w:rPr>
        <w:t>PESTLE,</w:t>
      </w:r>
      <w:proofErr w:type="gramEnd"/>
      <w:r w:rsidRPr="0036435F">
        <w:rPr>
          <w:rFonts w:ascii="Times New Roman" w:eastAsia="Times New Roman" w:hAnsi="Times New Roman" w:cs="Times New Roman"/>
          <w:kern w:val="0"/>
          <w:sz w:val="24"/>
          <w:szCs w:val="24"/>
          <w:lang w:eastAsia="en-GB"/>
          <w14:ligatures w14:val="none"/>
        </w:rPr>
        <w:t xml:space="preserve"> Five Forces and internal audits to identify the key strategic issues facing Jaguar Land Rover (JLR). JLR’s strengths lie primarily in its strong luxury brand heritage and the global recognition of the Jaguar and Land Rover marques. These brands are associated with British craftsmanship, prestige and off</w:t>
      </w:r>
      <w:r w:rsidRPr="0036435F">
        <w:rPr>
          <w:rFonts w:ascii="Times New Roman" w:eastAsia="Times New Roman" w:hAnsi="Times New Roman" w:cs="Times New Roman"/>
          <w:kern w:val="0"/>
          <w:sz w:val="24"/>
          <w:szCs w:val="24"/>
          <w:lang w:eastAsia="en-GB"/>
          <w14:ligatures w14:val="none"/>
        </w:rPr>
        <w:noBreakHyphen/>
        <w:t>road capability, offering a rare and difficult</w:t>
      </w:r>
      <w:r w:rsidRPr="0036435F">
        <w:rPr>
          <w:rFonts w:ascii="Times New Roman" w:eastAsia="Times New Roman" w:hAnsi="Times New Roman" w:cs="Times New Roman"/>
          <w:kern w:val="0"/>
          <w:sz w:val="24"/>
          <w:szCs w:val="24"/>
          <w:lang w:eastAsia="en-GB"/>
          <w14:ligatures w14:val="none"/>
        </w:rPr>
        <w:noBreakHyphen/>
        <w:t>to</w:t>
      </w:r>
      <w:r w:rsidRPr="0036435F">
        <w:rPr>
          <w:rFonts w:ascii="Times New Roman" w:eastAsia="Times New Roman" w:hAnsi="Times New Roman" w:cs="Times New Roman"/>
          <w:kern w:val="0"/>
          <w:sz w:val="24"/>
          <w:szCs w:val="24"/>
          <w:lang w:eastAsia="en-GB"/>
          <w14:ligatures w14:val="none"/>
        </w:rPr>
        <w:noBreakHyphen/>
        <w:t>imitate advantage that aligns with the Resource</w:t>
      </w:r>
      <w:r w:rsidRPr="0036435F">
        <w:rPr>
          <w:rFonts w:ascii="Times New Roman" w:eastAsia="Times New Roman" w:hAnsi="Times New Roman" w:cs="Times New Roman"/>
          <w:kern w:val="0"/>
          <w:sz w:val="24"/>
          <w:szCs w:val="24"/>
          <w:lang w:eastAsia="en-GB"/>
          <w14:ligatures w14:val="none"/>
        </w:rPr>
        <w:noBreakHyphen/>
        <w:t>Based View of sustained competitive advantage</w:t>
      </w:r>
      <w:r w:rsidR="000D3202">
        <w:rPr>
          <w:rFonts w:ascii="Times New Roman" w:eastAsia="Times New Roman" w:hAnsi="Times New Roman" w:cs="Times New Roman"/>
          <w:kern w:val="0"/>
          <w:sz w:val="24"/>
          <w:szCs w:val="24"/>
          <w:lang w:eastAsia="en-GB"/>
          <w14:ligatures w14:val="none"/>
        </w:rPr>
        <w:t xml:space="preserve"> (Barne,1991)</w:t>
      </w:r>
      <w:r w:rsidRPr="0036435F">
        <w:rPr>
          <w:rFonts w:ascii="Times New Roman" w:eastAsia="Times New Roman" w:hAnsi="Times New Roman" w:cs="Times New Roman"/>
          <w:kern w:val="0"/>
          <w:sz w:val="24"/>
          <w:szCs w:val="24"/>
          <w:lang w:eastAsia="en-GB"/>
          <w14:ligatures w14:val="none"/>
        </w:rPr>
        <w:t>. Another significant strength is the financial backing of Tata Group, which provides long</w:t>
      </w:r>
      <w:r w:rsidRPr="0036435F">
        <w:rPr>
          <w:rFonts w:ascii="Times New Roman" w:eastAsia="Times New Roman" w:hAnsi="Times New Roman" w:cs="Times New Roman"/>
          <w:kern w:val="0"/>
          <w:sz w:val="24"/>
          <w:szCs w:val="24"/>
          <w:lang w:eastAsia="en-GB"/>
          <w14:ligatures w14:val="none"/>
        </w:rPr>
        <w:noBreakHyphen/>
        <w:t xml:space="preserve">term investment capacity and stability—an essential factor given the high capital requirements of electrification. JLR’s growing electrified product portfolio, supported by its Reimagine Strategy, also positions the company to respond to tightening environmental regulations. Furthermore, its global market presence across China, Europe and the Middle East </w:t>
      </w:r>
      <w:proofErr w:type="gramStart"/>
      <w:r w:rsidRPr="0036435F">
        <w:rPr>
          <w:rFonts w:ascii="Times New Roman" w:eastAsia="Times New Roman" w:hAnsi="Times New Roman" w:cs="Times New Roman"/>
          <w:kern w:val="0"/>
          <w:sz w:val="24"/>
          <w:szCs w:val="24"/>
          <w:lang w:eastAsia="en-GB"/>
          <w14:ligatures w14:val="none"/>
        </w:rPr>
        <w:t>provides</w:t>
      </w:r>
      <w:proofErr w:type="gramEnd"/>
      <w:r w:rsidRPr="0036435F">
        <w:rPr>
          <w:rFonts w:ascii="Times New Roman" w:eastAsia="Times New Roman" w:hAnsi="Times New Roman" w:cs="Times New Roman"/>
          <w:kern w:val="0"/>
          <w:sz w:val="24"/>
          <w:szCs w:val="24"/>
          <w:lang w:eastAsia="en-GB"/>
          <w14:ligatures w14:val="none"/>
        </w:rPr>
        <w:t xml:space="preserve"> diversification and resilience against regional economic fluctuations</w:t>
      </w:r>
      <w:r w:rsidR="000D3202">
        <w:rPr>
          <w:rFonts w:ascii="Times New Roman" w:eastAsia="Times New Roman" w:hAnsi="Times New Roman" w:cs="Times New Roman"/>
          <w:kern w:val="0"/>
          <w:sz w:val="24"/>
          <w:szCs w:val="24"/>
          <w:lang w:eastAsia="en-GB"/>
          <w14:ligatures w14:val="none"/>
        </w:rPr>
        <w:t xml:space="preserve"> (MarketLine, 2025).</w:t>
      </w:r>
    </w:p>
    <w:p w14:paraId="443298D9"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Despite these strengths, JLR faces several weaknesses that constrain its competitiveness. Long</w:t>
      </w:r>
      <w:r w:rsidRPr="0036435F">
        <w:rPr>
          <w:rFonts w:ascii="Times New Roman" w:eastAsia="Times New Roman" w:hAnsi="Times New Roman" w:cs="Times New Roman"/>
          <w:kern w:val="0"/>
          <w:sz w:val="24"/>
          <w:szCs w:val="24"/>
          <w:lang w:eastAsia="en-GB"/>
          <w14:ligatures w14:val="none"/>
        </w:rPr>
        <w:noBreakHyphen/>
        <w:t>standing reliability concerns continue to affect customer satisfaction and loyalty, particularly in a premium market where buyer expectations and bargaining power are high. High production costs, largely due to UK</w:t>
      </w:r>
      <w:r w:rsidRPr="0036435F">
        <w:rPr>
          <w:rFonts w:ascii="Times New Roman" w:eastAsia="Times New Roman" w:hAnsi="Times New Roman" w:cs="Times New Roman"/>
          <w:kern w:val="0"/>
          <w:sz w:val="24"/>
          <w:szCs w:val="24"/>
          <w:lang w:eastAsia="en-GB"/>
          <w14:ligatures w14:val="none"/>
        </w:rPr>
        <w:noBreakHyphen/>
        <w:t>based manufacturing, further reduce efficiency compared with competitors operating in lower</w:t>
      </w:r>
      <w:r w:rsidRPr="0036435F">
        <w:rPr>
          <w:rFonts w:ascii="Times New Roman" w:eastAsia="Times New Roman" w:hAnsi="Times New Roman" w:cs="Times New Roman"/>
          <w:kern w:val="0"/>
          <w:sz w:val="24"/>
          <w:szCs w:val="24"/>
          <w:lang w:eastAsia="en-GB"/>
          <w14:ligatures w14:val="none"/>
        </w:rPr>
        <w:noBreakHyphen/>
        <w:t>cost regions. JLR has also been slower than key rivals such as Tesla, BMW and Mercedes in advancing EV range, charging infrastructure and software capability, which increases competitive pressure in a rapidly evolving market. Additionally, supply chain vulnerabilities—especially in semiconductors and batteries—have disrupted production, reflecting similar pressures identified in the trucking industry where rising input costs “negatively impact the economies of these businesses” (Torres</w:t>
      </w:r>
      <w:r w:rsidRPr="0036435F">
        <w:rPr>
          <w:rFonts w:ascii="Times New Roman" w:eastAsia="Times New Roman" w:hAnsi="Times New Roman" w:cs="Times New Roman"/>
          <w:kern w:val="0"/>
          <w:sz w:val="24"/>
          <w:szCs w:val="24"/>
          <w:lang w:eastAsia="en-GB"/>
          <w14:ligatures w14:val="none"/>
        </w:rPr>
        <w:noBreakHyphen/>
        <w:t>Nunez et al., 2024).</w:t>
      </w:r>
    </w:p>
    <w:p w14:paraId="641E9C97"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 xml:space="preserve">JLR also has several opportunities to strengthen its strategic position. Global demand for luxury electric vehicles is rising, driven by environmental awareness and regulatory </w:t>
      </w:r>
      <w:r w:rsidRPr="0036435F">
        <w:rPr>
          <w:rFonts w:ascii="Times New Roman" w:eastAsia="Times New Roman" w:hAnsi="Times New Roman" w:cs="Times New Roman"/>
          <w:kern w:val="0"/>
          <w:sz w:val="24"/>
          <w:szCs w:val="24"/>
          <w:lang w:eastAsia="en-GB"/>
          <w14:ligatures w14:val="none"/>
        </w:rPr>
        <w:lastRenderedPageBreak/>
        <w:t>incentives, creating favourable conditions for JLR to reposition Jaguar as a high</w:t>
      </w:r>
      <w:r w:rsidRPr="0036435F">
        <w:rPr>
          <w:rFonts w:ascii="Times New Roman" w:eastAsia="Times New Roman" w:hAnsi="Times New Roman" w:cs="Times New Roman"/>
          <w:kern w:val="0"/>
          <w:sz w:val="24"/>
          <w:szCs w:val="24"/>
          <w:lang w:eastAsia="en-GB"/>
          <w14:ligatures w14:val="none"/>
        </w:rPr>
        <w:noBreakHyphen/>
        <w:t>end electric brand. The development of Tata’s UK battery gigafactory presents another opportunity by reducing supplier power, improving cost efficiency and enhancing long</w:t>
      </w:r>
      <w:r w:rsidRPr="0036435F">
        <w:rPr>
          <w:rFonts w:ascii="Times New Roman" w:eastAsia="Times New Roman" w:hAnsi="Times New Roman" w:cs="Times New Roman"/>
          <w:kern w:val="0"/>
          <w:sz w:val="24"/>
          <w:szCs w:val="24"/>
          <w:lang w:eastAsia="en-GB"/>
          <w14:ligatures w14:val="none"/>
        </w:rPr>
        <w:noBreakHyphen/>
        <w:t>term EV competitiveness. Growth markets such as China and the Middle East continue to show strong demand for premium SUVs, aligning well with JLR’s product portfolio. Advances in autonomous and connected vehicle technologies also offer opportunities for differentiation, particularly as electrification and automation require “more advanced skills to operate increasingly high</w:t>
      </w:r>
      <w:r w:rsidRPr="0036435F">
        <w:rPr>
          <w:rFonts w:ascii="Times New Roman" w:eastAsia="Times New Roman" w:hAnsi="Times New Roman" w:cs="Times New Roman"/>
          <w:kern w:val="0"/>
          <w:sz w:val="24"/>
          <w:szCs w:val="24"/>
          <w:lang w:eastAsia="en-GB"/>
          <w14:ligatures w14:val="none"/>
        </w:rPr>
        <w:noBreakHyphen/>
        <w:t>tech” vehicles (Torres</w:t>
      </w:r>
      <w:r w:rsidRPr="0036435F">
        <w:rPr>
          <w:rFonts w:ascii="Times New Roman" w:eastAsia="Times New Roman" w:hAnsi="Times New Roman" w:cs="Times New Roman"/>
          <w:kern w:val="0"/>
          <w:sz w:val="24"/>
          <w:szCs w:val="24"/>
          <w:lang w:eastAsia="en-GB"/>
          <w14:ligatures w14:val="none"/>
        </w:rPr>
        <w:noBreakHyphen/>
        <w:t>Nunez et al., 2024).</w:t>
      </w:r>
    </w:p>
    <w:p w14:paraId="056A2BF2" w14:textId="794824F8"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However, JLR must also navigate several threats. Competitive rivalry remains intense, with established premium brands and emerging EV</w:t>
      </w:r>
      <w:r w:rsidRPr="0036435F">
        <w:rPr>
          <w:rFonts w:ascii="Times New Roman" w:eastAsia="Times New Roman" w:hAnsi="Times New Roman" w:cs="Times New Roman"/>
          <w:kern w:val="0"/>
          <w:sz w:val="24"/>
          <w:szCs w:val="24"/>
          <w:lang w:eastAsia="en-GB"/>
          <w14:ligatures w14:val="none"/>
        </w:rPr>
        <w:noBreakHyphen/>
        <w:t>focused disruptors such as Tesla, Rivian and BYD reshaping market expectations. Increasing regulatory pressure on emissions and sustainability presents further challenges, particularly as transportation remains “one of the most significant contributors to greenhouse gas emissions” (Torres</w:t>
      </w:r>
      <w:r w:rsidRPr="0036435F">
        <w:rPr>
          <w:rFonts w:ascii="Times New Roman" w:eastAsia="Times New Roman" w:hAnsi="Times New Roman" w:cs="Times New Roman"/>
          <w:kern w:val="0"/>
          <w:sz w:val="24"/>
          <w:szCs w:val="24"/>
          <w:lang w:eastAsia="en-GB"/>
          <w14:ligatures w14:val="none"/>
        </w:rPr>
        <w:noBreakHyphen/>
        <w:t>Nunez et al., 2024). Economic uncertainty, including inflation and rising interest rates, may reduce consumer willingness to purchase high</w:t>
      </w:r>
      <w:r w:rsidRPr="0036435F">
        <w:rPr>
          <w:rFonts w:ascii="Times New Roman" w:eastAsia="Times New Roman" w:hAnsi="Times New Roman" w:cs="Times New Roman"/>
          <w:kern w:val="0"/>
          <w:sz w:val="24"/>
          <w:szCs w:val="24"/>
          <w:lang w:eastAsia="en-GB"/>
          <w14:ligatures w14:val="none"/>
        </w:rPr>
        <w:noBreakHyphen/>
        <w:t>value vehicles, affecting demand in the luxury segment. Finally, rapid technological disruption—especially in software, battery innovation and autonomous systems—poses a threat if JLR cannot keep pace with more agile, technology</w:t>
      </w:r>
      <w:r w:rsidRPr="0036435F">
        <w:rPr>
          <w:rFonts w:ascii="Times New Roman" w:eastAsia="Times New Roman" w:hAnsi="Times New Roman" w:cs="Times New Roman"/>
          <w:kern w:val="0"/>
          <w:sz w:val="24"/>
          <w:szCs w:val="24"/>
          <w:lang w:eastAsia="en-GB"/>
          <w14:ligatures w14:val="none"/>
        </w:rPr>
        <w:noBreakHyphen/>
        <w:t>driven competitors</w:t>
      </w:r>
      <w:r w:rsidR="000D3202">
        <w:rPr>
          <w:rFonts w:ascii="Times New Roman" w:eastAsia="Times New Roman" w:hAnsi="Times New Roman" w:cs="Times New Roman"/>
          <w:kern w:val="0"/>
          <w:sz w:val="24"/>
          <w:szCs w:val="24"/>
          <w:lang w:eastAsia="en-GB"/>
          <w14:ligatures w14:val="none"/>
        </w:rPr>
        <w:t xml:space="preserve"> (MarketLine, 2025).</w:t>
      </w:r>
    </w:p>
    <w:p w14:paraId="55248348" w14:textId="57F3276D"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6</w:t>
      </w:r>
      <w:r w:rsidR="0036435F" w:rsidRPr="0036435F">
        <w:rPr>
          <w:rFonts w:ascii="Times New Roman" w:eastAsia="Times New Roman" w:hAnsi="Times New Roman" w:cs="Times New Roman"/>
          <w:b/>
          <w:bCs/>
          <w:kern w:val="36"/>
          <w:sz w:val="36"/>
          <w:szCs w:val="36"/>
          <w:lang w:eastAsia="en-GB"/>
          <w14:ligatures w14:val="none"/>
        </w:rPr>
        <w:t>. Strategy Formulation</w:t>
      </w:r>
    </w:p>
    <w:p w14:paraId="74CD4CFA"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Based on the analysis, JLR should consider three strategic alternatives to strengthen its competitive position and ensure long</w:t>
      </w:r>
      <w:r w:rsidRPr="0036435F">
        <w:rPr>
          <w:rFonts w:ascii="Times New Roman" w:eastAsia="Times New Roman" w:hAnsi="Times New Roman" w:cs="Times New Roman"/>
          <w:kern w:val="0"/>
          <w:sz w:val="24"/>
          <w:szCs w:val="24"/>
          <w:lang w:eastAsia="en-GB"/>
          <w14:ligatures w14:val="none"/>
        </w:rPr>
        <w:noBreakHyphen/>
        <w:t>term sustainable growth.</w:t>
      </w:r>
    </w:p>
    <w:p w14:paraId="030EFB46"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1. Accelerate Electrification Through Focused Platform Investment</w:t>
      </w:r>
      <w:r w:rsidRPr="0036435F">
        <w:rPr>
          <w:rFonts w:ascii="Times New Roman" w:eastAsia="Times New Roman" w:hAnsi="Times New Roman" w:cs="Times New Roman"/>
          <w:kern w:val="0"/>
          <w:sz w:val="24"/>
          <w:szCs w:val="24"/>
          <w:lang w:eastAsia="en-GB"/>
          <w14:ligatures w14:val="none"/>
        </w:rPr>
        <w:t xml:space="preserve"> JLR should prioritise rapid development of its EV platforms to close the gap with competitors. Strengthening EV capabilities responds to tightening environmental regulations and rising consumer demand. Investment in the EMA and MLA platforms would enable economies of scale, improved battery efficiency and faster time</w:t>
      </w:r>
      <w:r w:rsidRPr="0036435F">
        <w:rPr>
          <w:rFonts w:ascii="Times New Roman" w:eastAsia="Times New Roman" w:hAnsi="Times New Roman" w:cs="Times New Roman"/>
          <w:kern w:val="0"/>
          <w:sz w:val="24"/>
          <w:szCs w:val="24"/>
          <w:lang w:eastAsia="en-GB"/>
          <w14:ligatures w14:val="none"/>
        </w:rPr>
        <w:noBreakHyphen/>
        <w:t>to</w:t>
      </w:r>
      <w:r w:rsidRPr="0036435F">
        <w:rPr>
          <w:rFonts w:ascii="Times New Roman" w:eastAsia="Times New Roman" w:hAnsi="Times New Roman" w:cs="Times New Roman"/>
          <w:kern w:val="0"/>
          <w:sz w:val="24"/>
          <w:szCs w:val="24"/>
          <w:lang w:eastAsia="en-GB"/>
          <w14:ligatures w14:val="none"/>
        </w:rPr>
        <w:noBreakHyphen/>
        <w:t>market. Leveraging Tata’s gigafactory would reduce supplier power and enhance resilience.</w:t>
      </w:r>
    </w:p>
    <w:p w14:paraId="70CA67FF"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2. Strengthen Product Quality and Reliability</w:t>
      </w:r>
      <w:r w:rsidRPr="0036435F">
        <w:rPr>
          <w:rFonts w:ascii="Times New Roman" w:eastAsia="Times New Roman" w:hAnsi="Times New Roman" w:cs="Times New Roman"/>
          <w:kern w:val="0"/>
          <w:sz w:val="24"/>
          <w:szCs w:val="24"/>
          <w:lang w:eastAsia="en-GB"/>
          <w14:ligatures w14:val="none"/>
        </w:rPr>
        <w:t xml:space="preserve"> Improving product quality should be a strategic priority. Buyer power is high in the premium segment, meaning reliability issues directly weaken customer loyalty. JLR could implement a quality</w:t>
      </w:r>
      <w:r w:rsidRPr="0036435F">
        <w:rPr>
          <w:rFonts w:ascii="Times New Roman" w:eastAsia="Times New Roman" w:hAnsi="Times New Roman" w:cs="Times New Roman"/>
          <w:kern w:val="0"/>
          <w:sz w:val="24"/>
          <w:szCs w:val="24"/>
          <w:lang w:eastAsia="en-GB"/>
          <w14:ligatures w14:val="none"/>
        </w:rPr>
        <w:noBreakHyphen/>
        <w:t xml:space="preserve">first programme integrating </w:t>
      </w:r>
      <w:r w:rsidRPr="0036435F">
        <w:rPr>
          <w:rFonts w:ascii="Times New Roman" w:eastAsia="Times New Roman" w:hAnsi="Times New Roman" w:cs="Times New Roman"/>
          <w:kern w:val="0"/>
          <w:sz w:val="24"/>
          <w:szCs w:val="24"/>
          <w:lang w:eastAsia="en-GB"/>
          <w14:ligatures w14:val="none"/>
        </w:rPr>
        <w:lastRenderedPageBreak/>
        <w:t>digital diagnostics, predictive maintenance and stricter supplier controls. This would reinforce brand trust and support premium pricing.</w:t>
      </w:r>
    </w:p>
    <w:p w14:paraId="20048AFE" w14:textId="6D4C339A"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b/>
          <w:bCs/>
          <w:kern w:val="0"/>
          <w:sz w:val="24"/>
          <w:szCs w:val="24"/>
          <w:lang w:eastAsia="en-GB"/>
          <w14:ligatures w14:val="none"/>
        </w:rPr>
        <w:t>3. Expand Software, Connectivity and Autonomous Capabilities</w:t>
      </w:r>
      <w:r w:rsidRPr="0036435F">
        <w:rPr>
          <w:rFonts w:ascii="Times New Roman" w:eastAsia="Times New Roman" w:hAnsi="Times New Roman" w:cs="Times New Roman"/>
          <w:kern w:val="0"/>
          <w:sz w:val="24"/>
          <w:szCs w:val="24"/>
          <w:lang w:eastAsia="en-GB"/>
          <w14:ligatures w14:val="none"/>
        </w:rPr>
        <w:t xml:space="preserve"> Technological disruption presents both a threat and an opportunity. As automation requires “more advanced skills to operate increasingly high</w:t>
      </w:r>
      <w:r w:rsidRPr="0036435F">
        <w:rPr>
          <w:rFonts w:ascii="Times New Roman" w:eastAsia="Times New Roman" w:hAnsi="Times New Roman" w:cs="Times New Roman"/>
          <w:kern w:val="0"/>
          <w:sz w:val="24"/>
          <w:szCs w:val="24"/>
          <w:lang w:eastAsia="en-GB"/>
          <w14:ligatures w14:val="none"/>
        </w:rPr>
        <w:noBreakHyphen/>
        <w:t xml:space="preserve">tech </w:t>
      </w:r>
      <w:proofErr w:type="gramStart"/>
      <w:r w:rsidRPr="0036435F">
        <w:rPr>
          <w:rFonts w:ascii="Times New Roman" w:eastAsia="Times New Roman" w:hAnsi="Times New Roman" w:cs="Times New Roman"/>
          <w:kern w:val="0"/>
          <w:sz w:val="24"/>
          <w:szCs w:val="24"/>
          <w:lang w:eastAsia="en-GB"/>
          <w14:ligatures w14:val="none"/>
        </w:rPr>
        <w:t>vehicles”</w:t>
      </w:r>
      <w:r w:rsidR="000657B1" w:rsidRPr="000657B1">
        <w:rPr>
          <w:rFonts w:ascii="Times New Roman" w:hAnsi="Times New Roman" w:cs="Times New Roman"/>
          <w:sz w:val="24"/>
          <w:szCs w:val="24"/>
        </w:rPr>
        <w:t>(</w:t>
      </w:r>
      <w:proofErr w:type="gramEnd"/>
      <w:r w:rsidR="000657B1" w:rsidRPr="000657B1">
        <w:rPr>
          <w:rFonts w:ascii="Times New Roman" w:hAnsi="Times New Roman" w:cs="Times New Roman"/>
          <w:sz w:val="24"/>
          <w:szCs w:val="24"/>
        </w:rPr>
        <w:t>Torres Nunez et al., 2024)</w:t>
      </w:r>
      <w:r w:rsidR="000657B1">
        <w:rPr>
          <w:rFonts w:ascii="Times New Roman" w:eastAsia="Times New Roman" w:hAnsi="Times New Roman" w:cs="Times New Roman"/>
          <w:kern w:val="0"/>
          <w:sz w:val="24"/>
          <w:szCs w:val="24"/>
          <w:lang w:eastAsia="en-GB"/>
          <w14:ligatures w14:val="none"/>
        </w:rPr>
        <w:t xml:space="preserve">. </w:t>
      </w:r>
      <w:r w:rsidRPr="0036435F">
        <w:rPr>
          <w:rFonts w:ascii="Times New Roman" w:eastAsia="Times New Roman" w:hAnsi="Times New Roman" w:cs="Times New Roman"/>
          <w:kern w:val="0"/>
          <w:sz w:val="24"/>
          <w:szCs w:val="24"/>
          <w:lang w:eastAsia="en-GB"/>
          <w14:ligatures w14:val="none"/>
        </w:rPr>
        <w:t xml:space="preserve"> JLR should invest in software engineering, over</w:t>
      </w:r>
      <w:r w:rsidRPr="0036435F">
        <w:rPr>
          <w:rFonts w:ascii="Times New Roman" w:eastAsia="Times New Roman" w:hAnsi="Times New Roman" w:cs="Times New Roman"/>
          <w:kern w:val="0"/>
          <w:sz w:val="24"/>
          <w:szCs w:val="24"/>
          <w:lang w:eastAsia="en-GB"/>
          <w14:ligatures w14:val="none"/>
        </w:rPr>
        <w:noBreakHyphen/>
        <w:t>the</w:t>
      </w:r>
      <w:r w:rsidRPr="0036435F">
        <w:rPr>
          <w:rFonts w:ascii="Times New Roman" w:eastAsia="Times New Roman" w:hAnsi="Times New Roman" w:cs="Times New Roman"/>
          <w:kern w:val="0"/>
          <w:sz w:val="24"/>
          <w:szCs w:val="24"/>
          <w:lang w:eastAsia="en-GB"/>
          <w14:ligatures w14:val="none"/>
        </w:rPr>
        <w:noBreakHyphen/>
        <w:t>air updates and advanced driver</w:t>
      </w:r>
      <w:r w:rsidRPr="0036435F">
        <w:rPr>
          <w:rFonts w:ascii="Times New Roman" w:eastAsia="Times New Roman" w:hAnsi="Times New Roman" w:cs="Times New Roman"/>
          <w:kern w:val="0"/>
          <w:sz w:val="24"/>
          <w:szCs w:val="24"/>
          <w:lang w:eastAsia="en-GB"/>
          <w14:ligatures w14:val="none"/>
        </w:rPr>
        <w:noBreakHyphen/>
        <w:t>assistance systems. Partnerships with technology firms would accelerate capability development and differentiate JLR’s luxury experience.</w:t>
      </w:r>
    </w:p>
    <w:p w14:paraId="6954E54C" w14:textId="748E8A8C" w:rsidR="0036435F" w:rsidRPr="0036435F" w:rsidRDefault="0056283F" w:rsidP="0036435F">
      <w:pPr>
        <w:spacing w:before="100" w:beforeAutospacing="1" w:after="100" w:afterAutospacing="1"/>
        <w:jc w:val="both"/>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7</w:t>
      </w:r>
      <w:r w:rsidR="0036435F" w:rsidRPr="0036435F">
        <w:rPr>
          <w:rFonts w:ascii="Times New Roman" w:eastAsia="Times New Roman" w:hAnsi="Times New Roman" w:cs="Times New Roman"/>
          <w:b/>
          <w:bCs/>
          <w:kern w:val="36"/>
          <w:sz w:val="36"/>
          <w:szCs w:val="36"/>
          <w:lang w:eastAsia="en-GB"/>
          <w14:ligatures w14:val="none"/>
        </w:rPr>
        <w:t>. Conclusion and Recommendations</w:t>
      </w:r>
    </w:p>
    <w:p w14:paraId="78ED8932" w14:textId="77777777" w:rsidR="0036435F" w:rsidRP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The strategic analysis highlights a company operating in a highly dynamic environment shaped by regulatory pressures, technological change and shifting consumer expectations. The PESTLE assessment shows that political and environmental forces are accelerating electrification, while economic volatility and supply chain disruptions challenge operational stability. Porter’s Five Forces emphasise intense rivalry, strong buyer power and increasing threats from technologically advanced entrants. Internally, JLR benefits from strong brand equity and design capability but faces weaknesses in reliability, production costs and the pace of its EV transition.</w:t>
      </w:r>
    </w:p>
    <w:p w14:paraId="4BB53548" w14:textId="77777777" w:rsid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36435F">
        <w:rPr>
          <w:rFonts w:ascii="Times New Roman" w:eastAsia="Times New Roman" w:hAnsi="Times New Roman" w:cs="Times New Roman"/>
          <w:kern w:val="0"/>
          <w:sz w:val="24"/>
          <w:szCs w:val="24"/>
          <w:lang w:eastAsia="en-GB"/>
          <w14:ligatures w14:val="none"/>
        </w:rPr>
        <w:t>To strengthen its competitive position, three recommendations are proposed. First, accelerate EV platform development by prioritising investment in the EMA and MLA architectures and leveraging Tata’s gigafactory to reduce supplier power. Second, enhance product quality and reliability through stricter supplier controls, digital diagnostics and predictive maintenance systems. Third, expand software, connectivity and autonomous capabilities by investing in digital talent and forming partnerships with technology firms. These recommendations position JLR to respond proactively to industry disruption, strengthen brand competitiveness and build long</w:t>
      </w:r>
      <w:r w:rsidRPr="0036435F">
        <w:rPr>
          <w:rFonts w:ascii="Times New Roman" w:eastAsia="Times New Roman" w:hAnsi="Times New Roman" w:cs="Times New Roman"/>
          <w:kern w:val="0"/>
          <w:sz w:val="24"/>
          <w:szCs w:val="24"/>
          <w:lang w:eastAsia="en-GB"/>
          <w14:ligatures w14:val="none"/>
        </w:rPr>
        <w:noBreakHyphen/>
        <w:t>term resilience in the global premium EV market.</w:t>
      </w:r>
    </w:p>
    <w:p w14:paraId="677E213F" w14:textId="77777777" w:rsid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41129733" w14:textId="77777777" w:rsidR="0036435F" w:rsidRDefault="0036435F" w:rsidP="0036435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347EE2B4" w14:textId="77777777" w:rsidR="0056283F" w:rsidRDefault="0056283F" w:rsidP="001364AE">
      <w:pPr>
        <w:spacing w:before="100" w:beforeAutospacing="1" w:after="100" w:afterAutospacing="1"/>
        <w:ind w:firstLine="0"/>
        <w:jc w:val="both"/>
        <w:rPr>
          <w:rFonts w:ascii="Times New Roman" w:eastAsia="Times New Roman" w:hAnsi="Times New Roman" w:cs="Times New Roman"/>
          <w:b/>
          <w:bCs/>
          <w:kern w:val="0"/>
          <w:sz w:val="40"/>
          <w:szCs w:val="40"/>
          <w:lang w:eastAsia="en-GB"/>
          <w14:ligatures w14:val="none"/>
        </w:rPr>
      </w:pPr>
    </w:p>
    <w:p w14:paraId="58DA0427" w14:textId="7C3F24EE" w:rsidR="0036435F" w:rsidRPr="0056283F" w:rsidRDefault="0036435F" w:rsidP="0056283F">
      <w:pPr>
        <w:pStyle w:val="ListParagraph"/>
        <w:numPr>
          <w:ilvl w:val="0"/>
          <w:numId w:val="2"/>
        </w:numPr>
        <w:spacing w:before="100" w:beforeAutospacing="1" w:after="100" w:afterAutospacing="1"/>
        <w:jc w:val="both"/>
        <w:rPr>
          <w:rFonts w:ascii="Times New Roman" w:eastAsia="Times New Roman" w:hAnsi="Times New Roman" w:cs="Times New Roman"/>
          <w:b/>
          <w:bCs/>
          <w:kern w:val="0"/>
          <w:sz w:val="40"/>
          <w:szCs w:val="40"/>
          <w:lang w:eastAsia="en-GB"/>
          <w14:ligatures w14:val="none"/>
        </w:rPr>
      </w:pPr>
      <w:r w:rsidRPr="0056283F">
        <w:rPr>
          <w:rFonts w:ascii="Times New Roman" w:eastAsia="Times New Roman" w:hAnsi="Times New Roman" w:cs="Times New Roman"/>
          <w:b/>
          <w:bCs/>
          <w:kern w:val="0"/>
          <w:sz w:val="40"/>
          <w:szCs w:val="40"/>
          <w:lang w:eastAsia="en-GB"/>
          <w14:ligatures w14:val="none"/>
        </w:rPr>
        <w:lastRenderedPageBreak/>
        <w:t xml:space="preserve">References </w:t>
      </w:r>
    </w:p>
    <w:p w14:paraId="3771F90A" w14:textId="20E86FF8" w:rsidR="0036435F" w:rsidRDefault="00A445D1" w:rsidP="0036435F">
      <w:pPr>
        <w:pStyle w:val="NormalWeb"/>
        <w:spacing w:line="360" w:lineRule="auto"/>
        <w:jc w:val="both"/>
      </w:pPr>
      <w:r>
        <w:rPr>
          <w:rStyle w:val="Strong"/>
          <w:rFonts w:eastAsiaTheme="majorEastAsia"/>
        </w:rPr>
        <w:t>ACEA (2025)</w:t>
      </w:r>
      <w:r>
        <w:t xml:space="preserve"> </w:t>
      </w:r>
      <w:r>
        <w:rPr>
          <w:rStyle w:val="Emphasis"/>
          <w:rFonts w:eastAsiaTheme="majorEastAsia"/>
        </w:rPr>
        <w:t>Economic and Market Report: Global and EU Auto Industry – Full Year 2024</w:t>
      </w:r>
      <w:r>
        <w:t xml:space="preserve">. Brussels: European Automobile Manufacturers’ Association. Available at: </w:t>
      </w:r>
      <w:hyperlink r:id="rId9" w:history="1">
        <w:r w:rsidRPr="00CC1DF2">
          <w:rPr>
            <w:rStyle w:val="Hyperlink"/>
          </w:rPr>
          <w:t>https://www.acea.auto/files/Economic_and_Market_Report-Full_year-2024.pdf</w:t>
        </w:r>
      </w:hyperlink>
      <w:r>
        <w:t xml:space="preserve"> </w:t>
      </w:r>
      <w:r>
        <w:t xml:space="preserve">(Accessed: </w:t>
      </w:r>
      <w:r>
        <w:t>20 March 2026</w:t>
      </w:r>
      <w:r>
        <w:t>).</w:t>
      </w:r>
    </w:p>
    <w:p w14:paraId="2A6BB992" w14:textId="56065D83" w:rsidR="0036435F" w:rsidRDefault="0036435F" w:rsidP="0036435F">
      <w:pPr>
        <w:pStyle w:val="NormalWeb"/>
        <w:spacing w:line="360" w:lineRule="auto"/>
        <w:jc w:val="both"/>
      </w:pPr>
      <w:r>
        <w:t xml:space="preserve">Barney, J. (1991) ‘Firm resources and sustained competitive advantage’, </w:t>
      </w:r>
      <w:r>
        <w:rPr>
          <w:rStyle w:val="Emphasis"/>
          <w:rFonts w:eastAsiaTheme="majorEastAsia"/>
        </w:rPr>
        <w:t>Journal of Management</w:t>
      </w:r>
      <w:r>
        <w:t>, 17(1), pp. 99–120.</w:t>
      </w:r>
      <w:r w:rsidR="00B1362A">
        <w:t xml:space="preserve"> Available at: </w:t>
      </w:r>
      <w:hyperlink r:id="rId10" w:history="1">
        <w:r w:rsidR="00B1362A" w:rsidRPr="00CC1DF2">
          <w:rPr>
            <w:rStyle w:val="Hyperlink"/>
          </w:rPr>
          <w:t>https://journals.sagepub.com/doi/10.1177/014920639101700108</w:t>
        </w:r>
      </w:hyperlink>
      <w:r w:rsidR="00B1362A">
        <w:t xml:space="preserve"> (Accessed: 16 March 2026)</w:t>
      </w:r>
    </w:p>
    <w:p w14:paraId="01BACDB7" w14:textId="0748C1B0" w:rsidR="0036435F" w:rsidRDefault="0036435F" w:rsidP="0036435F">
      <w:pPr>
        <w:pStyle w:val="NormalWeb"/>
        <w:spacing w:line="360" w:lineRule="auto"/>
        <w:jc w:val="both"/>
      </w:pPr>
      <w:r>
        <w:t xml:space="preserve">Dobbs, M.E. (2014) ‘Guidelines for applying Porter’s five forces framework: a set of industry analysis templates’, </w:t>
      </w:r>
      <w:r>
        <w:rPr>
          <w:rStyle w:val="Emphasis"/>
          <w:rFonts w:eastAsiaTheme="majorEastAsia"/>
        </w:rPr>
        <w:t>Competitiveness Review</w:t>
      </w:r>
      <w:r>
        <w:t>, 24(1), pp. 32–45.</w:t>
      </w:r>
      <w:r w:rsidR="00B1362A">
        <w:t xml:space="preserve"> Available at: </w:t>
      </w:r>
      <w:hyperlink r:id="rId11" w:history="1">
        <w:r w:rsidR="00B1362A" w:rsidRPr="00CC1DF2">
          <w:rPr>
            <w:rStyle w:val="Hyperlink"/>
          </w:rPr>
          <w:t>https://www.studocu.com/en-gb/document/the-robert-gordon-university/business-strategy/dobbs-2014-porters-five-forces/86791455</w:t>
        </w:r>
      </w:hyperlink>
      <w:r w:rsidR="00B1362A">
        <w:t xml:space="preserve"> (Accessed: 16 March 2026).</w:t>
      </w:r>
    </w:p>
    <w:p w14:paraId="76729761" w14:textId="77777777" w:rsidR="0036435F" w:rsidRDefault="0036435F" w:rsidP="0036435F">
      <w:pPr>
        <w:pStyle w:val="NormalWeb"/>
        <w:spacing w:line="360" w:lineRule="auto"/>
        <w:jc w:val="both"/>
      </w:pPr>
      <w:r>
        <w:t xml:space="preserve">Grant, R.M. (2019) </w:t>
      </w:r>
      <w:r>
        <w:rPr>
          <w:rStyle w:val="Emphasis"/>
          <w:rFonts w:eastAsiaTheme="majorEastAsia"/>
        </w:rPr>
        <w:t>Contemporary Strategy Analysis</w:t>
      </w:r>
      <w:r>
        <w:t xml:space="preserve">. 10th </w:t>
      </w:r>
      <w:proofErr w:type="spellStart"/>
      <w:r>
        <w:t>edn</w:t>
      </w:r>
      <w:proofErr w:type="spellEnd"/>
      <w:r>
        <w:t>. Hoboken: Wiley.</w:t>
      </w:r>
    </w:p>
    <w:p w14:paraId="25266365" w14:textId="411B4411" w:rsidR="0036435F" w:rsidRDefault="0036435F" w:rsidP="0036435F">
      <w:pPr>
        <w:pStyle w:val="NormalWeb"/>
        <w:spacing w:line="360" w:lineRule="auto"/>
        <w:jc w:val="both"/>
      </w:pPr>
      <w:r>
        <w:t xml:space="preserve">Jaguar Land Rover (2023) </w:t>
      </w:r>
      <w:r>
        <w:rPr>
          <w:rStyle w:val="Emphasis"/>
          <w:rFonts w:eastAsiaTheme="majorEastAsia"/>
        </w:rPr>
        <w:t>Sustainability Report 2023</w:t>
      </w:r>
      <w:r>
        <w:t>. Coventry: JLR.</w:t>
      </w:r>
      <w:r w:rsidR="00C97EBC">
        <w:t xml:space="preserve"> Available at: </w:t>
      </w:r>
      <w:hyperlink r:id="rId12" w:history="1">
        <w:r w:rsidR="00C97EBC" w:rsidRPr="00CC1DF2">
          <w:rPr>
            <w:rStyle w:val="Hyperlink"/>
          </w:rPr>
          <w:t>https://www.jlr.com/annual-report-2023</w:t>
        </w:r>
      </w:hyperlink>
      <w:r w:rsidR="00C97EBC">
        <w:t xml:space="preserve"> (Accessed 17 March 2026).</w:t>
      </w:r>
    </w:p>
    <w:p w14:paraId="4CBFED89" w14:textId="02765E4C" w:rsidR="0036435F" w:rsidRDefault="0036435F" w:rsidP="0036435F">
      <w:pPr>
        <w:pStyle w:val="NormalWeb"/>
        <w:spacing w:line="360" w:lineRule="auto"/>
        <w:jc w:val="both"/>
      </w:pPr>
      <w:r>
        <w:t xml:space="preserve">Jaguar Land Rover (2024) </w:t>
      </w:r>
      <w:r>
        <w:rPr>
          <w:rStyle w:val="Emphasis"/>
          <w:rFonts w:eastAsiaTheme="majorEastAsia"/>
        </w:rPr>
        <w:t>Reimagine Strategy Update</w:t>
      </w:r>
      <w:r>
        <w:t>. Coventry: JLR.</w:t>
      </w:r>
      <w:r w:rsidR="00C97EBC">
        <w:t xml:space="preserve"> Available at: </w:t>
      </w:r>
      <w:hyperlink r:id="rId13" w:history="1">
        <w:r w:rsidR="00C97EBC" w:rsidRPr="00CC1DF2">
          <w:rPr>
            <w:rStyle w:val="Hyperlink"/>
          </w:rPr>
          <w:t>https://www.jlr.com/reimagine</w:t>
        </w:r>
      </w:hyperlink>
      <w:r w:rsidR="00C97EBC">
        <w:t xml:space="preserve"> (Accessed: 17 March 2026).</w:t>
      </w:r>
    </w:p>
    <w:p w14:paraId="7A08846C" w14:textId="77777777" w:rsidR="0036435F" w:rsidRDefault="0036435F" w:rsidP="0036435F">
      <w:pPr>
        <w:pStyle w:val="NormalWeb"/>
        <w:spacing w:line="360" w:lineRule="auto"/>
        <w:jc w:val="both"/>
      </w:pPr>
      <w:r>
        <w:t xml:space="preserve">Johnson, G., Whittington, R. and Scholes, K. (2020) </w:t>
      </w:r>
      <w:r>
        <w:rPr>
          <w:rStyle w:val="Emphasis"/>
          <w:rFonts w:eastAsiaTheme="majorEastAsia"/>
        </w:rPr>
        <w:t>Exploring Strategy</w:t>
      </w:r>
      <w:r>
        <w:t xml:space="preserve">. 12th </w:t>
      </w:r>
      <w:proofErr w:type="spellStart"/>
      <w:r>
        <w:t>edn</w:t>
      </w:r>
      <w:proofErr w:type="spellEnd"/>
      <w:r>
        <w:t>. Harlow: Pearson.</w:t>
      </w:r>
    </w:p>
    <w:p w14:paraId="33CD1367" w14:textId="77777777" w:rsidR="0036435F" w:rsidRDefault="0036435F" w:rsidP="0036435F">
      <w:pPr>
        <w:pStyle w:val="NormalWeb"/>
        <w:spacing w:line="360" w:lineRule="auto"/>
        <w:jc w:val="both"/>
      </w:pPr>
      <w:r>
        <w:t xml:space="preserve">MarketLine (2025) </w:t>
      </w:r>
      <w:r>
        <w:rPr>
          <w:rStyle w:val="Emphasis"/>
          <w:rFonts w:eastAsiaTheme="majorEastAsia"/>
        </w:rPr>
        <w:t>Company Profile: Jaguar Land Rover Automotive plc</w:t>
      </w:r>
      <w:r>
        <w:t>. London: MarketLine.</w:t>
      </w:r>
    </w:p>
    <w:p w14:paraId="5D6E2D1C" w14:textId="77777777" w:rsidR="0036435F" w:rsidRDefault="0036435F" w:rsidP="0036435F">
      <w:pPr>
        <w:pStyle w:val="NormalWeb"/>
        <w:spacing w:line="360" w:lineRule="auto"/>
        <w:jc w:val="both"/>
      </w:pPr>
      <w:proofErr w:type="spellStart"/>
      <w:r>
        <w:t>Phadermrod</w:t>
      </w:r>
      <w:proofErr w:type="spellEnd"/>
      <w:r>
        <w:t xml:space="preserve">, B., Crowder, R.M. and Wills, G.B. (2019) ‘Importance–Performance Analysis based SWOT analysis’, </w:t>
      </w:r>
      <w:r>
        <w:rPr>
          <w:rStyle w:val="Emphasis"/>
          <w:rFonts w:eastAsiaTheme="majorEastAsia"/>
        </w:rPr>
        <w:t>International Journal of Information Management</w:t>
      </w:r>
      <w:r>
        <w:t>, 44, pp. 194–203.</w:t>
      </w:r>
    </w:p>
    <w:p w14:paraId="66C56B14" w14:textId="77777777" w:rsidR="0036435F" w:rsidRDefault="0036435F" w:rsidP="0036435F">
      <w:pPr>
        <w:pStyle w:val="NormalWeb"/>
        <w:spacing w:line="360" w:lineRule="auto"/>
        <w:jc w:val="both"/>
      </w:pPr>
      <w:r>
        <w:t xml:space="preserve">Porter, M.E. (1980) </w:t>
      </w:r>
      <w:r>
        <w:rPr>
          <w:rStyle w:val="Emphasis"/>
          <w:rFonts w:eastAsiaTheme="majorEastAsia"/>
        </w:rPr>
        <w:t xml:space="preserve">Competitive Strategy: Techniques for </w:t>
      </w:r>
      <w:proofErr w:type="spellStart"/>
      <w:r>
        <w:rPr>
          <w:rStyle w:val="Emphasis"/>
          <w:rFonts w:eastAsiaTheme="majorEastAsia"/>
        </w:rPr>
        <w:t>Analyzing</w:t>
      </w:r>
      <w:proofErr w:type="spellEnd"/>
      <w:r>
        <w:rPr>
          <w:rStyle w:val="Emphasis"/>
          <w:rFonts w:eastAsiaTheme="majorEastAsia"/>
        </w:rPr>
        <w:t xml:space="preserve"> Industries and Competitors</w:t>
      </w:r>
      <w:r>
        <w:t>. New York: Free Press.</w:t>
      </w:r>
    </w:p>
    <w:p w14:paraId="3EA9CB49" w14:textId="5F076461" w:rsidR="0036435F" w:rsidRDefault="0036435F" w:rsidP="0036435F">
      <w:pPr>
        <w:pStyle w:val="NormalWeb"/>
        <w:spacing w:line="360" w:lineRule="auto"/>
        <w:jc w:val="both"/>
      </w:pPr>
      <w:r>
        <w:lastRenderedPageBreak/>
        <w:t xml:space="preserve">Porter, M.E. and Kramer, M.R. (2011) ‘Creating shared value’, </w:t>
      </w:r>
      <w:r>
        <w:rPr>
          <w:rStyle w:val="Emphasis"/>
          <w:rFonts w:eastAsiaTheme="majorEastAsia"/>
        </w:rPr>
        <w:t>Harvard Business Review</w:t>
      </w:r>
      <w:r>
        <w:t>, 89(1/2), pp. 62–77.</w:t>
      </w:r>
      <w:r w:rsidR="00A9294B">
        <w:t xml:space="preserve"> Available at: </w:t>
      </w:r>
      <w:hyperlink r:id="rId14" w:history="1">
        <w:r w:rsidR="00A9294B" w:rsidRPr="00CC1DF2">
          <w:rPr>
            <w:rStyle w:val="Hyperlink"/>
          </w:rPr>
          <w:t>https://www.hbs.edu/faculty/Pages/item.aspx?num=39071</w:t>
        </w:r>
      </w:hyperlink>
      <w:r w:rsidR="00A9294B">
        <w:t xml:space="preserve"> (Accessed: 17 March 2026).</w:t>
      </w:r>
    </w:p>
    <w:p w14:paraId="12E89460" w14:textId="77777777" w:rsidR="0036435F" w:rsidRDefault="0036435F" w:rsidP="0036435F">
      <w:pPr>
        <w:pStyle w:val="NormalWeb"/>
        <w:spacing w:line="360" w:lineRule="auto"/>
        <w:jc w:val="both"/>
      </w:pPr>
      <w:proofErr w:type="spellStart"/>
      <w:r>
        <w:t>Primento</w:t>
      </w:r>
      <w:proofErr w:type="spellEnd"/>
      <w:r>
        <w:t xml:space="preserve"> Publishing (2015) </w:t>
      </w:r>
      <w:r>
        <w:rPr>
          <w:rStyle w:val="Emphasis"/>
          <w:rFonts w:eastAsiaTheme="majorEastAsia"/>
        </w:rPr>
        <w:t>PESTLE Analysis: Understand and plan for your business environment</w:t>
      </w:r>
      <w:r>
        <w:t xml:space="preserve">. Brussels: </w:t>
      </w:r>
      <w:proofErr w:type="spellStart"/>
      <w:r>
        <w:t>Primento</w:t>
      </w:r>
      <w:proofErr w:type="spellEnd"/>
      <w:r>
        <w:t>.</w:t>
      </w:r>
    </w:p>
    <w:p w14:paraId="7F90ED14" w14:textId="0F3AAAE6" w:rsidR="0036435F" w:rsidRDefault="0036435F" w:rsidP="0036435F">
      <w:pPr>
        <w:pStyle w:val="NormalWeb"/>
        <w:spacing w:line="360" w:lineRule="auto"/>
        <w:jc w:val="both"/>
      </w:pPr>
      <w:r>
        <w:t xml:space="preserve">SMMT (2024) </w:t>
      </w:r>
      <w:r>
        <w:rPr>
          <w:rStyle w:val="Emphasis"/>
          <w:rFonts w:eastAsiaTheme="majorEastAsia"/>
        </w:rPr>
        <w:t>UK Automotive Industry Outlook 2024</w:t>
      </w:r>
      <w:r>
        <w:t>. London: Society of Motor Manufacturers and Traders.</w:t>
      </w:r>
      <w:r w:rsidR="00632862">
        <w:t xml:space="preserve"> Available at: </w:t>
      </w:r>
      <w:hyperlink r:id="rId15" w:history="1">
        <w:r w:rsidR="00632862" w:rsidRPr="00CC1DF2">
          <w:rPr>
            <w:rStyle w:val="Hyperlink"/>
          </w:rPr>
          <w:t>https://www.smmt.co.uk/wp-content/uploads/2024/11/SMMT-Motor-Industry-Facts-2024-August.pdf</w:t>
        </w:r>
      </w:hyperlink>
      <w:r w:rsidR="00632862">
        <w:t xml:space="preserve"> (Accessed: 15 March 2026).</w:t>
      </w:r>
    </w:p>
    <w:p w14:paraId="75E42008" w14:textId="77777777" w:rsidR="0036435F" w:rsidRDefault="0036435F" w:rsidP="0036435F">
      <w:pPr>
        <w:pStyle w:val="NormalWeb"/>
        <w:spacing w:line="360" w:lineRule="auto"/>
        <w:jc w:val="both"/>
      </w:pPr>
      <w:r>
        <w:t xml:space="preserve">Teece, D.J., Pisano, G. and </w:t>
      </w:r>
      <w:proofErr w:type="spellStart"/>
      <w:r>
        <w:t>Shuen</w:t>
      </w:r>
      <w:proofErr w:type="spellEnd"/>
      <w:r>
        <w:t xml:space="preserve">, A. (1997) ‘Dynamic capabilities and strategic management’, </w:t>
      </w:r>
      <w:r>
        <w:rPr>
          <w:rStyle w:val="Emphasis"/>
          <w:rFonts w:eastAsiaTheme="majorEastAsia"/>
        </w:rPr>
        <w:t>Strategic Management Journal</w:t>
      </w:r>
      <w:r>
        <w:t>, 18(7), pp. 509–533.</w:t>
      </w:r>
    </w:p>
    <w:p w14:paraId="1D3E5AB4" w14:textId="6B920097" w:rsidR="00654838" w:rsidRDefault="0036435F" w:rsidP="0036435F">
      <w:pPr>
        <w:pStyle w:val="NormalWeb"/>
        <w:spacing w:line="360" w:lineRule="auto"/>
        <w:jc w:val="both"/>
      </w:pPr>
      <w:r w:rsidRPr="0036435F">
        <w:rPr>
          <w:lang w:val="it-IT"/>
        </w:rPr>
        <w:t>Torres</w:t>
      </w:r>
      <w:r w:rsidRPr="0036435F">
        <w:rPr>
          <w:lang w:val="it-IT"/>
        </w:rPr>
        <w:noBreakHyphen/>
        <w:t xml:space="preserve">Nunez, R. et al. </w:t>
      </w:r>
      <w:r>
        <w:t xml:space="preserve">(2024) ‘A PESTLE analysis of the trucking industry: </w:t>
      </w:r>
      <w:r w:rsidR="00654838">
        <w:t xml:space="preserve">key insights and implications`, Cogent Business &amp;amp; Management, 11(1). Doi;10. 1080/23311975.2024.2409335. Available at: </w:t>
      </w:r>
      <w:hyperlink r:id="rId16" w:history="1">
        <w:r w:rsidR="00654838" w:rsidRPr="00CC1DF2">
          <w:rPr>
            <w:rStyle w:val="Hyperlink"/>
          </w:rPr>
          <w:t>https://www.tandfonline.com/doi/full/10.1080/23311975.2024.2409335</w:t>
        </w:r>
      </w:hyperlink>
      <w:r w:rsidR="00654838">
        <w:t xml:space="preserve"> (Accessed: 19 March 2026).</w:t>
      </w:r>
    </w:p>
    <w:p w14:paraId="674C221F" w14:textId="282B5E0C" w:rsidR="0036435F" w:rsidRDefault="0036435F" w:rsidP="0036435F">
      <w:pPr>
        <w:pStyle w:val="NormalWeb"/>
        <w:spacing w:line="360" w:lineRule="auto"/>
        <w:jc w:val="both"/>
      </w:pPr>
      <w:r>
        <w:t>UK</w:t>
      </w:r>
      <w:r w:rsidR="00B1362A">
        <w:t xml:space="preserve"> Government (2023) </w:t>
      </w:r>
      <w:r w:rsidR="00B1362A">
        <w:rPr>
          <w:rStyle w:val="Emphasis"/>
          <w:rFonts w:eastAsiaTheme="majorEastAsia"/>
        </w:rPr>
        <w:t>Zero Emission Vehicle Mandate Policy Paper</w:t>
      </w:r>
      <w:r w:rsidR="00B1362A">
        <w:t>. Available at:</w:t>
      </w:r>
      <w:r w:rsidR="00B1362A">
        <w:t xml:space="preserve"> </w:t>
      </w:r>
      <w:hyperlink r:id="rId17" w:history="1">
        <w:r w:rsidR="00B1362A" w:rsidRPr="00CC1DF2">
          <w:rPr>
            <w:rStyle w:val="Hyperlink"/>
          </w:rPr>
          <w:t>https://assets.publishing.service.gov.uk/media/6537c6821bf90d0013d8450b/zev-mandate-consultation-summary-of-responses-and-joint-government-response.pdf</w:t>
        </w:r>
      </w:hyperlink>
      <w:r w:rsidR="00B1362A">
        <w:t xml:space="preserve"> (Accessed: 15 March 2026).</w:t>
      </w:r>
    </w:p>
    <w:p w14:paraId="244BA40A" w14:textId="77777777" w:rsidR="0036435F" w:rsidRPr="0036435F" w:rsidRDefault="0036435F" w:rsidP="0036435F">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7A611E78" w14:textId="77777777" w:rsidR="0036435F" w:rsidRPr="0036435F" w:rsidRDefault="0036435F" w:rsidP="0036435F">
      <w:pPr>
        <w:jc w:val="both"/>
        <w:rPr>
          <w:rFonts w:ascii="Times New Roman" w:hAnsi="Times New Roman" w:cs="Times New Roman"/>
          <w:sz w:val="24"/>
          <w:szCs w:val="24"/>
        </w:rPr>
      </w:pPr>
    </w:p>
    <w:sectPr w:rsidR="0036435F" w:rsidRPr="0036435F" w:rsidSect="00D55483">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2267B" w14:textId="77777777" w:rsidR="00F37629" w:rsidRDefault="00F37629" w:rsidP="00D55483">
      <w:pPr>
        <w:spacing w:after="0" w:line="240" w:lineRule="auto"/>
      </w:pPr>
      <w:r>
        <w:separator/>
      </w:r>
    </w:p>
  </w:endnote>
  <w:endnote w:type="continuationSeparator" w:id="0">
    <w:p w14:paraId="34D09AC8" w14:textId="77777777" w:rsidR="00F37629" w:rsidRDefault="00F37629" w:rsidP="00D55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91DA7" w14:textId="6D375537" w:rsidR="00D55483" w:rsidRDefault="00D55483" w:rsidP="00D55483">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916896"/>
      <w:docPartObj>
        <w:docPartGallery w:val="Page Numbers (Bottom of Page)"/>
        <w:docPartUnique/>
      </w:docPartObj>
    </w:sdtPr>
    <w:sdtEndPr>
      <w:rPr>
        <w:noProof/>
      </w:rPr>
    </w:sdtEndPr>
    <w:sdtContent>
      <w:p w14:paraId="21BEE0E6" w14:textId="450CF0F6" w:rsidR="006950CA" w:rsidRDefault="006950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76E50B" w14:textId="77777777" w:rsidR="006950CA" w:rsidRDefault="006950CA" w:rsidP="00D5548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0A7ED" w14:textId="77777777" w:rsidR="00F37629" w:rsidRDefault="00F37629" w:rsidP="00D55483">
      <w:pPr>
        <w:spacing w:after="0" w:line="240" w:lineRule="auto"/>
      </w:pPr>
      <w:r>
        <w:separator/>
      </w:r>
    </w:p>
  </w:footnote>
  <w:footnote w:type="continuationSeparator" w:id="0">
    <w:p w14:paraId="1C040908" w14:textId="77777777" w:rsidR="00F37629" w:rsidRDefault="00F37629" w:rsidP="00D554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85855" w14:textId="6A77CB7B" w:rsidR="006950CA" w:rsidRPr="006950CA" w:rsidRDefault="006950CA" w:rsidP="006950CA">
    <w:pPr>
      <w:pStyle w:val="Header"/>
      <w:jc w:val="center"/>
      <w:rPr>
        <w:rFonts w:ascii="Times New Roman" w:hAnsi="Times New Roman" w:cs="Times New Roman"/>
        <w:sz w:val="24"/>
        <w:szCs w:val="24"/>
      </w:rPr>
    </w:pPr>
    <w:r w:rsidRPr="006950CA">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5451B"/>
    <w:multiLevelType w:val="multilevel"/>
    <w:tmpl w:val="FB128B0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FA5064"/>
    <w:multiLevelType w:val="hybridMultilevel"/>
    <w:tmpl w:val="A010294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8847272">
    <w:abstractNumId w:val="0"/>
  </w:num>
  <w:num w:numId="2" w16cid:durableId="643655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35F"/>
    <w:rsid w:val="00007E85"/>
    <w:rsid w:val="000652A5"/>
    <w:rsid w:val="000657B1"/>
    <w:rsid w:val="000C430E"/>
    <w:rsid w:val="000D3202"/>
    <w:rsid w:val="0013271D"/>
    <w:rsid w:val="001364AE"/>
    <w:rsid w:val="003173CD"/>
    <w:rsid w:val="0036435F"/>
    <w:rsid w:val="0056283F"/>
    <w:rsid w:val="005746E5"/>
    <w:rsid w:val="00632862"/>
    <w:rsid w:val="00654838"/>
    <w:rsid w:val="006950CA"/>
    <w:rsid w:val="006A6FE0"/>
    <w:rsid w:val="00804CCB"/>
    <w:rsid w:val="00825295"/>
    <w:rsid w:val="00830686"/>
    <w:rsid w:val="009443DA"/>
    <w:rsid w:val="00A445D1"/>
    <w:rsid w:val="00A9294B"/>
    <w:rsid w:val="00AB56FD"/>
    <w:rsid w:val="00B1362A"/>
    <w:rsid w:val="00C17001"/>
    <w:rsid w:val="00C97EBC"/>
    <w:rsid w:val="00D55483"/>
    <w:rsid w:val="00DE2863"/>
    <w:rsid w:val="00F37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9ACF94"/>
  <w15:chartTrackingRefBased/>
  <w15:docId w15:val="{5D6FE712-D578-45B2-80F6-8A10409B3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3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43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43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43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43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43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3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3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3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3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643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643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43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43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43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3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3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35F"/>
    <w:rPr>
      <w:rFonts w:eastAsiaTheme="majorEastAsia" w:cstheme="majorBidi"/>
      <w:color w:val="272727" w:themeColor="text1" w:themeTint="D8"/>
    </w:rPr>
  </w:style>
  <w:style w:type="paragraph" w:styleId="Title">
    <w:name w:val="Title"/>
    <w:basedOn w:val="Normal"/>
    <w:next w:val="Normal"/>
    <w:link w:val="TitleChar"/>
    <w:uiPriority w:val="10"/>
    <w:qFormat/>
    <w:rsid w:val="003643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3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35F"/>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3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35F"/>
    <w:pPr>
      <w:spacing w:before="160"/>
      <w:jc w:val="center"/>
    </w:pPr>
    <w:rPr>
      <w:i/>
      <w:iCs/>
      <w:color w:val="404040" w:themeColor="text1" w:themeTint="BF"/>
    </w:rPr>
  </w:style>
  <w:style w:type="character" w:customStyle="1" w:styleId="QuoteChar">
    <w:name w:val="Quote Char"/>
    <w:basedOn w:val="DefaultParagraphFont"/>
    <w:link w:val="Quote"/>
    <w:uiPriority w:val="29"/>
    <w:rsid w:val="0036435F"/>
    <w:rPr>
      <w:i/>
      <w:iCs/>
      <w:color w:val="404040" w:themeColor="text1" w:themeTint="BF"/>
    </w:rPr>
  </w:style>
  <w:style w:type="paragraph" w:styleId="ListParagraph">
    <w:name w:val="List Paragraph"/>
    <w:basedOn w:val="Normal"/>
    <w:uiPriority w:val="34"/>
    <w:qFormat/>
    <w:rsid w:val="0036435F"/>
    <w:pPr>
      <w:ind w:left="720"/>
      <w:contextualSpacing/>
    </w:pPr>
  </w:style>
  <w:style w:type="character" w:styleId="IntenseEmphasis">
    <w:name w:val="Intense Emphasis"/>
    <w:basedOn w:val="DefaultParagraphFont"/>
    <w:uiPriority w:val="21"/>
    <w:qFormat/>
    <w:rsid w:val="0036435F"/>
    <w:rPr>
      <w:i/>
      <w:iCs/>
      <w:color w:val="2F5496" w:themeColor="accent1" w:themeShade="BF"/>
    </w:rPr>
  </w:style>
  <w:style w:type="paragraph" w:styleId="IntenseQuote">
    <w:name w:val="Intense Quote"/>
    <w:basedOn w:val="Normal"/>
    <w:next w:val="Normal"/>
    <w:link w:val="IntenseQuoteChar"/>
    <w:uiPriority w:val="30"/>
    <w:qFormat/>
    <w:rsid w:val="003643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435F"/>
    <w:rPr>
      <w:i/>
      <w:iCs/>
      <w:color w:val="2F5496" w:themeColor="accent1" w:themeShade="BF"/>
    </w:rPr>
  </w:style>
  <w:style w:type="character" w:styleId="IntenseReference">
    <w:name w:val="Intense Reference"/>
    <w:basedOn w:val="DefaultParagraphFont"/>
    <w:uiPriority w:val="32"/>
    <w:qFormat/>
    <w:rsid w:val="0036435F"/>
    <w:rPr>
      <w:b/>
      <w:bCs/>
      <w:smallCaps/>
      <w:color w:val="2F5496" w:themeColor="accent1" w:themeShade="BF"/>
      <w:spacing w:val="5"/>
    </w:rPr>
  </w:style>
  <w:style w:type="paragraph" w:styleId="NormalWeb">
    <w:name w:val="Normal (Web)"/>
    <w:basedOn w:val="Normal"/>
    <w:uiPriority w:val="99"/>
    <w:semiHidden/>
    <w:unhideWhenUsed/>
    <w:rsid w:val="0036435F"/>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6435F"/>
    <w:rPr>
      <w:i/>
      <w:iCs/>
    </w:rPr>
  </w:style>
  <w:style w:type="paragraph" w:styleId="Header">
    <w:name w:val="header"/>
    <w:basedOn w:val="Normal"/>
    <w:link w:val="HeaderChar"/>
    <w:uiPriority w:val="99"/>
    <w:unhideWhenUsed/>
    <w:rsid w:val="00D55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483"/>
  </w:style>
  <w:style w:type="paragraph" w:styleId="Footer">
    <w:name w:val="footer"/>
    <w:basedOn w:val="Normal"/>
    <w:link w:val="FooterChar"/>
    <w:uiPriority w:val="99"/>
    <w:unhideWhenUsed/>
    <w:rsid w:val="00D55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483"/>
  </w:style>
  <w:style w:type="character" w:styleId="Hyperlink">
    <w:name w:val="Hyperlink"/>
    <w:basedOn w:val="DefaultParagraphFont"/>
    <w:uiPriority w:val="99"/>
    <w:unhideWhenUsed/>
    <w:rsid w:val="00632862"/>
    <w:rPr>
      <w:color w:val="0563C1" w:themeColor="hyperlink"/>
      <w:u w:val="single"/>
    </w:rPr>
  </w:style>
  <w:style w:type="character" w:styleId="UnresolvedMention">
    <w:name w:val="Unresolved Mention"/>
    <w:basedOn w:val="DefaultParagraphFont"/>
    <w:uiPriority w:val="99"/>
    <w:semiHidden/>
    <w:unhideWhenUsed/>
    <w:rsid w:val="00632862"/>
    <w:rPr>
      <w:color w:val="605E5C"/>
      <w:shd w:val="clear" w:color="auto" w:fill="E1DFDD"/>
    </w:rPr>
  </w:style>
  <w:style w:type="character" w:styleId="Strong">
    <w:name w:val="Strong"/>
    <w:basedOn w:val="DefaultParagraphFont"/>
    <w:uiPriority w:val="22"/>
    <w:qFormat/>
    <w:rsid w:val="00A445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jlr.com/reimagine"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jlr.com/annual-report-2023" TargetMode="External"/><Relationship Id="rId17" Type="http://schemas.openxmlformats.org/officeDocument/2006/relationships/hyperlink" Target="https://assets.publishing.service.gov.uk/media/6537c6821bf90d0013d8450b/zev-mandate-consultation-summary-of-responses-and-joint-government-response.pdf" TargetMode="External"/><Relationship Id="rId2" Type="http://schemas.openxmlformats.org/officeDocument/2006/relationships/styles" Target="styles.xml"/><Relationship Id="rId16" Type="http://schemas.openxmlformats.org/officeDocument/2006/relationships/hyperlink" Target="https://www.tandfonline.com/doi/full/10.1080/23311975.2024.240933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udocu.com/en-gb/document/the-robert-gordon-university/business-strategy/dobbs-2014-porters-five-forces/86791455" TargetMode="External"/><Relationship Id="rId5" Type="http://schemas.openxmlformats.org/officeDocument/2006/relationships/footnotes" Target="footnotes.xml"/><Relationship Id="rId15" Type="http://schemas.openxmlformats.org/officeDocument/2006/relationships/hyperlink" Target="https://www.smmt.co.uk/wp-content/uploads/2024/11/SMMT-Motor-Industry-Facts-2024-August.pdf" TargetMode="External"/><Relationship Id="rId10" Type="http://schemas.openxmlformats.org/officeDocument/2006/relationships/hyperlink" Target="https://journals.sagepub.com/doi/10.1177/01492063910170010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ea.auto/files/Economic_and_Market_Report-Full_year-2024.pdf" TargetMode="External"/><Relationship Id="rId14" Type="http://schemas.openxmlformats.org/officeDocument/2006/relationships/hyperlink" Target="https://www.hbs.edu/faculty/Pages/item.aspx?num=39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13</Pages>
  <Words>3491</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14</cp:revision>
  <dcterms:created xsi:type="dcterms:W3CDTF">2026-03-22T10:16:00Z</dcterms:created>
  <dcterms:modified xsi:type="dcterms:W3CDTF">2026-03-22T13:13:00Z</dcterms:modified>
</cp:coreProperties>
</file>