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0B8318" w14:textId="77777777" w:rsidR="00D33DED" w:rsidRDefault="00D33DED" w:rsidP="00D33DED">
      <w:pPr>
        <w:spacing w:after="160" w:line="259" w:lineRule="auto"/>
        <w:jc w:val="center"/>
        <w:rPr>
          <w:b/>
          <w:bCs/>
          <w:sz w:val="32"/>
          <w:szCs w:val="32"/>
        </w:rPr>
      </w:pPr>
    </w:p>
    <w:p w14:paraId="4AB11F5D" w14:textId="77777777" w:rsidR="00D33DED" w:rsidRPr="00D33DED" w:rsidRDefault="00D33DED" w:rsidP="00D33DED">
      <w:pPr>
        <w:spacing w:after="160" w:line="259" w:lineRule="auto"/>
        <w:jc w:val="center"/>
        <w:rPr>
          <w:b/>
          <w:bCs/>
          <w:sz w:val="32"/>
          <w:szCs w:val="32"/>
        </w:rPr>
      </w:pPr>
      <w:r w:rsidRPr="00D33DED">
        <w:rPr>
          <w:b/>
          <w:bCs/>
          <w:sz w:val="32"/>
          <w:szCs w:val="32"/>
        </w:rPr>
        <w:t>LCBB4002</w:t>
      </w:r>
    </w:p>
    <w:p w14:paraId="080CFF24" w14:textId="77777777" w:rsidR="003519DB" w:rsidRDefault="00D33DED" w:rsidP="00D33DED">
      <w:pPr>
        <w:spacing w:after="160" w:line="259" w:lineRule="auto"/>
        <w:jc w:val="center"/>
        <w:rPr>
          <w:rFonts w:eastAsiaTheme="majorEastAsia" w:cstheme="majorBidi"/>
          <w:b/>
          <w:sz w:val="28"/>
          <w:szCs w:val="40"/>
        </w:rPr>
      </w:pPr>
      <w:r w:rsidRPr="00D33DED">
        <w:rPr>
          <w:b/>
          <w:bCs/>
          <w:sz w:val="32"/>
          <w:szCs w:val="32"/>
        </w:rPr>
        <w:t>Community Engagement</w:t>
      </w:r>
      <w:r w:rsidR="003519DB">
        <w:br w:type="page"/>
      </w:r>
    </w:p>
    <w:sdt>
      <w:sdtPr>
        <w:rPr>
          <w:rFonts w:ascii="Arial" w:eastAsia="Calibri" w:hAnsi="Arial" w:cs="Calibri"/>
          <w:color w:val="auto"/>
          <w:sz w:val="22"/>
          <w:szCs w:val="22"/>
          <w:lang w:val="en-GB"/>
        </w:rPr>
        <w:id w:val="-2004187687"/>
        <w:docPartObj>
          <w:docPartGallery w:val="Table of Contents"/>
          <w:docPartUnique/>
        </w:docPartObj>
      </w:sdtPr>
      <w:sdtEndPr>
        <w:rPr>
          <w:b/>
          <w:bCs/>
          <w:noProof/>
        </w:rPr>
      </w:sdtEndPr>
      <w:sdtContent>
        <w:p w14:paraId="75A4BF13" w14:textId="77777777" w:rsidR="003519DB" w:rsidRDefault="003519DB">
          <w:pPr>
            <w:pStyle w:val="TOCHeading"/>
          </w:pPr>
          <w:r>
            <w:t>Table of Contents</w:t>
          </w:r>
        </w:p>
        <w:p w14:paraId="4C43222E" w14:textId="77777777" w:rsidR="003519DB" w:rsidRDefault="003519DB">
          <w:pPr>
            <w:pStyle w:val="TOC1"/>
            <w:tabs>
              <w:tab w:val="right" w:leader="dot" w:pos="9016"/>
            </w:tabs>
            <w:rPr>
              <w:noProof/>
            </w:rPr>
          </w:pPr>
          <w:r>
            <w:fldChar w:fldCharType="begin"/>
          </w:r>
          <w:r>
            <w:instrText xml:space="preserve"> TOC \o "1-3" \h \z \u </w:instrText>
          </w:r>
          <w:r>
            <w:fldChar w:fldCharType="separate"/>
          </w:r>
          <w:hyperlink w:anchor="_Toc116588317" w:history="1">
            <w:r w:rsidRPr="0062242C">
              <w:rPr>
                <w:rStyle w:val="Hyperlink"/>
                <w:noProof/>
              </w:rPr>
              <w:t>Introduction</w:t>
            </w:r>
            <w:r>
              <w:rPr>
                <w:noProof/>
                <w:webHidden/>
              </w:rPr>
              <w:tab/>
            </w:r>
            <w:r>
              <w:rPr>
                <w:noProof/>
                <w:webHidden/>
              </w:rPr>
              <w:fldChar w:fldCharType="begin"/>
            </w:r>
            <w:r>
              <w:rPr>
                <w:noProof/>
                <w:webHidden/>
              </w:rPr>
              <w:instrText xml:space="preserve"> PAGEREF _Toc116588317 \h </w:instrText>
            </w:r>
            <w:r>
              <w:rPr>
                <w:noProof/>
                <w:webHidden/>
              </w:rPr>
            </w:r>
            <w:r>
              <w:rPr>
                <w:noProof/>
                <w:webHidden/>
              </w:rPr>
              <w:fldChar w:fldCharType="separate"/>
            </w:r>
            <w:r>
              <w:rPr>
                <w:noProof/>
                <w:webHidden/>
              </w:rPr>
              <w:t>3</w:t>
            </w:r>
            <w:r>
              <w:rPr>
                <w:noProof/>
                <w:webHidden/>
              </w:rPr>
              <w:fldChar w:fldCharType="end"/>
            </w:r>
          </w:hyperlink>
        </w:p>
        <w:p w14:paraId="4683164D" w14:textId="77777777" w:rsidR="003519DB" w:rsidRDefault="00000000">
          <w:pPr>
            <w:pStyle w:val="TOC1"/>
            <w:tabs>
              <w:tab w:val="right" w:leader="dot" w:pos="9016"/>
            </w:tabs>
            <w:rPr>
              <w:noProof/>
            </w:rPr>
          </w:pPr>
          <w:hyperlink w:anchor="_Toc116588318" w:history="1">
            <w:r w:rsidR="003519DB" w:rsidRPr="0062242C">
              <w:rPr>
                <w:rStyle w:val="Hyperlink"/>
                <w:noProof/>
              </w:rPr>
              <w:t>Marks and Spencer’s resources to improve lives of the community</w:t>
            </w:r>
            <w:r w:rsidR="003519DB">
              <w:rPr>
                <w:noProof/>
                <w:webHidden/>
              </w:rPr>
              <w:tab/>
            </w:r>
            <w:r w:rsidR="003519DB">
              <w:rPr>
                <w:noProof/>
                <w:webHidden/>
              </w:rPr>
              <w:fldChar w:fldCharType="begin"/>
            </w:r>
            <w:r w:rsidR="003519DB">
              <w:rPr>
                <w:noProof/>
                <w:webHidden/>
              </w:rPr>
              <w:instrText xml:space="preserve"> PAGEREF _Toc116588318 \h </w:instrText>
            </w:r>
            <w:r w:rsidR="003519DB">
              <w:rPr>
                <w:noProof/>
                <w:webHidden/>
              </w:rPr>
            </w:r>
            <w:r w:rsidR="003519DB">
              <w:rPr>
                <w:noProof/>
                <w:webHidden/>
              </w:rPr>
              <w:fldChar w:fldCharType="separate"/>
            </w:r>
            <w:r w:rsidR="003519DB">
              <w:rPr>
                <w:noProof/>
                <w:webHidden/>
              </w:rPr>
              <w:t>4</w:t>
            </w:r>
            <w:r w:rsidR="003519DB">
              <w:rPr>
                <w:noProof/>
                <w:webHidden/>
              </w:rPr>
              <w:fldChar w:fldCharType="end"/>
            </w:r>
          </w:hyperlink>
        </w:p>
        <w:p w14:paraId="2DFB6EC7" w14:textId="77777777" w:rsidR="003519DB" w:rsidRDefault="00000000">
          <w:pPr>
            <w:pStyle w:val="TOC1"/>
            <w:tabs>
              <w:tab w:val="right" w:leader="dot" w:pos="9016"/>
            </w:tabs>
            <w:rPr>
              <w:noProof/>
            </w:rPr>
          </w:pPr>
          <w:hyperlink w:anchor="_Toc116588319" w:history="1">
            <w:r w:rsidR="003519DB" w:rsidRPr="0062242C">
              <w:rPr>
                <w:rStyle w:val="Hyperlink"/>
                <w:noProof/>
              </w:rPr>
              <w:t>Key activities of Marks and Spencer in relation with their community engagement activities</w:t>
            </w:r>
            <w:r w:rsidR="003519DB">
              <w:rPr>
                <w:noProof/>
                <w:webHidden/>
              </w:rPr>
              <w:tab/>
            </w:r>
            <w:r w:rsidR="003519DB">
              <w:rPr>
                <w:noProof/>
                <w:webHidden/>
              </w:rPr>
              <w:fldChar w:fldCharType="begin"/>
            </w:r>
            <w:r w:rsidR="003519DB">
              <w:rPr>
                <w:noProof/>
                <w:webHidden/>
              </w:rPr>
              <w:instrText xml:space="preserve"> PAGEREF _Toc116588319 \h </w:instrText>
            </w:r>
            <w:r w:rsidR="003519DB">
              <w:rPr>
                <w:noProof/>
                <w:webHidden/>
              </w:rPr>
            </w:r>
            <w:r w:rsidR="003519DB">
              <w:rPr>
                <w:noProof/>
                <w:webHidden/>
              </w:rPr>
              <w:fldChar w:fldCharType="separate"/>
            </w:r>
            <w:r w:rsidR="003519DB">
              <w:rPr>
                <w:noProof/>
                <w:webHidden/>
              </w:rPr>
              <w:t>5</w:t>
            </w:r>
            <w:r w:rsidR="003519DB">
              <w:rPr>
                <w:noProof/>
                <w:webHidden/>
              </w:rPr>
              <w:fldChar w:fldCharType="end"/>
            </w:r>
          </w:hyperlink>
        </w:p>
        <w:p w14:paraId="21D583DD" w14:textId="77777777" w:rsidR="003519DB" w:rsidRDefault="00000000">
          <w:pPr>
            <w:pStyle w:val="TOC1"/>
            <w:tabs>
              <w:tab w:val="right" w:leader="dot" w:pos="9016"/>
            </w:tabs>
            <w:rPr>
              <w:noProof/>
            </w:rPr>
          </w:pPr>
          <w:hyperlink w:anchor="_Toc116588320" w:history="1">
            <w:r w:rsidR="003519DB" w:rsidRPr="0062242C">
              <w:rPr>
                <w:rStyle w:val="Hyperlink"/>
                <w:noProof/>
              </w:rPr>
              <w:t>The importance of the community engagement role in Marks and Spencer business</w:t>
            </w:r>
            <w:r w:rsidR="003519DB">
              <w:rPr>
                <w:noProof/>
                <w:webHidden/>
              </w:rPr>
              <w:tab/>
            </w:r>
            <w:r w:rsidR="003519DB">
              <w:rPr>
                <w:noProof/>
                <w:webHidden/>
              </w:rPr>
              <w:fldChar w:fldCharType="begin"/>
            </w:r>
            <w:r w:rsidR="003519DB">
              <w:rPr>
                <w:noProof/>
                <w:webHidden/>
              </w:rPr>
              <w:instrText xml:space="preserve"> PAGEREF _Toc116588320 \h </w:instrText>
            </w:r>
            <w:r w:rsidR="003519DB">
              <w:rPr>
                <w:noProof/>
                <w:webHidden/>
              </w:rPr>
            </w:r>
            <w:r w:rsidR="003519DB">
              <w:rPr>
                <w:noProof/>
                <w:webHidden/>
              </w:rPr>
              <w:fldChar w:fldCharType="separate"/>
            </w:r>
            <w:r w:rsidR="003519DB">
              <w:rPr>
                <w:noProof/>
                <w:webHidden/>
              </w:rPr>
              <w:t>6</w:t>
            </w:r>
            <w:r w:rsidR="003519DB">
              <w:rPr>
                <w:noProof/>
                <w:webHidden/>
              </w:rPr>
              <w:fldChar w:fldCharType="end"/>
            </w:r>
          </w:hyperlink>
        </w:p>
        <w:p w14:paraId="17307846" w14:textId="77777777" w:rsidR="003519DB" w:rsidRDefault="00000000">
          <w:pPr>
            <w:pStyle w:val="TOC1"/>
            <w:tabs>
              <w:tab w:val="right" w:leader="dot" w:pos="9016"/>
            </w:tabs>
            <w:rPr>
              <w:noProof/>
            </w:rPr>
          </w:pPr>
          <w:hyperlink w:anchor="_Toc116588321" w:history="1">
            <w:r w:rsidR="003519DB" w:rsidRPr="0062242C">
              <w:rPr>
                <w:rStyle w:val="Hyperlink"/>
                <w:noProof/>
              </w:rPr>
              <w:t>Marks and Spencer future community engagement plans and strategies</w:t>
            </w:r>
            <w:r w:rsidR="003519DB">
              <w:rPr>
                <w:noProof/>
                <w:webHidden/>
              </w:rPr>
              <w:tab/>
            </w:r>
            <w:r w:rsidR="003519DB">
              <w:rPr>
                <w:noProof/>
                <w:webHidden/>
              </w:rPr>
              <w:fldChar w:fldCharType="begin"/>
            </w:r>
            <w:r w:rsidR="003519DB">
              <w:rPr>
                <w:noProof/>
                <w:webHidden/>
              </w:rPr>
              <w:instrText xml:space="preserve"> PAGEREF _Toc116588321 \h </w:instrText>
            </w:r>
            <w:r w:rsidR="003519DB">
              <w:rPr>
                <w:noProof/>
                <w:webHidden/>
              </w:rPr>
            </w:r>
            <w:r w:rsidR="003519DB">
              <w:rPr>
                <w:noProof/>
                <w:webHidden/>
              </w:rPr>
              <w:fldChar w:fldCharType="separate"/>
            </w:r>
            <w:r w:rsidR="003519DB">
              <w:rPr>
                <w:noProof/>
                <w:webHidden/>
              </w:rPr>
              <w:t>8</w:t>
            </w:r>
            <w:r w:rsidR="003519DB">
              <w:rPr>
                <w:noProof/>
                <w:webHidden/>
              </w:rPr>
              <w:fldChar w:fldCharType="end"/>
            </w:r>
          </w:hyperlink>
        </w:p>
        <w:p w14:paraId="3982D7BE" w14:textId="77777777" w:rsidR="003519DB" w:rsidRDefault="00000000">
          <w:pPr>
            <w:pStyle w:val="TOC1"/>
            <w:tabs>
              <w:tab w:val="right" w:leader="dot" w:pos="9016"/>
            </w:tabs>
            <w:rPr>
              <w:noProof/>
            </w:rPr>
          </w:pPr>
          <w:hyperlink w:anchor="_Toc116588322" w:history="1">
            <w:r w:rsidR="003519DB" w:rsidRPr="0062242C">
              <w:rPr>
                <w:rStyle w:val="Hyperlink"/>
                <w:noProof/>
              </w:rPr>
              <w:t>Conclusion</w:t>
            </w:r>
            <w:r w:rsidR="003519DB">
              <w:rPr>
                <w:noProof/>
                <w:webHidden/>
              </w:rPr>
              <w:tab/>
            </w:r>
            <w:r w:rsidR="003519DB">
              <w:rPr>
                <w:noProof/>
                <w:webHidden/>
              </w:rPr>
              <w:fldChar w:fldCharType="begin"/>
            </w:r>
            <w:r w:rsidR="003519DB">
              <w:rPr>
                <w:noProof/>
                <w:webHidden/>
              </w:rPr>
              <w:instrText xml:space="preserve"> PAGEREF _Toc116588322 \h </w:instrText>
            </w:r>
            <w:r w:rsidR="003519DB">
              <w:rPr>
                <w:noProof/>
                <w:webHidden/>
              </w:rPr>
            </w:r>
            <w:r w:rsidR="003519DB">
              <w:rPr>
                <w:noProof/>
                <w:webHidden/>
              </w:rPr>
              <w:fldChar w:fldCharType="separate"/>
            </w:r>
            <w:r w:rsidR="003519DB">
              <w:rPr>
                <w:noProof/>
                <w:webHidden/>
              </w:rPr>
              <w:t>11</w:t>
            </w:r>
            <w:r w:rsidR="003519DB">
              <w:rPr>
                <w:noProof/>
                <w:webHidden/>
              </w:rPr>
              <w:fldChar w:fldCharType="end"/>
            </w:r>
          </w:hyperlink>
        </w:p>
        <w:p w14:paraId="6B9B6458" w14:textId="77777777" w:rsidR="003519DB" w:rsidRDefault="00000000">
          <w:pPr>
            <w:pStyle w:val="TOC1"/>
            <w:tabs>
              <w:tab w:val="right" w:leader="dot" w:pos="9016"/>
            </w:tabs>
            <w:rPr>
              <w:noProof/>
            </w:rPr>
          </w:pPr>
          <w:hyperlink w:anchor="_Toc116588323" w:history="1">
            <w:r w:rsidR="003519DB" w:rsidRPr="0062242C">
              <w:rPr>
                <w:rStyle w:val="Hyperlink"/>
                <w:noProof/>
              </w:rPr>
              <w:t>References</w:t>
            </w:r>
            <w:r w:rsidR="003519DB">
              <w:rPr>
                <w:noProof/>
                <w:webHidden/>
              </w:rPr>
              <w:tab/>
            </w:r>
            <w:r w:rsidR="003519DB">
              <w:rPr>
                <w:noProof/>
                <w:webHidden/>
              </w:rPr>
              <w:fldChar w:fldCharType="begin"/>
            </w:r>
            <w:r w:rsidR="003519DB">
              <w:rPr>
                <w:noProof/>
                <w:webHidden/>
              </w:rPr>
              <w:instrText xml:space="preserve"> PAGEREF _Toc116588323 \h </w:instrText>
            </w:r>
            <w:r w:rsidR="003519DB">
              <w:rPr>
                <w:noProof/>
                <w:webHidden/>
              </w:rPr>
            </w:r>
            <w:r w:rsidR="003519DB">
              <w:rPr>
                <w:noProof/>
                <w:webHidden/>
              </w:rPr>
              <w:fldChar w:fldCharType="separate"/>
            </w:r>
            <w:r w:rsidR="003519DB">
              <w:rPr>
                <w:noProof/>
                <w:webHidden/>
              </w:rPr>
              <w:t>12</w:t>
            </w:r>
            <w:r w:rsidR="003519DB">
              <w:rPr>
                <w:noProof/>
                <w:webHidden/>
              </w:rPr>
              <w:fldChar w:fldCharType="end"/>
            </w:r>
          </w:hyperlink>
        </w:p>
        <w:p w14:paraId="43657962" w14:textId="77777777" w:rsidR="003519DB" w:rsidRDefault="003519DB">
          <w:r>
            <w:rPr>
              <w:b/>
              <w:bCs/>
              <w:noProof/>
            </w:rPr>
            <w:fldChar w:fldCharType="end"/>
          </w:r>
        </w:p>
      </w:sdtContent>
    </w:sdt>
    <w:p w14:paraId="26EE705B" w14:textId="77777777" w:rsidR="003519DB" w:rsidRDefault="003519DB">
      <w:pPr>
        <w:spacing w:after="160" w:line="259" w:lineRule="auto"/>
        <w:jc w:val="left"/>
        <w:rPr>
          <w:rFonts w:eastAsiaTheme="majorEastAsia" w:cstheme="majorBidi"/>
          <w:b/>
          <w:sz w:val="28"/>
          <w:szCs w:val="40"/>
        </w:rPr>
      </w:pPr>
      <w:r>
        <w:br w:type="page"/>
      </w:r>
    </w:p>
    <w:p w14:paraId="24591F0A" w14:textId="77777777" w:rsidR="005E1993" w:rsidRDefault="00640680" w:rsidP="00640680">
      <w:pPr>
        <w:pStyle w:val="Heading1"/>
      </w:pPr>
      <w:bookmarkStart w:id="0" w:name="_Toc116588317"/>
      <w:r>
        <w:lastRenderedPageBreak/>
        <w:t>Introduction</w:t>
      </w:r>
      <w:bookmarkEnd w:id="0"/>
      <w:r>
        <w:t xml:space="preserve"> </w:t>
      </w:r>
    </w:p>
    <w:p w14:paraId="0A087D28" w14:textId="77777777" w:rsidR="00514558" w:rsidRDefault="00514558" w:rsidP="00514558">
      <w:r>
        <w:t xml:space="preserve">Marks &amp; Spencer Holding Company is listed on The London Stock Exchange, England. Its brand is connected with premium clothing, home goods, and food packaging. The firm was responsible for 500 M&amp;S outlets in 30 countries as well as the acquisition of the American </w:t>
      </w:r>
      <w:r w:rsidR="000B45C9">
        <w:t>Chains</w:t>
      </w:r>
      <w:r>
        <w:t xml:space="preserve"> Brooks Boys and King's Superstores, generating about £8 billion in retail sales. Due to the success of its private retail brand St. Michael and its powerful United Kingdom consumer finance operation, the company generated pre-tax earnings in excess of £1 billion. Recently, they have included community involvement into their expansion plan</w:t>
      </w:r>
      <w:r w:rsidR="00930B10" w:rsidRPr="00930B10">
        <w:rPr>
          <w:rFonts w:cs="Arial"/>
          <w:color w:val="000000"/>
          <w:sz w:val="20"/>
          <w:szCs w:val="20"/>
          <w:shd w:val="clear" w:color="auto" w:fill="FFFFFF"/>
        </w:rPr>
        <w:t xml:space="preserve"> </w:t>
      </w:r>
      <w:r w:rsidR="00930B10" w:rsidRPr="00930B10">
        <w:t>(Boo and Decker, 2011)</w:t>
      </w:r>
      <w:r>
        <w:t>.</w:t>
      </w:r>
    </w:p>
    <w:p w14:paraId="02B615B1" w14:textId="77777777" w:rsidR="00640680" w:rsidRDefault="00514558" w:rsidP="00514558">
      <w:r>
        <w:t xml:space="preserve">This story was inspired by the multinational British shop </w:t>
      </w:r>
      <w:r w:rsidR="000B45C9">
        <w:t>Marks &amp; Spencer</w:t>
      </w:r>
      <w:r>
        <w:t>. In order to assure their continuous success in the future, it is true that huge firms are adapting their operational strategies. Consequently, the public's perception of the brand would improve, and the community as a whole would expand. This study demonstrates the increasing significance of corporate community involvement. The report evaluates the literature on community participation and its outcomes, as well as communication and engagement outcomes. The Marks &amp; Spencer community participation strategy has been analysed, and a recommendation has been made.</w:t>
      </w:r>
    </w:p>
    <w:p w14:paraId="1E6AD695" w14:textId="77777777" w:rsidR="00640680" w:rsidRDefault="00640680">
      <w:pPr>
        <w:spacing w:after="160" w:line="259" w:lineRule="auto"/>
        <w:jc w:val="left"/>
      </w:pPr>
      <w:r>
        <w:br w:type="page"/>
      </w:r>
    </w:p>
    <w:p w14:paraId="03B6DD37" w14:textId="77777777" w:rsidR="00E5634F" w:rsidRDefault="00E5634F" w:rsidP="00E5634F">
      <w:pPr>
        <w:pStyle w:val="Heading1"/>
      </w:pPr>
      <w:bookmarkStart w:id="1" w:name="_Toc116588318"/>
      <w:r>
        <w:lastRenderedPageBreak/>
        <w:t>Marks and Spencer’s resources to improve lives of the community</w:t>
      </w:r>
      <w:bookmarkEnd w:id="1"/>
    </w:p>
    <w:p w14:paraId="19512B40" w14:textId="77777777" w:rsidR="00514558" w:rsidRDefault="00514558" w:rsidP="00514558">
      <w:r>
        <w:t>Consistently increased output is achieved by employees who feel encouraged to perform their best work. Improvements in organisational expansion are mostly attributable to personnel performance</w:t>
      </w:r>
      <w:r w:rsidR="00930B10" w:rsidRPr="00930B10">
        <w:rPr>
          <w:rFonts w:cs="Arial"/>
          <w:color w:val="000000"/>
          <w:sz w:val="20"/>
          <w:szCs w:val="20"/>
          <w:shd w:val="clear" w:color="auto" w:fill="FFFFFF"/>
        </w:rPr>
        <w:t xml:space="preserve"> </w:t>
      </w:r>
      <w:r w:rsidR="00930B10" w:rsidRPr="00930B10">
        <w:t>(</w:t>
      </w:r>
      <w:proofErr w:type="spellStart"/>
      <w:r w:rsidR="00930B10" w:rsidRPr="00930B10">
        <w:t>Gardinier</w:t>
      </w:r>
      <w:proofErr w:type="spellEnd"/>
      <w:r w:rsidR="00930B10" w:rsidRPr="00930B10">
        <w:t>, 2014)</w:t>
      </w:r>
      <w:r>
        <w:t>. Their efforts do not always yield the desired outcomes. Moreover, corporate community involvement assists organisations in fostering greater employee productivity. Mandatory employee buy-in is required for CCI projects. Commonly employed by businesses in an effort to influence public opinion. Additionally, it is utilised to enhance marketing campaigns. It is a generally held belief among C-suite executives that large events, such as television dramas, are manufactured by companies in an effort to attract superstars. The number of people who are able and willing to donate is increasing significantly, as is people's optimism. This type of action increases the visibility of a company. This type of social impact on programmes has ripple effects throughout the entire organisation. Influence the CCI activities and sales of your company. CCIs are widely misunderstood, which leads to companies making poor decisions. CCI must adhere to the established social conventions. Similar situations exist in every region of the world.</w:t>
      </w:r>
    </w:p>
    <w:p w14:paraId="59F4E66D" w14:textId="77777777" w:rsidR="00514558" w:rsidRDefault="00514558" w:rsidP="00514558">
      <w:r>
        <w:t>Most individuals would not choose to discuss their private lives in order to garner more attention. Staff participation and utilisation of these channels go hand in hand. If employees are not committed to a CCI, the same amount of money invested in it will be wasted. As a result, CCI's investment does not generate a profit</w:t>
      </w:r>
      <w:r w:rsidR="00930B10" w:rsidRPr="00930B10">
        <w:rPr>
          <w:rFonts w:cs="Arial"/>
          <w:color w:val="000000"/>
          <w:sz w:val="20"/>
          <w:szCs w:val="20"/>
          <w:shd w:val="clear" w:color="auto" w:fill="FFFFFF"/>
        </w:rPr>
        <w:t xml:space="preserve"> </w:t>
      </w:r>
      <w:r w:rsidR="00930B10" w:rsidRPr="00930B10">
        <w:t xml:space="preserve">(Jacob, </w:t>
      </w:r>
      <w:proofErr w:type="spellStart"/>
      <w:r w:rsidR="00930B10" w:rsidRPr="00930B10">
        <w:t>Sutin</w:t>
      </w:r>
      <w:proofErr w:type="spellEnd"/>
      <w:r w:rsidR="00930B10" w:rsidRPr="00930B10">
        <w:t>, Weidman and Yeager, 2017)</w:t>
      </w:r>
      <w:r>
        <w:t>. Participation from the employees is also essential for the development of a successful CCI. All CCI initiatives will fail if employees are not totally invested. The initiatives of a firm can be supported by employees who assume leadership roles. Projects like as CCI will engage employees in volunteer work, and their enhanced social skills will result in corporate success.</w:t>
      </w:r>
    </w:p>
    <w:p w14:paraId="2338DBEF" w14:textId="77777777" w:rsidR="007725EE" w:rsidRDefault="00514558" w:rsidP="00514558">
      <w:r>
        <w:t>Marks and Spence is a well-known organisation in the United Kingdom that uses donations to assist the disadvantaged. There are currently more people over the age of 60 in the United Kingdom than ever before in the country's history. Marks and Spence acknowledges that ageing is neither a defect nor a disease, but that it might be challenging for some individuals; hence, the company offers national and provincial services and help to engage and encourage its older employees. Marks and Spence's principal mission is to advocate for and protect the interests of the elderly, both now and in the future</w:t>
      </w:r>
      <w:r w:rsidR="00930B10" w:rsidRPr="00930B10">
        <w:rPr>
          <w:rFonts w:cs="Arial"/>
          <w:color w:val="000000"/>
          <w:sz w:val="20"/>
          <w:szCs w:val="20"/>
          <w:shd w:val="clear" w:color="auto" w:fill="FFFFFF"/>
        </w:rPr>
        <w:t xml:space="preserve"> </w:t>
      </w:r>
      <w:r w:rsidR="00930B10" w:rsidRPr="00930B10">
        <w:t>(Norris, 2013)</w:t>
      </w:r>
      <w:r>
        <w:t>. With a network of over 450 stores and a vast and ever-changing selection of products, many of which reflect the goodwill and commodity that is provided by the general public, Marks &amp; Spence is doing a remarkable job of assisting those in need, particularly those over the age of 60. Marks and Spence offers numerous services, including counsel and help. Health and Care Facilities will involve the public in voting and research as it relates to those in need, particularly those over 60 years old.</w:t>
      </w:r>
    </w:p>
    <w:p w14:paraId="575A2EB9" w14:textId="77777777" w:rsidR="007725EE" w:rsidRDefault="007725EE" w:rsidP="007725EE">
      <w:pPr>
        <w:pStyle w:val="Heading1"/>
      </w:pPr>
      <w:bookmarkStart w:id="2" w:name="_Toc116588319"/>
      <w:r>
        <w:lastRenderedPageBreak/>
        <w:t>Key activities of Marks and Spencer in relation with their community engagement activities</w:t>
      </w:r>
      <w:bookmarkEnd w:id="2"/>
    </w:p>
    <w:p w14:paraId="39BF5350" w14:textId="77777777" w:rsidR="007725EE" w:rsidRDefault="007725EE" w:rsidP="007725EE">
      <w:r w:rsidRPr="00514558">
        <w:t xml:space="preserve">Primark has started a community-giving programme. M&amp;S will partner with municipal governments and </w:t>
      </w:r>
      <w:r w:rsidR="000B45C9" w:rsidRPr="00514558">
        <w:t>non-profits</w:t>
      </w:r>
      <w:r w:rsidRPr="00514558">
        <w:t xml:space="preserve"> to enhance communities. Today is "Make it Matter Day," when M&amp;S urged the UK to "score every purchase" and "spend it well." Over two years, it will be developed and tested in ten districts of the city, where M&amp;S will try out a number of treatments targeted to solve local challenges such as employment rate, strength inadequacies, poverty, inequity, and general happiness. Successful programmes will provide 1 million places by 2025 and 24 cities by 2023</w:t>
      </w:r>
      <w:r>
        <w:t xml:space="preserve"> (</w:t>
      </w:r>
      <w:r w:rsidRPr="009B1772">
        <w:t>Smith,</w:t>
      </w:r>
      <w:r>
        <w:t xml:space="preserve"> 2015)</w:t>
      </w:r>
      <w:r w:rsidRPr="00514558">
        <w:t>. Steve Rowe, CEO of Marks &amp; Spencer, said, "For three centuries, Marks &amp; Spencer has stood at the vanguard of social change. We're devoted to continuing to do so by adopting bold steps to help consumers and neighbourhoods live happier, healthier lives" M&amp;S's whole UK retail network is witnessing increasing evidence that local communities need them to bring about positive change. They've considered mental illness advocacy, social inclusion, and employment skills. They believe they can help the community. They're starting with 10 cities to acquire experience, make improvements, and develop a flexible strategy to serve 1,000 by 2025. M&amp;S will track how residents feel about their community, including their optimism, connections, and sense of belonging, alongside The Global Innovation Partners. M&amp;S will cooperate with municipal governments and other organisations like Businesses.</w:t>
      </w:r>
    </w:p>
    <w:p w14:paraId="7BEBF14F" w14:textId="77777777" w:rsidR="007725EE" w:rsidRDefault="007725EE" w:rsidP="007725EE">
      <w:r>
        <w:t>There will be separate events for each industry, such as business, mental health, and hospital charity. The appendix of the report contains specifics.</w:t>
      </w:r>
    </w:p>
    <w:p w14:paraId="25956E52" w14:textId="77777777" w:rsidR="00C61F41" w:rsidRDefault="000B45C9" w:rsidP="007725EE">
      <w:r>
        <w:t>Marks &amp; Spencer</w:t>
      </w:r>
      <w:r w:rsidR="007725EE">
        <w:t xml:space="preserve"> hosted a discussion on employee programmes. In the next four years, senior leaders are assisting M&amp;S employees in donating one million paid hours to public participation. By 2022, their bags will be recyclable, they will eliminate 50 percent of their uneaten food, and a board will ensure that 50 percent of global food sales will be nutritious foods. They will donate £30 million to cancer, heart disease, mental illness, poverty, and disability organisations by 2025. M&amp;S wants to employ only renewable resources and create a greener city by 2025 (Spencer, 2012).</w:t>
      </w:r>
      <w:r w:rsidR="00C61F41">
        <w:br w:type="page"/>
      </w:r>
    </w:p>
    <w:p w14:paraId="70B5F4C3" w14:textId="77777777" w:rsidR="00C61F41" w:rsidRDefault="00C61F41" w:rsidP="00C61F41">
      <w:pPr>
        <w:pStyle w:val="Heading1"/>
      </w:pPr>
      <w:bookmarkStart w:id="3" w:name="_Toc116588320"/>
      <w:r>
        <w:lastRenderedPageBreak/>
        <w:t>The importance of the community engagement role in Marks and Spencer business</w:t>
      </w:r>
      <w:bookmarkEnd w:id="3"/>
    </w:p>
    <w:p w14:paraId="0F7BC6CB" w14:textId="5EB3F015" w:rsidR="00514558" w:rsidRDefault="00514558" w:rsidP="00514558">
      <w:r>
        <w:t>Investing in the local community is an excellent method for businesses to make a favourable impact on their consumers and the locals. There are numerous ways in which corporations might conduct community service. It is feasible for them to contribute financially on behalf of the business. Alternatively, they may partner with a charity to provide volunteer days for employees. Community involvement may be an excellent marketing platform for businesses.</w:t>
      </w:r>
    </w:p>
    <w:p w14:paraId="1A86073B" w14:textId="77777777" w:rsidR="0088139E" w:rsidRDefault="00514558" w:rsidP="00514558">
      <w:r>
        <w:t>Additionally, it will assist preserve the company's principles. By continuously giving back to the communities in which they operate, businesses not only boost their own bottom lines, but also develop better links with their neighbours. This will aid the least fortunate and improve the quality of life for individuals. A corporation can differentiate itself from its rivals by joining the organisation. A quarter of the company's employees have participated in volunteer projects. The retailer Marks &amp; Spencer has revealed a £3 billion outreach and improvement initiative. In this post, we will highlight the benefits that businesses who participate actively in their local communities get.</w:t>
      </w:r>
    </w:p>
    <w:p w14:paraId="22D01FBA" w14:textId="77777777" w:rsidR="0088139E" w:rsidRDefault="0088139E" w:rsidP="00C61F41">
      <w:r>
        <w:t>I</w:t>
      </w:r>
      <w:r w:rsidRPr="0088139E">
        <w:rPr>
          <w:b/>
          <w:bCs/>
        </w:rPr>
        <w:t>ncreasing brand awareness</w:t>
      </w:r>
      <w:r>
        <w:t xml:space="preserve"> </w:t>
      </w:r>
    </w:p>
    <w:p w14:paraId="255DEC60" w14:textId="77777777" w:rsidR="0088139E" w:rsidRDefault="00514558" w:rsidP="00C61F41">
      <w:r w:rsidRPr="00514558">
        <w:t xml:space="preserve">Customers have an immediate mental image of the company because of its well-known brand. It is obvious that when someone says they need </w:t>
      </w:r>
      <w:r w:rsidR="000B45C9" w:rsidRPr="00514558">
        <w:t>Windex;</w:t>
      </w:r>
      <w:r w:rsidRPr="00514558">
        <w:t xml:space="preserve"> they are referring to the cleaning product. This is why: Windex is popular for a good reason. Brand recognition is essential for all businesses, but especially so for start-ups. In addition, consumers who are unfamiliar with the brand are significantly less likely to make a purchase</w:t>
      </w:r>
      <w:r w:rsidR="00930B10" w:rsidRPr="00930B10">
        <w:rPr>
          <w:rFonts w:cs="Arial"/>
          <w:color w:val="000000"/>
          <w:sz w:val="20"/>
          <w:szCs w:val="20"/>
          <w:shd w:val="clear" w:color="auto" w:fill="FFFFFF"/>
        </w:rPr>
        <w:t xml:space="preserve"> </w:t>
      </w:r>
      <w:r w:rsidR="00930B10" w:rsidRPr="00930B10">
        <w:t>(Simon, 2010)</w:t>
      </w:r>
      <w:r w:rsidRPr="00514558">
        <w:t>. By giving back to their communities, employees increase brand awareness. Even though they are not the ideal customers for the business, they can help spread the word.</w:t>
      </w:r>
    </w:p>
    <w:p w14:paraId="1F41F57F" w14:textId="77777777" w:rsidR="0088139E" w:rsidRPr="0088139E" w:rsidRDefault="00514558" w:rsidP="00C61F41">
      <w:pPr>
        <w:rPr>
          <w:b/>
          <w:bCs/>
        </w:rPr>
      </w:pPr>
      <w:r w:rsidRPr="00514558">
        <w:rPr>
          <w:b/>
          <w:bCs/>
        </w:rPr>
        <w:t>Strengthening confidence in the process</w:t>
      </w:r>
      <w:r w:rsidR="0088139E" w:rsidRPr="0088139E">
        <w:rPr>
          <w:b/>
          <w:bCs/>
        </w:rPr>
        <w:t xml:space="preserve"> </w:t>
      </w:r>
    </w:p>
    <w:p w14:paraId="4073BBB7" w14:textId="77777777" w:rsidR="0088139E" w:rsidRPr="00C61F41" w:rsidRDefault="00514558" w:rsidP="00C61F41">
      <w:r w:rsidRPr="00514558">
        <w:t>If consumers lack confidence in your company, they will not purchase from you. This is particularly true in the present, more challenging market. Customers are more likely to shop elsewhere if they have difficulty placing their trust in a company. Participating in group exercises can also cultivate one's faith. It is advantageous for a company's reputation to be viewed as one that contributes to non-profit causes. People are inclined to support businesses that aid the disadvantaged</w:t>
      </w:r>
      <w:r w:rsidR="00930B10" w:rsidRPr="00930B10">
        <w:rPr>
          <w:rFonts w:cs="Arial"/>
          <w:color w:val="000000"/>
          <w:sz w:val="20"/>
          <w:szCs w:val="20"/>
          <w:shd w:val="clear" w:color="auto" w:fill="FFFFFF"/>
        </w:rPr>
        <w:t xml:space="preserve"> </w:t>
      </w:r>
      <w:r w:rsidR="00930B10" w:rsidRPr="00930B10">
        <w:t>(Welch and Saltmarsh, 2013)</w:t>
      </w:r>
      <w:r w:rsidRPr="00514558">
        <w:t>. Clients are more likely to support a business whose employees are actively engaged in community service, either directly or indirectly through social media word-of-mouth. Once trust has been established, they have a much greater chance of successfully expanding the company's reputation. To provide consumers with an incentive to choose their product over a rival's.</w:t>
      </w:r>
    </w:p>
    <w:p w14:paraId="32F52643" w14:textId="77777777" w:rsidR="0088139E" w:rsidRDefault="0088139E" w:rsidP="00C61F41">
      <w:pPr>
        <w:rPr>
          <w:b/>
          <w:bCs/>
        </w:rPr>
      </w:pPr>
    </w:p>
    <w:p w14:paraId="01C99676" w14:textId="77777777" w:rsidR="0088139E" w:rsidRDefault="0088139E" w:rsidP="00C61F41">
      <w:pPr>
        <w:rPr>
          <w:b/>
          <w:bCs/>
        </w:rPr>
      </w:pPr>
    </w:p>
    <w:p w14:paraId="2D9DD03C" w14:textId="77777777" w:rsidR="0088139E" w:rsidRDefault="00514558" w:rsidP="00C61F41">
      <w:r w:rsidRPr="00514558">
        <w:rPr>
          <w:b/>
          <w:bCs/>
        </w:rPr>
        <w:lastRenderedPageBreak/>
        <w:t>Promoting employee participation in community service</w:t>
      </w:r>
    </w:p>
    <w:p w14:paraId="1A4A5D73" w14:textId="77777777" w:rsidR="00930B10" w:rsidRDefault="00514558" w:rsidP="00C61F41">
      <w:r w:rsidRPr="00514558">
        <w:t>Changes should be made to encourage employees to volunteer during company-sponsored time off. Either the company promotes a small number of specific volunteer programmes, or it allows employees to join the military at their own discretion</w:t>
      </w:r>
      <w:r w:rsidR="00930B10">
        <w:t xml:space="preserve"> (</w:t>
      </w:r>
      <w:r w:rsidR="00930B10" w:rsidRPr="00930B10">
        <w:t>Dempsey,</w:t>
      </w:r>
      <w:r w:rsidR="00930B10">
        <w:t xml:space="preserve"> 2010)</w:t>
      </w:r>
      <w:r>
        <w:t>.</w:t>
      </w:r>
    </w:p>
    <w:p w14:paraId="31EFD27B" w14:textId="77777777" w:rsidR="00A020A7" w:rsidRPr="00930B10" w:rsidRDefault="00514558" w:rsidP="00C61F41">
      <w:r w:rsidRPr="00514558">
        <w:rPr>
          <w:b/>
          <w:bCs/>
        </w:rPr>
        <w:t>Exchange of Knowledge</w:t>
      </w:r>
      <w:r w:rsidR="00A020A7" w:rsidRPr="00A020A7">
        <w:rPr>
          <w:b/>
          <w:bCs/>
        </w:rPr>
        <w:t xml:space="preserve"> </w:t>
      </w:r>
    </w:p>
    <w:p w14:paraId="586A7A05" w14:textId="77777777" w:rsidR="00A020A7" w:rsidRDefault="00514558" w:rsidP="00C61F41">
      <w:r w:rsidRPr="00514558">
        <w:t>Customers of a business may be useful to members of the local community. If a non-profit organisation requires a web design company but lacks the funds to pay for one, some for-profit organisations may give their services for free.</w:t>
      </w:r>
    </w:p>
    <w:p w14:paraId="07D7FAA5" w14:textId="77777777" w:rsidR="00A020A7" w:rsidRDefault="00A020A7">
      <w:pPr>
        <w:spacing w:after="160" w:line="259" w:lineRule="auto"/>
        <w:jc w:val="left"/>
      </w:pPr>
      <w:r>
        <w:br w:type="page"/>
      </w:r>
    </w:p>
    <w:p w14:paraId="03B743D8" w14:textId="77777777" w:rsidR="00A020A7" w:rsidRDefault="00A020A7" w:rsidP="00A020A7">
      <w:pPr>
        <w:pStyle w:val="Heading1"/>
      </w:pPr>
      <w:bookmarkStart w:id="4" w:name="_Toc116588321"/>
      <w:r>
        <w:lastRenderedPageBreak/>
        <w:t>Marks and Spencer future community engagement plans and strategies</w:t>
      </w:r>
      <w:bookmarkEnd w:id="4"/>
    </w:p>
    <w:p w14:paraId="28B255EA" w14:textId="77777777" w:rsidR="000B45C9" w:rsidRDefault="00514558" w:rsidP="000B45C9">
      <w:r w:rsidRPr="00514558">
        <w:t>By doing so, H&amp;M will inspire countless individuals across the globe to contribute to humanitarian causes. This would enhance their reputation and make their neighbourhood a more pleasant place to live. Every time a consumer uses their M&amp;S Sparks Ticket to make a purchase, M&amp;S will donate 1p to the charity of their choosing. M&amp;S has contributed around £7 million to the Spark charity in 2015. They have chosen to expand the number of participating charities from 10 to sixty in order to accommodate a bigger audience</w:t>
      </w:r>
      <w:r w:rsidR="00860CFC">
        <w:t xml:space="preserve"> (</w:t>
      </w:r>
      <w:r w:rsidR="00860CFC" w:rsidRPr="00860CFC">
        <w:t>Newman,</w:t>
      </w:r>
      <w:r w:rsidR="00860CFC">
        <w:t xml:space="preserve"> 2016)</w:t>
      </w:r>
      <w:r w:rsidRPr="00514558">
        <w:t>. What they aim to accomplish with consumers and what they can provide outstanding compassionate partners in terms of finance, expertise of the topic, outreach initiatives, and storage space should be determined through brainstorming and conversation with the core business unit's senior leadership. With the assistance of their alliances, both consumer and staff concerns will be handled. This good cause can be supported through sponsorship of the World's largest Coffee Evening</w:t>
      </w:r>
      <w:r w:rsidR="00FA0D05">
        <w:t xml:space="preserve"> (Driscoll, 2018)</w:t>
      </w:r>
      <w:r w:rsidRPr="00514558">
        <w:t>. To excite and engage clients, employees could go above and above by participating in contests and fundraising efforts. Since 2010, they have raised over £12.5 million in sponsorships to offer important psychosocial assistance in communities throughout the United Kingdom.</w:t>
      </w:r>
      <w:bookmarkStart w:id="5" w:name="_Toc116588322"/>
    </w:p>
    <w:p w14:paraId="5C96BE6F" w14:textId="77777777" w:rsidR="000B45C9" w:rsidRDefault="000B45C9" w:rsidP="000B45C9"/>
    <w:p w14:paraId="1E148CA8" w14:textId="77777777" w:rsidR="00514558" w:rsidRDefault="00514558" w:rsidP="000B45C9">
      <w:pPr>
        <w:pStyle w:val="Heading1"/>
      </w:pPr>
      <w:r>
        <w:t>Conclusion</w:t>
      </w:r>
      <w:bookmarkEnd w:id="5"/>
      <w:r>
        <w:t xml:space="preserve"> </w:t>
      </w:r>
    </w:p>
    <w:p w14:paraId="1564C4D4" w14:textId="77777777" w:rsidR="00F5231B" w:rsidRDefault="002C54D1" w:rsidP="002C54D1">
      <w:r w:rsidRPr="002C54D1">
        <w:t>Mark &amp; Spencer does not need to make additional efforts to raise money for charity. They may instead make an effort to teach their employees to care about the world beyond the confines of their own company. Thus, everyone feels they have a stake in the company's future and is more committed to the transformation. In the past, corporate involvement in local communities has been associated with increased output. In 2020, Marks &amp; Spencer's sales totalled 10, 18 billion GBP due in part to its community involvement</w:t>
      </w:r>
      <w:r w:rsidR="004A534C">
        <w:t xml:space="preserve"> (</w:t>
      </w:r>
      <w:r w:rsidR="004A534C" w:rsidRPr="004A534C">
        <w:t>Holzer,</w:t>
      </w:r>
      <w:r w:rsidR="004A534C">
        <w:t xml:space="preserve"> 2014)</w:t>
      </w:r>
      <w:r w:rsidRPr="002C54D1">
        <w:t>. As part of their efforts, they have made 296 sweeping commitments to social sustainability, won 240 awards, and saved nearly £500 million by reducing power consumption, shipping costs, and packaging use.</w:t>
      </w:r>
    </w:p>
    <w:p w14:paraId="55DFAA8B" w14:textId="77777777" w:rsidR="002C54D1" w:rsidRDefault="002C54D1">
      <w:pPr>
        <w:spacing w:after="160" w:line="259" w:lineRule="auto"/>
        <w:jc w:val="left"/>
      </w:pPr>
      <w:r>
        <w:br w:type="page"/>
      </w:r>
    </w:p>
    <w:p w14:paraId="009E72D0" w14:textId="77777777" w:rsidR="002C54D1" w:rsidRDefault="002C54D1" w:rsidP="002C54D1">
      <w:pPr>
        <w:pStyle w:val="Heading1"/>
      </w:pPr>
      <w:bookmarkStart w:id="6" w:name="_Toc116588323"/>
      <w:r>
        <w:lastRenderedPageBreak/>
        <w:t>References</w:t>
      </w:r>
      <w:bookmarkEnd w:id="6"/>
      <w:r>
        <w:t xml:space="preserve"> </w:t>
      </w:r>
    </w:p>
    <w:p w14:paraId="0067E4CB" w14:textId="77777777" w:rsidR="0081543E" w:rsidRPr="0081543E" w:rsidRDefault="0081543E" w:rsidP="0081543E">
      <w:pPr>
        <w:ind w:left="720" w:hanging="720"/>
        <w:rPr>
          <w:sz w:val="24"/>
          <w:szCs w:val="24"/>
        </w:rPr>
      </w:pPr>
      <w:r w:rsidRPr="0081543E">
        <w:rPr>
          <w:sz w:val="24"/>
          <w:szCs w:val="24"/>
        </w:rPr>
        <w:t>Boo, M. and Decker, L., 2011. </w:t>
      </w:r>
      <w:r w:rsidRPr="0081543E">
        <w:rPr>
          <w:i/>
          <w:iCs/>
          <w:sz w:val="24"/>
          <w:szCs w:val="24"/>
        </w:rPr>
        <w:t>The learning community</w:t>
      </w:r>
      <w:r w:rsidRPr="0081543E">
        <w:rPr>
          <w:sz w:val="24"/>
          <w:szCs w:val="24"/>
        </w:rPr>
        <w:t>. Washington, DC: National Community Education Association.</w:t>
      </w:r>
    </w:p>
    <w:p w14:paraId="2CC0FF70" w14:textId="77777777" w:rsidR="0081543E" w:rsidRPr="0081543E" w:rsidRDefault="0081543E" w:rsidP="0081543E">
      <w:pPr>
        <w:ind w:left="720" w:hanging="720"/>
        <w:rPr>
          <w:sz w:val="24"/>
          <w:szCs w:val="24"/>
        </w:rPr>
      </w:pPr>
      <w:r w:rsidRPr="0081543E">
        <w:rPr>
          <w:sz w:val="24"/>
          <w:szCs w:val="24"/>
        </w:rPr>
        <w:t>Dempsey, S.E., 2010. Critiquing community engagement. </w:t>
      </w:r>
      <w:r w:rsidRPr="0081543E">
        <w:rPr>
          <w:i/>
          <w:iCs/>
          <w:sz w:val="24"/>
          <w:szCs w:val="24"/>
        </w:rPr>
        <w:t>Management Communication Quarterly</w:t>
      </w:r>
      <w:r w:rsidRPr="0081543E">
        <w:rPr>
          <w:sz w:val="24"/>
          <w:szCs w:val="24"/>
        </w:rPr>
        <w:t>, </w:t>
      </w:r>
      <w:r w:rsidRPr="0081543E">
        <w:rPr>
          <w:i/>
          <w:iCs/>
          <w:sz w:val="24"/>
          <w:szCs w:val="24"/>
        </w:rPr>
        <w:t>24</w:t>
      </w:r>
      <w:r w:rsidRPr="0081543E">
        <w:rPr>
          <w:sz w:val="24"/>
          <w:szCs w:val="24"/>
        </w:rPr>
        <w:t>(3), pp.359-390.</w:t>
      </w:r>
    </w:p>
    <w:p w14:paraId="03142E4E" w14:textId="77777777" w:rsidR="0081543E" w:rsidRPr="0081543E" w:rsidRDefault="0081543E" w:rsidP="0081543E">
      <w:pPr>
        <w:ind w:left="720" w:hanging="720"/>
        <w:rPr>
          <w:sz w:val="24"/>
          <w:szCs w:val="24"/>
        </w:rPr>
      </w:pPr>
      <w:r w:rsidRPr="0081543E">
        <w:rPr>
          <w:sz w:val="24"/>
          <w:szCs w:val="24"/>
        </w:rPr>
        <w:t>Driscoll, A., 2018. Carnegie's community-engagement classification: Intentions and insights. Change: The Magazine of Higher Learning, 40(1), pp.38-41.</w:t>
      </w:r>
    </w:p>
    <w:p w14:paraId="38411431" w14:textId="77777777" w:rsidR="0081543E" w:rsidRPr="0081543E" w:rsidRDefault="0081543E" w:rsidP="0081543E">
      <w:pPr>
        <w:ind w:left="720" w:hanging="720"/>
        <w:rPr>
          <w:sz w:val="24"/>
          <w:szCs w:val="24"/>
        </w:rPr>
      </w:pPr>
      <w:proofErr w:type="spellStart"/>
      <w:r w:rsidRPr="0081543E">
        <w:rPr>
          <w:sz w:val="24"/>
          <w:szCs w:val="24"/>
        </w:rPr>
        <w:t>Gardinier</w:t>
      </w:r>
      <w:proofErr w:type="spellEnd"/>
      <w:r w:rsidRPr="0081543E">
        <w:rPr>
          <w:sz w:val="24"/>
          <w:szCs w:val="24"/>
        </w:rPr>
        <w:t>, L., 2014. </w:t>
      </w:r>
      <w:r w:rsidRPr="0081543E">
        <w:rPr>
          <w:i/>
          <w:iCs/>
          <w:sz w:val="24"/>
          <w:szCs w:val="24"/>
        </w:rPr>
        <w:t>Service-learning through community engagement</w:t>
      </w:r>
      <w:r w:rsidRPr="0081543E">
        <w:rPr>
          <w:sz w:val="24"/>
          <w:szCs w:val="24"/>
        </w:rPr>
        <w:t>.</w:t>
      </w:r>
    </w:p>
    <w:p w14:paraId="33B07BF0" w14:textId="77777777" w:rsidR="0081543E" w:rsidRPr="0081543E" w:rsidRDefault="0081543E" w:rsidP="0081543E">
      <w:pPr>
        <w:ind w:left="720" w:hanging="720"/>
        <w:rPr>
          <w:sz w:val="24"/>
          <w:szCs w:val="24"/>
        </w:rPr>
      </w:pPr>
      <w:r w:rsidRPr="0081543E">
        <w:rPr>
          <w:sz w:val="24"/>
          <w:szCs w:val="24"/>
        </w:rPr>
        <w:t>Holzer, J.K., Ellis, L. and Merritt, M.W., 2014. Why we need community engagement in medical research. </w:t>
      </w:r>
      <w:r w:rsidRPr="0081543E">
        <w:rPr>
          <w:i/>
          <w:iCs/>
          <w:sz w:val="24"/>
          <w:szCs w:val="24"/>
        </w:rPr>
        <w:t>Journal of Investigative Medicine</w:t>
      </w:r>
      <w:r w:rsidRPr="0081543E">
        <w:rPr>
          <w:sz w:val="24"/>
          <w:szCs w:val="24"/>
        </w:rPr>
        <w:t>, </w:t>
      </w:r>
      <w:r w:rsidRPr="0081543E">
        <w:rPr>
          <w:i/>
          <w:iCs/>
          <w:sz w:val="24"/>
          <w:szCs w:val="24"/>
        </w:rPr>
        <w:t>62</w:t>
      </w:r>
      <w:r w:rsidRPr="0081543E">
        <w:rPr>
          <w:sz w:val="24"/>
          <w:szCs w:val="24"/>
        </w:rPr>
        <w:t>(6), pp.851-855.</w:t>
      </w:r>
    </w:p>
    <w:p w14:paraId="148F7264" w14:textId="77777777" w:rsidR="0081543E" w:rsidRPr="0081543E" w:rsidRDefault="0081543E" w:rsidP="0081543E">
      <w:pPr>
        <w:ind w:left="720" w:hanging="720"/>
        <w:rPr>
          <w:sz w:val="24"/>
          <w:szCs w:val="24"/>
        </w:rPr>
      </w:pPr>
      <w:r w:rsidRPr="0081543E">
        <w:rPr>
          <w:sz w:val="24"/>
          <w:szCs w:val="24"/>
        </w:rPr>
        <w:t xml:space="preserve">Jacob, W., </w:t>
      </w:r>
      <w:proofErr w:type="spellStart"/>
      <w:r w:rsidRPr="0081543E">
        <w:rPr>
          <w:sz w:val="24"/>
          <w:szCs w:val="24"/>
        </w:rPr>
        <w:t>Sutin</w:t>
      </w:r>
      <w:proofErr w:type="spellEnd"/>
      <w:r w:rsidRPr="0081543E">
        <w:rPr>
          <w:sz w:val="24"/>
          <w:szCs w:val="24"/>
        </w:rPr>
        <w:t>, S., Weidman, J. and Yeager, J., 2017. </w:t>
      </w:r>
      <w:r w:rsidRPr="0081543E">
        <w:rPr>
          <w:i/>
          <w:iCs/>
          <w:sz w:val="24"/>
          <w:szCs w:val="24"/>
        </w:rPr>
        <w:t>Community Engagement in Higher Education</w:t>
      </w:r>
      <w:r w:rsidRPr="0081543E">
        <w:rPr>
          <w:sz w:val="24"/>
          <w:szCs w:val="24"/>
        </w:rPr>
        <w:t>.</w:t>
      </w:r>
    </w:p>
    <w:p w14:paraId="5E2435C0" w14:textId="77777777" w:rsidR="0081543E" w:rsidRPr="0081543E" w:rsidRDefault="0081543E" w:rsidP="0081543E">
      <w:pPr>
        <w:ind w:left="720" w:hanging="720"/>
        <w:rPr>
          <w:sz w:val="24"/>
          <w:szCs w:val="24"/>
        </w:rPr>
      </w:pPr>
      <w:r w:rsidRPr="0081543E">
        <w:rPr>
          <w:sz w:val="24"/>
          <w:szCs w:val="24"/>
        </w:rPr>
        <w:t>Newman, P.A., 2016. Towards a science of community engagement. </w:t>
      </w:r>
      <w:r w:rsidRPr="0081543E">
        <w:rPr>
          <w:i/>
          <w:iCs/>
          <w:sz w:val="24"/>
          <w:szCs w:val="24"/>
        </w:rPr>
        <w:t>The Lancet</w:t>
      </w:r>
      <w:r w:rsidRPr="0081543E">
        <w:rPr>
          <w:sz w:val="24"/>
          <w:szCs w:val="24"/>
        </w:rPr>
        <w:t>, </w:t>
      </w:r>
      <w:r w:rsidRPr="0081543E">
        <w:rPr>
          <w:i/>
          <w:iCs/>
          <w:sz w:val="24"/>
          <w:szCs w:val="24"/>
        </w:rPr>
        <w:t>367</w:t>
      </w:r>
      <w:r w:rsidRPr="0081543E">
        <w:rPr>
          <w:sz w:val="24"/>
          <w:szCs w:val="24"/>
        </w:rPr>
        <w:t>(9507), p.302.</w:t>
      </w:r>
    </w:p>
    <w:p w14:paraId="2E2EF545" w14:textId="77777777" w:rsidR="0081543E" w:rsidRPr="0081543E" w:rsidRDefault="0081543E" w:rsidP="0081543E">
      <w:pPr>
        <w:ind w:left="720" w:hanging="720"/>
        <w:rPr>
          <w:sz w:val="24"/>
          <w:szCs w:val="24"/>
        </w:rPr>
      </w:pPr>
      <w:r w:rsidRPr="0081543E">
        <w:rPr>
          <w:sz w:val="24"/>
          <w:szCs w:val="24"/>
        </w:rPr>
        <w:t>Norris, C., 2013. </w:t>
      </w:r>
      <w:r w:rsidRPr="0081543E">
        <w:rPr>
          <w:i/>
          <w:iCs/>
          <w:sz w:val="24"/>
          <w:szCs w:val="24"/>
        </w:rPr>
        <w:t>Developing educational leaders</w:t>
      </w:r>
      <w:r w:rsidRPr="0081543E">
        <w:rPr>
          <w:sz w:val="24"/>
          <w:szCs w:val="24"/>
        </w:rPr>
        <w:t>. New York: Teachers College Press.</w:t>
      </w:r>
    </w:p>
    <w:p w14:paraId="5A842ED5" w14:textId="77777777" w:rsidR="0081543E" w:rsidRPr="0081543E" w:rsidRDefault="0081543E" w:rsidP="0081543E">
      <w:pPr>
        <w:ind w:left="720" w:hanging="720"/>
        <w:rPr>
          <w:sz w:val="24"/>
          <w:szCs w:val="24"/>
        </w:rPr>
      </w:pPr>
      <w:r w:rsidRPr="0081543E">
        <w:rPr>
          <w:sz w:val="24"/>
          <w:szCs w:val="24"/>
        </w:rPr>
        <w:t>Simon, C., 2010. </w:t>
      </w:r>
      <w:r w:rsidRPr="0081543E">
        <w:rPr>
          <w:i/>
          <w:iCs/>
          <w:sz w:val="24"/>
          <w:szCs w:val="24"/>
        </w:rPr>
        <w:t>Journal of community engagement and scholarship</w:t>
      </w:r>
      <w:r w:rsidRPr="0081543E">
        <w:rPr>
          <w:sz w:val="24"/>
          <w:szCs w:val="24"/>
        </w:rPr>
        <w:t>. Tuscaloosa, AL: University of Alabama.</w:t>
      </w:r>
    </w:p>
    <w:p w14:paraId="1C058842" w14:textId="77777777" w:rsidR="0081543E" w:rsidRPr="0081543E" w:rsidRDefault="0081543E" w:rsidP="0081543E">
      <w:pPr>
        <w:ind w:left="720" w:hanging="720"/>
        <w:rPr>
          <w:sz w:val="24"/>
          <w:szCs w:val="24"/>
        </w:rPr>
      </w:pPr>
      <w:r w:rsidRPr="0081543E">
        <w:rPr>
          <w:sz w:val="24"/>
          <w:szCs w:val="24"/>
        </w:rPr>
        <w:t xml:space="preserve">Smith, A.L., </w:t>
      </w:r>
      <w:proofErr w:type="spellStart"/>
      <w:r w:rsidRPr="0081543E">
        <w:rPr>
          <w:sz w:val="24"/>
          <w:szCs w:val="24"/>
        </w:rPr>
        <w:t>Benazzi</w:t>
      </w:r>
      <w:proofErr w:type="spellEnd"/>
      <w:r w:rsidRPr="0081543E">
        <w:rPr>
          <w:sz w:val="24"/>
          <w:szCs w:val="24"/>
        </w:rPr>
        <w:t xml:space="preserve">, S., Ledogar, J.A., </w:t>
      </w:r>
      <w:proofErr w:type="spellStart"/>
      <w:r w:rsidRPr="0081543E">
        <w:rPr>
          <w:sz w:val="24"/>
          <w:szCs w:val="24"/>
        </w:rPr>
        <w:t>Tamvada</w:t>
      </w:r>
      <w:proofErr w:type="spellEnd"/>
      <w:r w:rsidRPr="0081543E">
        <w:rPr>
          <w:sz w:val="24"/>
          <w:szCs w:val="24"/>
        </w:rPr>
        <w:t xml:space="preserve">, K., Pryor Smith, L.C., Weber, G.W., Spencer, M.A., Lucas, P.W., Michael, S., </w:t>
      </w:r>
      <w:proofErr w:type="spellStart"/>
      <w:r w:rsidRPr="0081543E">
        <w:rPr>
          <w:sz w:val="24"/>
          <w:szCs w:val="24"/>
        </w:rPr>
        <w:t>Shekeban</w:t>
      </w:r>
      <w:proofErr w:type="spellEnd"/>
      <w:r w:rsidRPr="0081543E">
        <w:rPr>
          <w:sz w:val="24"/>
          <w:szCs w:val="24"/>
        </w:rPr>
        <w:t>, A. and Al</w:t>
      </w:r>
      <w:r w:rsidRPr="0081543E">
        <w:rPr>
          <w:rFonts w:ascii="Cambria Math" w:hAnsi="Cambria Math" w:cs="Cambria Math"/>
          <w:sz w:val="24"/>
          <w:szCs w:val="24"/>
        </w:rPr>
        <w:t>‐</w:t>
      </w:r>
      <w:proofErr w:type="spellStart"/>
      <w:r w:rsidRPr="0081543E">
        <w:rPr>
          <w:sz w:val="24"/>
          <w:szCs w:val="24"/>
        </w:rPr>
        <w:t>Fadhalah</w:t>
      </w:r>
      <w:proofErr w:type="spellEnd"/>
      <w:r w:rsidRPr="0081543E">
        <w:rPr>
          <w:sz w:val="24"/>
          <w:szCs w:val="24"/>
        </w:rPr>
        <w:t xml:space="preserve">, K., 2015. The Feeding Biomechanics and Dietary Ecology of P </w:t>
      </w:r>
      <w:proofErr w:type="spellStart"/>
      <w:r w:rsidRPr="0081543E">
        <w:rPr>
          <w:sz w:val="24"/>
          <w:szCs w:val="24"/>
        </w:rPr>
        <w:t>aranthropus</w:t>
      </w:r>
      <w:proofErr w:type="spellEnd"/>
      <w:r w:rsidRPr="0081543E">
        <w:rPr>
          <w:sz w:val="24"/>
          <w:szCs w:val="24"/>
        </w:rPr>
        <w:t xml:space="preserve"> boisei. The Anatomical Record, 298(1), pp.145-167.</w:t>
      </w:r>
    </w:p>
    <w:p w14:paraId="1B490E84" w14:textId="77777777" w:rsidR="0081543E" w:rsidRPr="0081543E" w:rsidRDefault="0081543E" w:rsidP="0081543E">
      <w:pPr>
        <w:ind w:left="720" w:hanging="720"/>
        <w:rPr>
          <w:sz w:val="24"/>
          <w:szCs w:val="24"/>
        </w:rPr>
      </w:pPr>
      <w:r w:rsidRPr="0081543E">
        <w:rPr>
          <w:sz w:val="24"/>
          <w:szCs w:val="24"/>
        </w:rPr>
        <w:t>Spencer, M.G., 2012. Hume and Madison on faction. </w:t>
      </w:r>
      <w:r w:rsidRPr="0081543E">
        <w:rPr>
          <w:i/>
          <w:iCs/>
          <w:sz w:val="24"/>
          <w:szCs w:val="24"/>
        </w:rPr>
        <w:t>The William and Mary Quarterly</w:t>
      </w:r>
      <w:r w:rsidRPr="0081543E">
        <w:rPr>
          <w:sz w:val="24"/>
          <w:szCs w:val="24"/>
        </w:rPr>
        <w:t>, </w:t>
      </w:r>
      <w:r w:rsidRPr="0081543E">
        <w:rPr>
          <w:i/>
          <w:iCs/>
          <w:sz w:val="24"/>
          <w:szCs w:val="24"/>
        </w:rPr>
        <w:t>59</w:t>
      </w:r>
      <w:r w:rsidRPr="0081543E">
        <w:rPr>
          <w:sz w:val="24"/>
          <w:szCs w:val="24"/>
        </w:rPr>
        <w:t>(4), pp.869-896.</w:t>
      </w:r>
    </w:p>
    <w:p w14:paraId="5CBE9CD1" w14:textId="77777777" w:rsidR="0081543E" w:rsidRPr="0081543E" w:rsidRDefault="0081543E" w:rsidP="0081543E">
      <w:pPr>
        <w:ind w:left="720" w:hanging="720"/>
        <w:rPr>
          <w:sz w:val="24"/>
          <w:szCs w:val="24"/>
        </w:rPr>
      </w:pPr>
      <w:r w:rsidRPr="0081543E">
        <w:rPr>
          <w:sz w:val="24"/>
          <w:szCs w:val="24"/>
        </w:rPr>
        <w:t>Welch, M. and Saltmarsh, J., 2013. </w:t>
      </w:r>
      <w:r w:rsidRPr="0081543E">
        <w:rPr>
          <w:i/>
          <w:iCs/>
          <w:sz w:val="24"/>
          <w:szCs w:val="24"/>
        </w:rPr>
        <w:t>Engaging higher education</w:t>
      </w:r>
      <w:r w:rsidRPr="0081543E">
        <w:rPr>
          <w:sz w:val="24"/>
          <w:szCs w:val="24"/>
        </w:rPr>
        <w:t>.</w:t>
      </w:r>
    </w:p>
    <w:p w14:paraId="1792E6FA" w14:textId="77777777" w:rsidR="007725EE" w:rsidRPr="002C54D1" w:rsidRDefault="007725EE" w:rsidP="002C54D1"/>
    <w:sectPr w:rsidR="007725EE" w:rsidRPr="002C54D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DDA8E1" w14:textId="77777777" w:rsidR="00CC37E0" w:rsidRDefault="00CC37E0" w:rsidP="00F92904">
      <w:pPr>
        <w:spacing w:line="240" w:lineRule="auto"/>
      </w:pPr>
      <w:r>
        <w:separator/>
      </w:r>
    </w:p>
  </w:endnote>
  <w:endnote w:type="continuationSeparator" w:id="0">
    <w:p w14:paraId="06BC2170" w14:textId="77777777" w:rsidR="00CC37E0" w:rsidRDefault="00CC37E0" w:rsidP="00F9290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375611" w14:textId="77777777" w:rsidR="00CC37E0" w:rsidRDefault="00CC37E0" w:rsidP="00F92904">
      <w:pPr>
        <w:spacing w:line="240" w:lineRule="auto"/>
      </w:pPr>
      <w:r>
        <w:separator/>
      </w:r>
    </w:p>
  </w:footnote>
  <w:footnote w:type="continuationSeparator" w:id="0">
    <w:p w14:paraId="4DC7B070" w14:textId="77777777" w:rsidR="00CC37E0" w:rsidRDefault="00CC37E0" w:rsidP="00F9290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9C0C12"/>
    <w:multiLevelType w:val="hybridMultilevel"/>
    <w:tmpl w:val="82CEBF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843495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A0NTc0sbQwMTM1MTBU0lEKTi0uzszPAykwrAUAZTQnIiwAAAA="/>
  </w:docVars>
  <w:rsids>
    <w:rsidRoot w:val="00640680"/>
    <w:rsid w:val="000229F4"/>
    <w:rsid w:val="0007106F"/>
    <w:rsid w:val="000B45C9"/>
    <w:rsid w:val="001C4A41"/>
    <w:rsid w:val="00206EB9"/>
    <w:rsid w:val="002C54D1"/>
    <w:rsid w:val="0030123C"/>
    <w:rsid w:val="003519DB"/>
    <w:rsid w:val="003C7022"/>
    <w:rsid w:val="004A534C"/>
    <w:rsid w:val="00514558"/>
    <w:rsid w:val="00640680"/>
    <w:rsid w:val="007725EE"/>
    <w:rsid w:val="0081543E"/>
    <w:rsid w:val="00860CFC"/>
    <w:rsid w:val="008610D9"/>
    <w:rsid w:val="0088139E"/>
    <w:rsid w:val="008B711E"/>
    <w:rsid w:val="008D256E"/>
    <w:rsid w:val="008F0AB0"/>
    <w:rsid w:val="00930B10"/>
    <w:rsid w:val="009B1772"/>
    <w:rsid w:val="00A0000B"/>
    <w:rsid w:val="00A020A7"/>
    <w:rsid w:val="00C61F41"/>
    <w:rsid w:val="00CC37E0"/>
    <w:rsid w:val="00CE1994"/>
    <w:rsid w:val="00D33DED"/>
    <w:rsid w:val="00DF3AAE"/>
    <w:rsid w:val="00E5634F"/>
    <w:rsid w:val="00F5231B"/>
    <w:rsid w:val="00F848C3"/>
    <w:rsid w:val="00F92904"/>
    <w:rsid w:val="00FA0D05"/>
    <w:rsid w:val="00FD7B69"/>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0127A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8"/>
        <w:lang w:val="en-GB"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106F"/>
    <w:pPr>
      <w:spacing w:after="0" w:line="360" w:lineRule="auto"/>
      <w:jc w:val="both"/>
    </w:pPr>
    <w:rPr>
      <w:rFonts w:ascii="Arial" w:hAnsi="Arial" w:cs="Calibri"/>
      <w:szCs w:val="22"/>
      <w:lang w:bidi="ar-SA"/>
    </w:rPr>
  </w:style>
  <w:style w:type="paragraph" w:styleId="Heading1">
    <w:name w:val="heading 1"/>
    <w:basedOn w:val="Normal"/>
    <w:next w:val="Normal"/>
    <w:link w:val="Heading1Char"/>
    <w:uiPriority w:val="9"/>
    <w:qFormat/>
    <w:rsid w:val="00640680"/>
    <w:pPr>
      <w:keepNext/>
      <w:keepLines/>
      <w:outlineLvl w:val="0"/>
    </w:pPr>
    <w:rPr>
      <w:rFonts w:eastAsiaTheme="majorEastAsia" w:cstheme="majorBidi"/>
      <w:b/>
      <w:sz w:val="28"/>
      <w:szCs w:val="40"/>
    </w:rPr>
  </w:style>
  <w:style w:type="paragraph" w:styleId="Heading2">
    <w:name w:val="heading 2"/>
    <w:basedOn w:val="Normal"/>
    <w:next w:val="Normal"/>
    <w:link w:val="Heading2Char"/>
    <w:uiPriority w:val="9"/>
    <w:semiHidden/>
    <w:unhideWhenUsed/>
    <w:qFormat/>
    <w:rsid w:val="00640680"/>
    <w:pPr>
      <w:keepNext/>
      <w:keepLines/>
      <w:outlineLvl w:val="1"/>
    </w:pPr>
    <w:rPr>
      <w:rFonts w:eastAsiaTheme="majorEastAsia" w:cstheme="majorBidi"/>
      <w:b/>
      <w:sz w:val="26"/>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0680"/>
    <w:rPr>
      <w:rFonts w:ascii="Times New Roman" w:eastAsiaTheme="majorEastAsia" w:hAnsi="Times New Roman" w:cstheme="majorBidi"/>
      <w:b/>
      <w:sz w:val="28"/>
      <w:szCs w:val="40"/>
      <w:lang w:bidi="ar-SA"/>
    </w:rPr>
  </w:style>
  <w:style w:type="character" w:customStyle="1" w:styleId="Heading2Char">
    <w:name w:val="Heading 2 Char"/>
    <w:basedOn w:val="DefaultParagraphFont"/>
    <w:link w:val="Heading2"/>
    <w:uiPriority w:val="9"/>
    <w:semiHidden/>
    <w:rsid w:val="00640680"/>
    <w:rPr>
      <w:rFonts w:ascii="Times New Roman" w:eastAsiaTheme="majorEastAsia" w:hAnsi="Times New Roman" w:cstheme="majorBidi"/>
      <w:b/>
      <w:sz w:val="26"/>
      <w:szCs w:val="33"/>
      <w:lang w:bidi="ar-SA"/>
    </w:rPr>
  </w:style>
  <w:style w:type="paragraph" w:styleId="ListParagraph">
    <w:name w:val="List Paragraph"/>
    <w:basedOn w:val="Normal"/>
    <w:uiPriority w:val="34"/>
    <w:qFormat/>
    <w:rsid w:val="007725EE"/>
    <w:pPr>
      <w:ind w:left="720"/>
      <w:contextualSpacing/>
    </w:pPr>
  </w:style>
  <w:style w:type="paragraph" w:styleId="TOCHeading">
    <w:name w:val="TOC Heading"/>
    <w:basedOn w:val="Heading1"/>
    <w:next w:val="Normal"/>
    <w:uiPriority w:val="39"/>
    <w:unhideWhenUsed/>
    <w:qFormat/>
    <w:rsid w:val="003519DB"/>
    <w:pPr>
      <w:spacing w:before="240" w:line="259" w:lineRule="auto"/>
      <w:jc w:val="left"/>
      <w:outlineLvl w:val="9"/>
    </w:pPr>
    <w:rPr>
      <w:rFonts w:asciiTheme="majorHAnsi" w:hAnsiTheme="majorHAnsi"/>
      <w:b w:val="0"/>
      <w:color w:val="2E74B5" w:themeColor="accent1" w:themeShade="BF"/>
      <w:sz w:val="32"/>
      <w:szCs w:val="32"/>
      <w:lang w:val="en-US"/>
    </w:rPr>
  </w:style>
  <w:style w:type="paragraph" w:styleId="TOC1">
    <w:name w:val="toc 1"/>
    <w:basedOn w:val="Normal"/>
    <w:next w:val="Normal"/>
    <w:autoRedefine/>
    <w:uiPriority w:val="39"/>
    <w:unhideWhenUsed/>
    <w:rsid w:val="003519DB"/>
    <w:pPr>
      <w:spacing w:after="100"/>
    </w:pPr>
  </w:style>
  <w:style w:type="character" w:styleId="Hyperlink">
    <w:name w:val="Hyperlink"/>
    <w:basedOn w:val="DefaultParagraphFont"/>
    <w:uiPriority w:val="99"/>
    <w:unhideWhenUsed/>
    <w:rsid w:val="003519DB"/>
    <w:rPr>
      <w:color w:val="0563C1" w:themeColor="hyperlink"/>
      <w:u w:val="single"/>
    </w:rPr>
  </w:style>
  <w:style w:type="paragraph" w:styleId="Header">
    <w:name w:val="header"/>
    <w:basedOn w:val="Normal"/>
    <w:link w:val="HeaderChar"/>
    <w:uiPriority w:val="99"/>
    <w:unhideWhenUsed/>
    <w:rsid w:val="00F92904"/>
    <w:pPr>
      <w:tabs>
        <w:tab w:val="center" w:pos="4513"/>
        <w:tab w:val="right" w:pos="9026"/>
      </w:tabs>
      <w:spacing w:line="240" w:lineRule="auto"/>
    </w:pPr>
  </w:style>
  <w:style w:type="character" w:customStyle="1" w:styleId="HeaderChar">
    <w:name w:val="Header Char"/>
    <w:basedOn w:val="DefaultParagraphFont"/>
    <w:link w:val="Header"/>
    <w:uiPriority w:val="99"/>
    <w:rsid w:val="00F92904"/>
    <w:rPr>
      <w:rFonts w:ascii="Arial" w:hAnsi="Arial" w:cs="Calibri"/>
      <w:szCs w:val="22"/>
      <w:lang w:bidi="ar-SA"/>
    </w:rPr>
  </w:style>
  <w:style w:type="paragraph" w:styleId="Footer">
    <w:name w:val="footer"/>
    <w:basedOn w:val="Normal"/>
    <w:link w:val="FooterChar"/>
    <w:uiPriority w:val="99"/>
    <w:unhideWhenUsed/>
    <w:rsid w:val="00F92904"/>
    <w:pPr>
      <w:tabs>
        <w:tab w:val="center" w:pos="4513"/>
        <w:tab w:val="right" w:pos="9026"/>
      </w:tabs>
      <w:spacing w:line="240" w:lineRule="auto"/>
    </w:pPr>
  </w:style>
  <w:style w:type="character" w:customStyle="1" w:styleId="FooterChar">
    <w:name w:val="Footer Char"/>
    <w:basedOn w:val="DefaultParagraphFont"/>
    <w:link w:val="Footer"/>
    <w:uiPriority w:val="99"/>
    <w:rsid w:val="00F92904"/>
    <w:rPr>
      <w:rFonts w:ascii="Arial" w:hAnsi="Arial" w:cs="Calibri"/>
      <w:szCs w:val="22"/>
      <w:lang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16945258">
      <w:bodyDiv w:val="1"/>
      <w:marLeft w:val="0"/>
      <w:marRight w:val="0"/>
      <w:marTop w:val="0"/>
      <w:marBottom w:val="0"/>
      <w:divBdr>
        <w:top w:val="none" w:sz="0" w:space="0" w:color="auto"/>
        <w:left w:val="none" w:sz="0" w:space="0" w:color="auto"/>
        <w:bottom w:val="none" w:sz="0" w:space="0" w:color="auto"/>
        <w:right w:val="none" w:sz="0" w:space="0" w:color="auto"/>
      </w:divBdr>
    </w:div>
    <w:div w:id="19087640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47731D1-902D-4DAA-8C93-139D6AC801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2169</Words>
  <Characters>12365</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2022-10-13T15:30:00Z</dcterms:created>
  <dcterms:modified xsi:type="dcterms:W3CDTF">2022-10-13T20:18:00Z</dcterms:modified>
</cp:coreProperties>
</file>