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F333F" w14:textId="77777777" w:rsidR="00B452A7" w:rsidRDefault="00B452A7" w:rsidP="00390262">
      <w:pPr>
        <w:spacing w:line="360" w:lineRule="auto"/>
        <w:jc w:val="center"/>
        <w:rPr>
          <w:rFonts w:ascii="Arial" w:hAnsi="Arial" w:cs="Arial"/>
          <w:b/>
          <w:bCs/>
          <w:sz w:val="44"/>
          <w:szCs w:val="24"/>
        </w:rPr>
      </w:pPr>
    </w:p>
    <w:p w14:paraId="6780ADD1" w14:textId="77777777" w:rsidR="00B452A7" w:rsidRDefault="00B452A7" w:rsidP="00390262">
      <w:pPr>
        <w:spacing w:line="360" w:lineRule="auto"/>
        <w:jc w:val="center"/>
        <w:rPr>
          <w:rFonts w:ascii="Arial" w:hAnsi="Arial" w:cs="Arial"/>
          <w:b/>
          <w:bCs/>
          <w:sz w:val="44"/>
          <w:szCs w:val="24"/>
        </w:rPr>
      </w:pPr>
    </w:p>
    <w:p w14:paraId="224354F9" w14:textId="4E6DDB3E" w:rsidR="00512C48" w:rsidRDefault="00A26053" w:rsidP="00390262">
      <w:pPr>
        <w:spacing w:line="360" w:lineRule="auto"/>
        <w:jc w:val="center"/>
        <w:rPr>
          <w:rFonts w:ascii="Arial" w:hAnsi="Arial" w:cs="Arial"/>
          <w:b/>
          <w:bCs/>
          <w:sz w:val="44"/>
          <w:szCs w:val="24"/>
        </w:rPr>
      </w:pPr>
      <w:r w:rsidRPr="00B452A7">
        <w:rPr>
          <w:rFonts w:ascii="Arial" w:hAnsi="Arial" w:cs="Arial"/>
          <w:b/>
          <w:bCs/>
          <w:sz w:val="44"/>
          <w:szCs w:val="24"/>
        </w:rPr>
        <w:t>A Vision of Change: Sustainability in the hotel industry</w:t>
      </w:r>
    </w:p>
    <w:p w14:paraId="78A7FDBF" w14:textId="77777777" w:rsidR="00B452A7" w:rsidRDefault="00B452A7" w:rsidP="00390262">
      <w:pPr>
        <w:spacing w:line="360" w:lineRule="auto"/>
        <w:jc w:val="center"/>
        <w:rPr>
          <w:rFonts w:ascii="Arial" w:hAnsi="Arial" w:cs="Arial"/>
          <w:b/>
          <w:bCs/>
          <w:sz w:val="44"/>
          <w:szCs w:val="24"/>
        </w:rPr>
      </w:pPr>
    </w:p>
    <w:p w14:paraId="2A4EA8D4" w14:textId="77777777" w:rsidR="00B452A7" w:rsidRDefault="00B452A7" w:rsidP="00390262">
      <w:pPr>
        <w:spacing w:line="360" w:lineRule="auto"/>
        <w:jc w:val="center"/>
        <w:rPr>
          <w:rFonts w:ascii="Arial" w:hAnsi="Arial" w:cs="Arial"/>
          <w:b/>
          <w:bCs/>
          <w:sz w:val="44"/>
          <w:szCs w:val="24"/>
        </w:rPr>
      </w:pPr>
    </w:p>
    <w:p w14:paraId="3B8CD223" w14:textId="77777777" w:rsidR="00B452A7" w:rsidRPr="00B452A7" w:rsidRDefault="00B452A7" w:rsidP="00390262">
      <w:pPr>
        <w:spacing w:line="360" w:lineRule="auto"/>
        <w:jc w:val="center"/>
        <w:rPr>
          <w:rFonts w:ascii="Arial" w:hAnsi="Arial" w:cs="Arial"/>
          <w:b/>
          <w:bCs/>
          <w:sz w:val="44"/>
          <w:szCs w:val="24"/>
        </w:rPr>
      </w:pPr>
    </w:p>
    <w:tbl>
      <w:tblPr>
        <w:tblStyle w:val="TableGrid"/>
        <w:tblW w:w="0" w:type="auto"/>
        <w:tblLook w:val="04A0" w:firstRow="1" w:lastRow="0" w:firstColumn="1" w:lastColumn="0" w:noHBand="0" w:noVBand="1"/>
      </w:tblPr>
      <w:tblGrid>
        <w:gridCol w:w="9017"/>
      </w:tblGrid>
      <w:tr w:rsidR="00B452A7" w14:paraId="06E80D48" w14:textId="77777777" w:rsidTr="00B452A7">
        <w:tc>
          <w:tcPr>
            <w:tcW w:w="9017" w:type="dxa"/>
          </w:tcPr>
          <w:p w14:paraId="28191DB3" w14:textId="77777777" w:rsidR="00B452A7" w:rsidRDefault="00B452A7" w:rsidP="00B452A7">
            <w:pPr>
              <w:spacing w:line="360" w:lineRule="auto"/>
              <w:rPr>
                <w:rFonts w:ascii="Arial" w:hAnsi="Arial" w:cs="Arial"/>
                <w:b/>
                <w:sz w:val="28"/>
                <w:szCs w:val="28"/>
              </w:rPr>
            </w:pPr>
          </w:p>
          <w:p w14:paraId="619777CD" w14:textId="4118AA9F" w:rsidR="006B0E6E" w:rsidRDefault="006B0E6E" w:rsidP="00B452A7">
            <w:pPr>
              <w:spacing w:line="360" w:lineRule="auto"/>
              <w:jc w:val="center"/>
              <w:rPr>
                <w:rFonts w:ascii="Arial" w:hAnsi="Arial" w:cs="Arial"/>
                <w:b/>
                <w:sz w:val="28"/>
                <w:szCs w:val="28"/>
              </w:rPr>
            </w:pPr>
            <w:r w:rsidRPr="006B0E6E">
              <w:rPr>
                <w:rFonts w:ascii="Arial" w:hAnsi="Arial" w:cs="Arial"/>
                <w:b/>
                <w:sz w:val="28"/>
                <w:szCs w:val="28"/>
              </w:rPr>
              <w:t>Student Name: Jahangir Ali-Khan</w:t>
            </w:r>
          </w:p>
          <w:p w14:paraId="354FFCB5" w14:textId="37375A7E" w:rsidR="00B452A7" w:rsidRPr="00B452A7" w:rsidRDefault="00B452A7" w:rsidP="00B452A7">
            <w:pPr>
              <w:spacing w:line="360" w:lineRule="auto"/>
              <w:jc w:val="center"/>
              <w:rPr>
                <w:rFonts w:ascii="Arial" w:hAnsi="Arial" w:cs="Arial"/>
                <w:b/>
                <w:sz w:val="28"/>
                <w:szCs w:val="28"/>
              </w:rPr>
            </w:pPr>
            <w:r w:rsidRPr="00B452A7">
              <w:rPr>
                <w:rFonts w:ascii="Arial" w:hAnsi="Arial" w:cs="Arial"/>
                <w:b/>
                <w:sz w:val="28"/>
                <w:szCs w:val="28"/>
              </w:rPr>
              <w:t xml:space="preserve">Student </w:t>
            </w:r>
            <w:r w:rsidR="006B0E6E">
              <w:rPr>
                <w:rFonts w:ascii="Arial" w:hAnsi="Arial" w:cs="Arial"/>
                <w:b/>
                <w:sz w:val="28"/>
                <w:szCs w:val="28"/>
              </w:rPr>
              <w:t>number</w:t>
            </w:r>
            <w:r w:rsidRPr="00B452A7">
              <w:rPr>
                <w:rFonts w:ascii="Arial" w:hAnsi="Arial" w:cs="Arial"/>
                <w:b/>
                <w:sz w:val="28"/>
                <w:szCs w:val="28"/>
              </w:rPr>
              <w:t>:2029152</w:t>
            </w:r>
          </w:p>
          <w:p w14:paraId="511C708F" w14:textId="0A76A515" w:rsidR="00B452A7" w:rsidRPr="00B452A7" w:rsidRDefault="00B452A7" w:rsidP="00B452A7">
            <w:pPr>
              <w:spacing w:line="360" w:lineRule="auto"/>
              <w:jc w:val="center"/>
              <w:rPr>
                <w:rFonts w:ascii="Arial" w:hAnsi="Arial" w:cs="Arial"/>
                <w:b/>
                <w:bCs/>
                <w:sz w:val="28"/>
                <w:szCs w:val="28"/>
              </w:rPr>
            </w:pPr>
            <w:r w:rsidRPr="00B452A7">
              <w:rPr>
                <w:rFonts w:ascii="Arial" w:hAnsi="Arial" w:cs="Arial"/>
                <w:b/>
                <w:bCs/>
                <w:sz w:val="28"/>
                <w:szCs w:val="28"/>
              </w:rPr>
              <w:t>Module: Sustainable Hospitality &amp; Tourism Management</w:t>
            </w:r>
          </w:p>
          <w:p w14:paraId="4B16FBE9" w14:textId="77777777" w:rsidR="00B452A7" w:rsidRPr="00B452A7" w:rsidRDefault="00B452A7" w:rsidP="00B452A7">
            <w:pPr>
              <w:spacing w:line="360" w:lineRule="auto"/>
              <w:jc w:val="center"/>
              <w:rPr>
                <w:rFonts w:ascii="Arial" w:hAnsi="Arial" w:cs="Arial"/>
                <w:b/>
                <w:bCs/>
                <w:sz w:val="28"/>
                <w:szCs w:val="28"/>
              </w:rPr>
            </w:pPr>
            <w:r w:rsidRPr="00B452A7">
              <w:rPr>
                <w:rFonts w:ascii="Arial" w:hAnsi="Arial" w:cs="Arial"/>
                <w:b/>
                <w:bCs/>
                <w:sz w:val="28"/>
                <w:szCs w:val="28"/>
              </w:rPr>
              <w:t>Module code: BMHI5006</w:t>
            </w:r>
          </w:p>
          <w:p w14:paraId="4BCAEAF1" w14:textId="02DC12DF" w:rsidR="00B452A7" w:rsidRPr="00B452A7" w:rsidRDefault="00B452A7" w:rsidP="00B452A7">
            <w:pPr>
              <w:spacing w:line="360" w:lineRule="auto"/>
              <w:jc w:val="center"/>
              <w:rPr>
                <w:rFonts w:ascii="Arial" w:hAnsi="Arial" w:cs="Arial"/>
                <w:b/>
                <w:bCs/>
                <w:sz w:val="28"/>
                <w:szCs w:val="28"/>
              </w:rPr>
            </w:pPr>
            <w:r w:rsidRPr="00B452A7">
              <w:rPr>
                <w:rFonts w:ascii="Arial" w:hAnsi="Arial" w:cs="Arial"/>
                <w:b/>
                <w:bCs/>
                <w:sz w:val="28"/>
                <w:szCs w:val="28"/>
              </w:rPr>
              <w:t>Lecturer: Ruth Taylor-Davies</w:t>
            </w:r>
          </w:p>
          <w:p w14:paraId="4577258B" w14:textId="77777777" w:rsidR="00B452A7" w:rsidRDefault="00B452A7" w:rsidP="00390262">
            <w:pPr>
              <w:spacing w:line="360" w:lineRule="auto"/>
              <w:jc w:val="center"/>
              <w:rPr>
                <w:rFonts w:ascii="Arial" w:hAnsi="Arial" w:cs="Arial"/>
                <w:sz w:val="44"/>
                <w:szCs w:val="24"/>
              </w:rPr>
            </w:pPr>
          </w:p>
        </w:tc>
      </w:tr>
    </w:tbl>
    <w:p w14:paraId="0C1F9E91" w14:textId="77777777" w:rsidR="00512C48" w:rsidRDefault="00512C48" w:rsidP="00390262">
      <w:pPr>
        <w:spacing w:line="360" w:lineRule="auto"/>
        <w:jc w:val="center"/>
        <w:rPr>
          <w:rFonts w:ascii="Arial" w:hAnsi="Arial" w:cs="Arial"/>
          <w:sz w:val="44"/>
          <w:szCs w:val="24"/>
        </w:rPr>
      </w:pPr>
    </w:p>
    <w:p w14:paraId="1C50B4FC" w14:textId="7A146184" w:rsidR="00A26053" w:rsidRPr="00512C48" w:rsidRDefault="00A26053" w:rsidP="00512C48">
      <w:pPr>
        <w:spacing w:line="360" w:lineRule="auto"/>
        <w:rPr>
          <w:rFonts w:ascii="Arial" w:hAnsi="Arial" w:cs="Arial"/>
          <w:b/>
          <w:sz w:val="36"/>
          <w:szCs w:val="24"/>
        </w:rPr>
      </w:pPr>
    </w:p>
    <w:p w14:paraId="57013881" w14:textId="77777777" w:rsidR="00C0564F" w:rsidRPr="007476CA" w:rsidRDefault="00AC0961" w:rsidP="00390262">
      <w:pPr>
        <w:spacing w:line="360" w:lineRule="auto"/>
        <w:jc w:val="both"/>
        <w:rPr>
          <w:rFonts w:ascii="Arial" w:hAnsi="Arial" w:cs="Arial"/>
          <w:sz w:val="24"/>
          <w:szCs w:val="24"/>
        </w:rPr>
      </w:pPr>
      <w:r w:rsidRPr="007476CA">
        <w:rPr>
          <w:rFonts w:ascii="Arial" w:hAnsi="Arial" w:cs="Arial"/>
          <w:sz w:val="24"/>
          <w:szCs w:val="24"/>
        </w:rPr>
        <w:br w:type="page"/>
      </w:r>
    </w:p>
    <w:p w14:paraId="5F1B4E91"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lastRenderedPageBreak/>
        <w:t>For the tourist and hospitality industries, the ideas of the circular economy and corporate social responsibility (CSR) are becoming more and more crucial (</w:t>
      </w:r>
      <w:proofErr w:type="spellStart"/>
      <w:r w:rsidRPr="001F369C">
        <w:rPr>
          <w:rFonts w:ascii="Arial" w:hAnsi="Arial" w:cs="Arial"/>
          <w:sz w:val="24"/>
          <w:szCs w:val="24"/>
        </w:rPr>
        <w:t>Batat</w:t>
      </w:r>
      <w:proofErr w:type="spellEnd"/>
      <w:r w:rsidRPr="001F369C">
        <w:rPr>
          <w:rFonts w:ascii="Arial" w:hAnsi="Arial" w:cs="Arial"/>
          <w:sz w:val="24"/>
          <w:szCs w:val="24"/>
        </w:rPr>
        <w:t xml:space="preserve">, 2020). The study by </w:t>
      </w:r>
      <w:proofErr w:type="spellStart"/>
      <w:r w:rsidRPr="001F369C">
        <w:rPr>
          <w:rFonts w:ascii="Arial" w:hAnsi="Arial" w:cs="Arial"/>
          <w:sz w:val="24"/>
          <w:szCs w:val="24"/>
        </w:rPr>
        <w:t>Fortunati</w:t>
      </w:r>
      <w:proofErr w:type="spellEnd"/>
      <w:r w:rsidRPr="001F369C">
        <w:rPr>
          <w:rFonts w:ascii="Arial" w:hAnsi="Arial" w:cs="Arial"/>
          <w:sz w:val="24"/>
          <w:szCs w:val="24"/>
        </w:rPr>
        <w:t xml:space="preserve"> et al., (2020) stated that adopting sustainable practices is crucial to ensuring the industry's long-term success due to its substantial negative effects on the environment and nearby communities. In the context of the travel and hospitality sector, this discussion examines the connection between the circular economy and CSR. It offers illustrations of CSR strategies and practices that businesses may use to advance sustainable tourism and the principles of the circular economy.</w:t>
      </w:r>
    </w:p>
    <w:p w14:paraId="35A1E81E"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The term sustainability refers to the ethical and responsible management of tourist-related activities to ensure that they have as little of a negative impact as possible on the environment, society, and economy as per a study by </w:t>
      </w:r>
      <w:proofErr w:type="spellStart"/>
      <w:r w:rsidRPr="001F369C">
        <w:rPr>
          <w:rFonts w:ascii="Arial" w:hAnsi="Arial" w:cs="Arial"/>
          <w:sz w:val="24"/>
          <w:szCs w:val="24"/>
        </w:rPr>
        <w:t>Alzboun</w:t>
      </w:r>
      <w:proofErr w:type="spellEnd"/>
      <w:r w:rsidRPr="001F369C">
        <w:rPr>
          <w:rFonts w:ascii="Arial" w:hAnsi="Arial" w:cs="Arial"/>
          <w:sz w:val="24"/>
          <w:szCs w:val="24"/>
        </w:rPr>
        <w:t xml:space="preserve"> et al., (2016). The goal of sustainable tourism is to balance the requirements of visitors and host communities while protecting the environment, maintaining cultural heritage, and boosting local economies (</w:t>
      </w:r>
      <w:proofErr w:type="spellStart"/>
      <w:r w:rsidRPr="001F369C">
        <w:rPr>
          <w:rFonts w:ascii="Arial" w:hAnsi="Arial" w:cs="Arial"/>
          <w:sz w:val="24"/>
          <w:szCs w:val="24"/>
        </w:rPr>
        <w:t>Zorpas</w:t>
      </w:r>
      <w:proofErr w:type="spellEnd"/>
      <w:r w:rsidRPr="001F369C">
        <w:rPr>
          <w:rFonts w:ascii="Arial" w:hAnsi="Arial" w:cs="Arial"/>
          <w:sz w:val="24"/>
          <w:szCs w:val="24"/>
        </w:rPr>
        <w:t xml:space="preserve"> et al. 2018). Guarantee that resources are used in a fair, responsible, and respectful manner that respects natural systems, it includes striking a balance between economic, social, and environmental issues (</w:t>
      </w:r>
      <w:proofErr w:type="spellStart"/>
      <w:r w:rsidRPr="001F369C">
        <w:rPr>
          <w:rFonts w:ascii="Arial" w:hAnsi="Arial" w:cs="Arial"/>
          <w:sz w:val="24"/>
          <w:szCs w:val="24"/>
        </w:rPr>
        <w:t>Fortunati</w:t>
      </w:r>
      <w:proofErr w:type="spellEnd"/>
      <w:r w:rsidRPr="001F369C">
        <w:rPr>
          <w:rFonts w:ascii="Arial" w:hAnsi="Arial" w:cs="Arial"/>
          <w:sz w:val="24"/>
          <w:szCs w:val="24"/>
        </w:rPr>
        <w:t xml:space="preserve"> et al., 2020).</w:t>
      </w:r>
    </w:p>
    <w:p w14:paraId="1F529FC4"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According to </w:t>
      </w:r>
      <w:proofErr w:type="spellStart"/>
      <w:r w:rsidRPr="001F369C">
        <w:rPr>
          <w:rFonts w:ascii="Arial" w:hAnsi="Arial" w:cs="Arial"/>
          <w:sz w:val="24"/>
          <w:szCs w:val="24"/>
        </w:rPr>
        <w:t>Drouillard</w:t>
      </w:r>
      <w:proofErr w:type="spellEnd"/>
      <w:r w:rsidRPr="001F369C">
        <w:rPr>
          <w:rFonts w:ascii="Arial" w:hAnsi="Arial" w:cs="Arial"/>
          <w:sz w:val="24"/>
          <w:szCs w:val="24"/>
        </w:rPr>
        <w:t xml:space="preserve"> (2018), three factors support sustainability such as economic sustainability, social sustainability, and environmental sustainability. Economic sustainability is the capacity of a system to maintain long-term financial viability, ensuring that firms and industries may continue to operate successfully while adding value for their stakeholders (</w:t>
      </w:r>
      <w:proofErr w:type="spellStart"/>
      <w:r w:rsidRPr="001F369C">
        <w:rPr>
          <w:rFonts w:ascii="Arial" w:hAnsi="Arial" w:cs="Arial"/>
          <w:sz w:val="24"/>
          <w:szCs w:val="24"/>
        </w:rPr>
        <w:t>Drouillard</w:t>
      </w:r>
      <w:proofErr w:type="spellEnd"/>
      <w:r w:rsidRPr="001F369C">
        <w:rPr>
          <w:rFonts w:ascii="Arial" w:hAnsi="Arial" w:cs="Arial"/>
          <w:sz w:val="24"/>
          <w:szCs w:val="24"/>
        </w:rPr>
        <w:t>, 2018). Social sustainability is the capacity of a system to promote the welfare of its citizens, guaranteeing that localities are resilient, inclusive, and equal and that necessities like housing, healthcare, and education are met (</w:t>
      </w:r>
      <w:proofErr w:type="spellStart"/>
      <w:r w:rsidRPr="001F369C">
        <w:rPr>
          <w:rFonts w:ascii="Arial" w:hAnsi="Arial" w:cs="Arial"/>
          <w:sz w:val="24"/>
          <w:szCs w:val="24"/>
        </w:rPr>
        <w:t>Drouillard</w:t>
      </w:r>
      <w:proofErr w:type="spellEnd"/>
      <w:r w:rsidRPr="001F369C">
        <w:rPr>
          <w:rFonts w:ascii="Arial" w:hAnsi="Arial" w:cs="Arial"/>
          <w:sz w:val="24"/>
          <w:szCs w:val="24"/>
        </w:rPr>
        <w:t>, 2018). Environmental sustainability is the capacity of a system to function in unison with natural systems, assuring resource conservation, waste minimization, and ecosystem protection for the benefit of all living things (Legrand et al. (2022).</w:t>
      </w:r>
    </w:p>
    <w:p w14:paraId="3FC7E603"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Due to its high resource use and potential harm to the environment and local communities, the hotel business has a big impact on sustainability. To address this, many hotels are implementing sustainable practices that lessen their negative </w:t>
      </w:r>
      <w:r w:rsidRPr="001F369C">
        <w:rPr>
          <w:rFonts w:ascii="Arial" w:hAnsi="Arial" w:cs="Arial"/>
          <w:sz w:val="24"/>
          <w:szCs w:val="24"/>
        </w:rPr>
        <w:lastRenderedPageBreak/>
        <w:t>environmental effects, cut waste, and support long-term social and economic growth (</w:t>
      </w:r>
      <w:proofErr w:type="spellStart"/>
      <w:r w:rsidRPr="001F369C">
        <w:rPr>
          <w:rFonts w:ascii="Arial" w:hAnsi="Arial" w:cs="Arial"/>
          <w:sz w:val="24"/>
          <w:szCs w:val="24"/>
        </w:rPr>
        <w:t>Batat</w:t>
      </w:r>
      <w:proofErr w:type="spellEnd"/>
      <w:r w:rsidRPr="001F369C">
        <w:rPr>
          <w:rFonts w:ascii="Arial" w:hAnsi="Arial" w:cs="Arial"/>
          <w:sz w:val="24"/>
          <w:szCs w:val="24"/>
        </w:rPr>
        <w:t>, 2020). The use of renewable energy sources, the implementation of water conservation measures, the reduction of waste through recycling and composting, the sourcing of local and organic products, and the support of regional communities through responsible tourist practices are a few examples of sustainable practices in the hotel sector (Bello and Kamanga, 2020). The hotel is embracing sustainability.</w:t>
      </w:r>
    </w:p>
    <w:p w14:paraId="72CFE9B0"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According to </w:t>
      </w:r>
      <w:proofErr w:type="spellStart"/>
      <w:r w:rsidRPr="001F369C">
        <w:rPr>
          <w:rFonts w:ascii="Arial" w:hAnsi="Arial" w:cs="Arial"/>
          <w:sz w:val="24"/>
          <w:szCs w:val="24"/>
        </w:rPr>
        <w:t>Alzboun</w:t>
      </w:r>
      <w:proofErr w:type="spellEnd"/>
      <w:r w:rsidRPr="001F369C">
        <w:rPr>
          <w:rFonts w:ascii="Arial" w:hAnsi="Arial" w:cs="Arial"/>
          <w:sz w:val="24"/>
          <w:szCs w:val="24"/>
        </w:rPr>
        <w:t xml:space="preserve"> et al. (2016), the hotel business has adopted sustainable practices, put green technologies into use, and promoted sustainable tourism as some of the ways it is addressing and adjusting to the sustainability challenge. Due to several causes, including shifting customer preferences, governmental laws, and the commercial rationale for sustainability, sustainability has taken centre stage in the sector as per a study by </w:t>
      </w:r>
      <w:proofErr w:type="spellStart"/>
      <w:r w:rsidRPr="001F369C">
        <w:rPr>
          <w:rFonts w:ascii="Arial" w:hAnsi="Arial" w:cs="Arial"/>
          <w:sz w:val="24"/>
          <w:szCs w:val="24"/>
        </w:rPr>
        <w:t>Zorpas</w:t>
      </w:r>
      <w:proofErr w:type="spellEnd"/>
      <w:r w:rsidRPr="001F369C">
        <w:rPr>
          <w:rFonts w:ascii="Arial" w:hAnsi="Arial" w:cs="Arial"/>
          <w:sz w:val="24"/>
          <w:szCs w:val="24"/>
        </w:rPr>
        <w:t xml:space="preserve"> et al. (2018). Adopting sustainable practices is one way the hotel sector is addressing the sustainability challenge. This entails conserving energy and water, cutting back on waste production and carbon emissions, buying food that is locally produced and sustainably farmed, and turning to renewable energy sources (Morea et al., 2021). To show their dedication to sustainable measures, many hotels have adopted sustainability certification programs like LEED or Green Globe. Green technology adoption is another way the hospitality sector is responding to sustainability. To lessen their environmental impact and boost operational effectiveness, hotels are progressively making investments in energy-efficient lighting and appliances, renewable energy sources, and smart building automation technologies (</w:t>
      </w:r>
      <w:proofErr w:type="spellStart"/>
      <w:r w:rsidRPr="001F369C">
        <w:rPr>
          <w:rFonts w:ascii="Arial" w:hAnsi="Arial" w:cs="Arial"/>
          <w:sz w:val="24"/>
          <w:szCs w:val="24"/>
        </w:rPr>
        <w:t>Niyommaneerat</w:t>
      </w:r>
      <w:proofErr w:type="spellEnd"/>
      <w:r w:rsidRPr="001F369C">
        <w:rPr>
          <w:rFonts w:ascii="Arial" w:hAnsi="Arial" w:cs="Arial"/>
          <w:sz w:val="24"/>
          <w:szCs w:val="24"/>
        </w:rPr>
        <w:t xml:space="preserve"> et al., 2023).</w:t>
      </w:r>
    </w:p>
    <w:p w14:paraId="2D44F4A8"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The hotel sector is also promoting sustainable tourism by informing visitors about green travel options, highlighting regional arts and crafts, and encouraging visitors to use responsible travel tactics to benefit local communities (Wang et al. 2019). Numerous hotels have also put in place initiatives to encourage visitors to practice sustainability, including initiatives to reduce trash and increase recycling rates as well as carbon offset schemes. Due to several causes, the hotel sector has made sustainability a top priority (</w:t>
      </w:r>
      <w:proofErr w:type="spellStart"/>
      <w:r w:rsidRPr="001F369C">
        <w:rPr>
          <w:rFonts w:ascii="Arial" w:hAnsi="Arial" w:cs="Arial"/>
          <w:sz w:val="24"/>
          <w:szCs w:val="24"/>
        </w:rPr>
        <w:t>Stylos</w:t>
      </w:r>
      <w:proofErr w:type="spellEnd"/>
      <w:r w:rsidRPr="001F369C">
        <w:rPr>
          <w:rFonts w:ascii="Arial" w:hAnsi="Arial" w:cs="Arial"/>
          <w:sz w:val="24"/>
          <w:szCs w:val="24"/>
        </w:rPr>
        <w:t xml:space="preserve"> and Vassiliadis, 2015). First, there is a desire for sustainable lodgings and experiences due to shifting consumer tastes. Travellers are increasingly looking for hotels with sustainability certificates and are willing to pay a premium for eco-friendly accommodations and activities (Wang et al. 2019).</w:t>
      </w:r>
    </w:p>
    <w:p w14:paraId="496AA447"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lastRenderedPageBreak/>
        <w:t xml:space="preserve">According to </w:t>
      </w:r>
      <w:proofErr w:type="spellStart"/>
      <w:r w:rsidRPr="001F369C">
        <w:rPr>
          <w:rFonts w:ascii="Arial" w:hAnsi="Arial" w:cs="Arial"/>
          <w:sz w:val="24"/>
          <w:szCs w:val="24"/>
        </w:rPr>
        <w:t>Drouillard</w:t>
      </w:r>
      <w:proofErr w:type="spellEnd"/>
      <w:r w:rsidRPr="001F369C">
        <w:rPr>
          <w:rFonts w:ascii="Arial" w:hAnsi="Arial" w:cs="Arial"/>
          <w:sz w:val="24"/>
          <w:szCs w:val="24"/>
        </w:rPr>
        <w:t xml:space="preserve"> (2018), Hoteliers have been inspired to embrace sustainability and integrate it into their corporate agenda due to several business considerations. These worries include escalating political pressure, shifting consumer tastes, and industrial rivals' activities. The rising pressure from the government is one of the main forces behind sustainability in the hotel sector (</w:t>
      </w:r>
      <w:proofErr w:type="spellStart"/>
      <w:r w:rsidRPr="001F369C">
        <w:rPr>
          <w:rFonts w:ascii="Arial" w:hAnsi="Arial" w:cs="Arial"/>
          <w:sz w:val="24"/>
          <w:szCs w:val="24"/>
        </w:rPr>
        <w:t>Batat</w:t>
      </w:r>
      <w:proofErr w:type="spellEnd"/>
      <w:r w:rsidRPr="001F369C">
        <w:rPr>
          <w:rFonts w:ascii="Arial" w:hAnsi="Arial" w:cs="Arial"/>
          <w:sz w:val="24"/>
          <w:szCs w:val="24"/>
        </w:rPr>
        <w:t>, 2020). A variety of laws and policies have been put in place by governments all over the world to lessen the environmental impact of the hotel industry. As an illustration, numerous nations have enacted carbon taxes or emissions trading programs that mandate that companies pay for their greenhouse gas emissions. Additionally, numerous countries have passed laws requiring hotels to employ sustainability initiatives, such as waste reduction, sustainable sourcing, and water and energy conservation measures (Bello and Kamanga, 2020).</w:t>
      </w:r>
    </w:p>
    <w:p w14:paraId="1B2D0A11"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The shift in consumer tastes has also encouraged hotels to adopt sustainability. Travellers are increasingly looking for eco-friendly lodgings that place a priority on sustainability and environmental responsibility (Legrand et al., 2022). Because customers are ready to pay more for ecologically friendly hotels, this has given hotels that can prove their sustainability credentials a competitive advantage.</w:t>
      </w:r>
    </w:p>
    <w:p w14:paraId="29E7F296"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The hoteliers also have been inspired to embrace sustainability by the conduct of rival businesses in the sector. To stand out from the competition and acquire a competitive edge, many hotels have started to give sustainability priority (Morea et al., 2021). One company that has made sustainability a priority in its corporate strategy is Marriott International, which has set a target of reducing its environmental impact by 30% by 2025 as per a study by Legrand et al. (2022). This has enhanced Marriott's reputation as a conscientious corporate citizen and helped it draw in environmentally sensitive customers. According to </w:t>
      </w:r>
      <w:proofErr w:type="spellStart"/>
      <w:r w:rsidRPr="001F369C">
        <w:rPr>
          <w:rFonts w:ascii="Arial" w:hAnsi="Arial" w:cs="Arial"/>
          <w:sz w:val="24"/>
          <w:szCs w:val="24"/>
        </w:rPr>
        <w:t>Alzboun</w:t>
      </w:r>
      <w:proofErr w:type="spellEnd"/>
      <w:r w:rsidRPr="001F369C">
        <w:rPr>
          <w:rFonts w:ascii="Arial" w:hAnsi="Arial" w:cs="Arial"/>
          <w:sz w:val="24"/>
          <w:szCs w:val="24"/>
        </w:rPr>
        <w:t xml:space="preserve"> et al. (2016), savings using sustainable practices typically allows hotels to make financial savings. For instance, using energy-efficient lighting and appliances can lower energy expenditures, and using water sparingly can lower water bills. Hotels may save operating expenses and boost their bottom line by embracing sustainable practices (</w:t>
      </w:r>
      <w:proofErr w:type="spellStart"/>
      <w:r w:rsidRPr="001F369C">
        <w:rPr>
          <w:rFonts w:ascii="Arial" w:hAnsi="Arial" w:cs="Arial"/>
          <w:sz w:val="24"/>
          <w:szCs w:val="24"/>
        </w:rPr>
        <w:t>Barnabè</w:t>
      </w:r>
      <w:proofErr w:type="spellEnd"/>
      <w:r w:rsidRPr="001F369C">
        <w:rPr>
          <w:rFonts w:ascii="Arial" w:hAnsi="Arial" w:cs="Arial"/>
          <w:sz w:val="24"/>
          <w:szCs w:val="24"/>
        </w:rPr>
        <w:t xml:space="preserve"> and Nazir, 2022).</w:t>
      </w:r>
    </w:p>
    <w:p w14:paraId="4252381D"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Here are some other ideas and instances of how tourism may advance sustainability-Encouraging responsible tourism: irresponsibly managed tourism can have detrimental effects on the environment and neighbourhood residents (</w:t>
      </w:r>
      <w:proofErr w:type="spellStart"/>
      <w:r w:rsidRPr="001F369C">
        <w:rPr>
          <w:rFonts w:ascii="Arial" w:hAnsi="Arial" w:cs="Arial"/>
          <w:sz w:val="24"/>
          <w:szCs w:val="24"/>
        </w:rPr>
        <w:t>Stylos</w:t>
      </w:r>
      <w:proofErr w:type="spellEnd"/>
      <w:r w:rsidRPr="001F369C">
        <w:rPr>
          <w:rFonts w:ascii="Arial" w:hAnsi="Arial" w:cs="Arial"/>
          <w:sz w:val="24"/>
          <w:szCs w:val="24"/>
        </w:rPr>
        <w:t xml:space="preserve"> and </w:t>
      </w:r>
      <w:r w:rsidRPr="001F369C">
        <w:rPr>
          <w:rFonts w:ascii="Arial" w:hAnsi="Arial" w:cs="Arial"/>
          <w:sz w:val="24"/>
          <w:szCs w:val="24"/>
        </w:rPr>
        <w:lastRenderedPageBreak/>
        <w:t>Vassiliadis, 2015). Encouragement of ethical tourist activities can reduce these effects and advance sustainability. This can involve encouraging environmentally friendly modes of transportation, assisting small local businesses, and reducing trash. As an illustration, the Galapagos Islands in Ecuador have enacted stringent laws to safeguard their distinctive environment and advance responsible tourism (</w:t>
      </w:r>
      <w:proofErr w:type="spellStart"/>
      <w:r w:rsidRPr="001F369C">
        <w:rPr>
          <w:rFonts w:ascii="Arial" w:hAnsi="Arial" w:cs="Arial"/>
          <w:sz w:val="24"/>
          <w:szCs w:val="24"/>
        </w:rPr>
        <w:t>Barnabè</w:t>
      </w:r>
      <w:proofErr w:type="spellEnd"/>
      <w:r w:rsidRPr="001F369C">
        <w:rPr>
          <w:rFonts w:ascii="Arial" w:hAnsi="Arial" w:cs="Arial"/>
          <w:sz w:val="24"/>
          <w:szCs w:val="24"/>
        </w:rPr>
        <w:t xml:space="preserve"> and Nazir, 2022). Visitors must adhere to </w:t>
      </w:r>
      <w:proofErr w:type="gramStart"/>
      <w:r w:rsidRPr="001F369C">
        <w:rPr>
          <w:rFonts w:ascii="Arial" w:hAnsi="Arial" w:cs="Arial"/>
          <w:sz w:val="24"/>
          <w:szCs w:val="24"/>
        </w:rPr>
        <w:t>particular rules</w:t>
      </w:r>
      <w:proofErr w:type="gramEnd"/>
      <w:r w:rsidRPr="001F369C">
        <w:rPr>
          <w:rFonts w:ascii="Arial" w:hAnsi="Arial" w:cs="Arial"/>
          <w:sz w:val="24"/>
          <w:szCs w:val="24"/>
        </w:rPr>
        <w:t>, such as limitations on when and where they can visit certain places, to reduce their influence on the ecosystem.</w:t>
      </w:r>
    </w:p>
    <w:p w14:paraId="673F7F48"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Supporting local communities- Tourism has the potential to positively impact local economies while potentially displacing established businesses and customs. By assisting local organizations, one may ensure that tourism benefits the community and encourages sustainability (Morea et al., 2021). This can involve working with local companies to hire local workers, buying things made nearby, and funding neighbourhood improvement initiatives. For illustration, the </w:t>
      </w:r>
      <w:proofErr w:type="spellStart"/>
      <w:r w:rsidRPr="001F369C">
        <w:rPr>
          <w:rFonts w:ascii="Arial" w:hAnsi="Arial" w:cs="Arial"/>
          <w:sz w:val="24"/>
          <w:szCs w:val="24"/>
        </w:rPr>
        <w:t>Saruni</w:t>
      </w:r>
      <w:proofErr w:type="spellEnd"/>
      <w:r w:rsidRPr="001F369C">
        <w:rPr>
          <w:rFonts w:ascii="Arial" w:hAnsi="Arial" w:cs="Arial"/>
          <w:sz w:val="24"/>
          <w:szCs w:val="24"/>
        </w:rPr>
        <w:t xml:space="preserve"> Lodges in Kenya are dedicated to advancing sustainable travel and helping the neighbourhood. They collaborate with local communities on conservation and development projects, such as constructing schools and supplying clean water, by hiring personnel from adjacent villages (</w:t>
      </w:r>
      <w:proofErr w:type="spellStart"/>
      <w:r w:rsidRPr="001F369C">
        <w:rPr>
          <w:rFonts w:ascii="Arial" w:hAnsi="Arial" w:cs="Arial"/>
          <w:sz w:val="24"/>
          <w:szCs w:val="24"/>
        </w:rPr>
        <w:t>Niyommaneerat</w:t>
      </w:r>
      <w:proofErr w:type="spellEnd"/>
      <w:r w:rsidRPr="001F369C">
        <w:rPr>
          <w:rFonts w:ascii="Arial" w:hAnsi="Arial" w:cs="Arial"/>
          <w:sz w:val="24"/>
          <w:szCs w:val="24"/>
        </w:rPr>
        <w:t xml:space="preserve"> et al., 2023).</w:t>
      </w:r>
    </w:p>
    <w:p w14:paraId="0A02E9B1" w14:textId="6871C0DB"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Promoting cultural heritage- Tourism can contribute to the promotion and preservation of cultural heritage, but it can also result in a loss of authenticity and homogenization of the various cultures (Morea et al., 2021). While promoting sustainable tourism, promoting cultural heritage can help to guarantee that tourism respects and preserves local culture (Mosconi et al., 2020). A renovated Andean estate from the 17th century, the Hacienda </w:t>
      </w:r>
      <w:proofErr w:type="spellStart"/>
      <w:r w:rsidRPr="001F369C">
        <w:rPr>
          <w:rFonts w:ascii="Arial" w:hAnsi="Arial" w:cs="Arial"/>
          <w:sz w:val="24"/>
          <w:szCs w:val="24"/>
        </w:rPr>
        <w:t>Cusin</w:t>
      </w:r>
      <w:proofErr w:type="spellEnd"/>
      <w:r w:rsidRPr="001F369C">
        <w:rPr>
          <w:rFonts w:ascii="Arial" w:hAnsi="Arial" w:cs="Arial"/>
          <w:sz w:val="24"/>
          <w:szCs w:val="24"/>
        </w:rPr>
        <w:t xml:space="preserve"> Hotel in Ecuador supports regional artists and promotes traditional Andean culture. Tourism is a major source of the environmental issue of plastic waste (</w:t>
      </w:r>
      <w:proofErr w:type="spellStart"/>
      <w:r w:rsidRPr="001F369C">
        <w:rPr>
          <w:rFonts w:ascii="Arial" w:hAnsi="Arial" w:cs="Arial"/>
          <w:sz w:val="24"/>
          <w:szCs w:val="24"/>
        </w:rPr>
        <w:t>Niyommaneerat</w:t>
      </w:r>
      <w:proofErr w:type="spellEnd"/>
      <w:r w:rsidRPr="001F369C">
        <w:rPr>
          <w:rFonts w:ascii="Arial" w:hAnsi="Arial" w:cs="Arial"/>
          <w:sz w:val="24"/>
          <w:szCs w:val="24"/>
        </w:rPr>
        <w:t xml:space="preserve"> et al, 2023). Reducing plastic waste can support sustainability and environmental protection. For illustration, The Six Senses hotels have done away with single-use plastics like straws and drink bottles (Morea et al, 2021). They employ biodegradable or reusable substitutes for other plastic items and provide guests with reusable water bottles.</w:t>
      </w:r>
    </w:p>
    <w:p w14:paraId="2CCBDA6F" w14:textId="780BEEFD"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According to Kim et al. (2019), Circular economy and the relationship with CSR- A concept known as the "circular economy" tries to design out waste and pollution while regenerating natural systems to keep resources in use for as long as feasible (Mosconi </w:t>
      </w:r>
      <w:r w:rsidRPr="001F369C">
        <w:rPr>
          <w:rFonts w:ascii="Arial" w:hAnsi="Arial" w:cs="Arial"/>
          <w:sz w:val="24"/>
          <w:szCs w:val="24"/>
        </w:rPr>
        <w:lastRenderedPageBreak/>
        <w:t>et al, 2020). As a commitment by businesses to conduct their operations sustainably and responsibly, the circular economy is strongly tied to corporate social responsibility (CSR)</w:t>
      </w:r>
      <w:r w:rsidRPr="001F369C">
        <w:rPr>
          <w:rFonts w:ascii="Arial" w:hAnsi="Arial" w:cs="Arial"/>
        </w:rPr>
        <w:t xml:space="preserve"> </w:t>
      </w:r>
      <w:r w:rsidRPr="001F369C">
        <w:rPr>
          <w:rFonts w:ascii="Arial" w:hAnsi="Arial" w:cs="Arial"/>
          <w:sz w:val="24"/>
          <w:szCs w:val="24"/>
        </w:rPr>
        <w:t>as per a study by Ouyang et al, (2019).</w:t>
      </w:r>
    </w:p>
    <w:p w14:paraId="23879178" w14:textId="6F622984"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By implementing sustainable design concepts into their products and services, businesses can create a circular economy strategy. This may entail minimizing waste throughout the production and supply chain and creating goods that are robust, repairable, and recyclable (Mosconi et al., 2020). Involve using sustainable food purchasing techniques, as well as recycling and composting to cut down on food waste (</w:t>
      </w:r>
      <w:proofErr w:type="spellStart"/>
      <w:r w:rsidRPr="001F369C">
        <w:rPr>
          <w:rFonts w:ascii="Arial" w:hAnsi="Arial" w:cs="Arial"/>
          <w:sz w:val="24"/>
          <w:szCs w:val="24"/>
        </w:rPr>
        <w:t>Fortunati</w:t>
      </w:r>
      <w:proofErr w:type="spellEnd"/>
      <w:r w:rsidRPr="001F369C">
        <w:rPr>
          <w:rFonts w:ascii="Arial" w:hAnsi="Arial" w:cs="Arial"/>
          <w:sz w:val="24"/>
          <w:szCs w:val="24"/>
        </w:rPr>
        <w:t xml:space="preserve"> et al, 2020).  This can entail setting up infrastructure for recycling and inventing new technology to make the recycling process easier.</w:t>
      </w:r>
    </w:p>
    <w:p w14:paraId="22E46477" w14:textId="0423E05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Reduced waste and pollution in operations is another option for tourism and hospitality businesses to utilize circular economy ideas. This can entail putting sustainable strategies into action, such as lowering energy and water usage, boosting recycling, and using environmentally friendly goods (</w:t>
      </w:r>
      <w:proofErr w:type="spellStart"/>
      <w:r w:rsidRPr="001F369C">
        <w:rPr>
          <w:rFonts w:ascii="Arial" w:hAnsi="Arial" w:cs="Arial"/>
          <w:sz w:val="24"/>
          <w:szCs w:val="24"/>
        </w:rPr>
        <w:t>Fortunati</w:t>
      </w:r>
      <w:proofErr w:type="spellEnd"/>
      <w:r w:rsidRPr="001F369C">
        <w:rPr>
          <w:rFonts w:ascii="Arial" w:hAnsi="Arial" w:cs="Arial"/>
          <w:sz w:val="24"/>
          <w:szCs w:val="24"/>
        </w:rPr>
        <w:t xml:space="preserve"> et al, 2020). For instance, many hotels are introducing water-saving strategies, upgrading to energy-efficient lighting and HVAC systems, and providing recycling programs for visitors.</w:t>
      </w:r>
    </w:p>
    <w:p w14:paraId="2EEEE1BA" w14:textId="1C51AB43"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Thus, it is crucial for businesses to </w:t>
      </w:r>
      <w:proofErr w:type="gramStart"/>
      <w:r w:rsidRPr="001F369C">
        <w:rPr>
          <w:rFonts w:ascii="Arial" w:hAnsi="Arial" w:cs="Arial"/>
          <w:sz w:val="24"/>
          <w:szCs w:val="24"/>
        </w:rPr>
        <w:t>take into account</w:t>
      </w:r>
      <w:proofErr w:type="gramEnd"/>
      <w:r w:rsidRPr="001F369C">
        <w:rPr>
          <w:rFonts w:ascii="Arial" w:hAnsi="Arial" w:cs="Arial"/>
          <w:sz w:val="24"/>
          <w:szCs w:val="24"/>
        </w:rPr>
        <w:t xml:space="preserve"> the core tenants of sustainability when creating their CSR plans and to make sure that their strategy is all-encompassing and tackles both environmental and social issues (Jones et al., 2016). Engaging stakeholders, creating collaborations with local communities, and funding environmentally friendly products and sustainable infrastructure are some ways to do this (Morea et al, 2021). </w:t>
      </w:r>
    </w:p>
    <w:p w14:paraId="18CA2EAA" w14:textId="321F7B55"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The "Travel with Purpose" initiative from Hilton Hotels &amp; Resorts is an illustration of a comprehensive CSR approach. The program involves pledges to cut back on energy and water use, buy sustainable goods, and help regional communities by promoting projects for community development and employment creation (Pereira et al, 2021).</w:t>
      </w:r>
    </w:p>
    <w:p w14:paraId="1F6CF0B9" w14:textId="5159AD1F"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Premier Inn is another instance of a tourism and hospitality business that has embraced circular economy and CSR ideas. By 2030, the corporation plans to reduce its environmental impact by 50% through steps including cutting back on trash, water use, and carbon emissions (Morea et al, 2021). Additionally, Premier Inn makes investments in the training and development of its staff and collaborates with neighbourhood groups to promote sustainable tourism.</w:t>
      </w:r>
    </w:p>
    <w:p w14:paraId="315BAF31" w14:textId="697A0009"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lastRenderedPageBreak/>
        <w:t>According to Kim et al. (2019), to encourage sustainable tourism, businesses can interact with local communities and stakeholders. This may entail lending support to regional programs that advance social and economic advancement, cultural preservation, and environmental preservation. For instance, hotels can collaborate with regional groups to support environmental conservation initiatives or to promote local culture through excursions and other events (Ouyang et al, 2019).</w:t>
      </w:r>
    </w:p>
    <w:p w14:paraId="255CB74E" w14:textId="0860392E"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The CSR strategies or policies of a circular economy that have a relationship with CSR like adopting sustainable business practices, such as waste reduction, water conservation, and energy efficiency. Putting in place closed-loop processes for things like food waste, like composting and recycling (Pereira et al., 2021). Premier Inn obtaining supplies and goods from ethical suppliers and educating visitors about eco-friendly solutions and investing in environmentally friendly building techniques and sustainable infrastructure (</w:t>
      </w:r>
      <w:proofErr w:type="spellStart"/>
      <w:r w:rsidRPr="001F369C">
        <w:rPr>
          <w:rFonts w:ascii="Arial" w:hAnsi="Arial" w:cs="Arial"/>
          <w:sz w:val="24"/>
          <w:szCs w:val="24"/>
        </w:rPr>
        <w:t>Barnabè</w:t>
      </w:r>
      <w:proofErr w:type="spellEnd"/>
      <w:r w:rsidRPr="001F369C">
        <w:rPr>
          <w:rFonts w:ascii="Arial" w:hAnsi="Arial" w:cs="Arial"/>
          <w:sz w:val="24"/>
          <w:szCs w:val="24"/>
        </w:rPr>
        <w:t xml:space="preserve"> and Nazir, 2022). Premier Inn need to supporting neighbourhood activities for employment, education, and training as well as philanthropic giving. Collaborating with neighbourhood groups to advance social and economic development, cultural preservation, and environmental conservation (Jones et al,2016). They might be creating training and development initiatives for employees to support sustainable practices and ethical tourism and setting goals for improvement and measuring and reporting sustainable performance to stakeholders (Zapata Campos et al., 2018). Premier Inn must be engaging visitors and clients to advance eco-friendly tourism methods and inspire moral conduct and partnering with suppliers to advance eco-friendly procedures all along the supply chain.</w:t>
      </w:r>
    </w:p>
    <w:p w14:paraId="1EDBF4C8"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For the tourist and hospitality sector to achieve sustainable development and lessen its environmental impact, the circular economy and CSR are essential. Companies may help the sector move toward a more sustainable future by embracing circular economy ideas and creating CSR plans that emphasize the environmental, social, and economic pillars of sustainability. By implementing sustainable practices, assisting local communities, and making investments in sustainable infrastructure and technology, businesses can have a substantial impact on the sustainability of their industry, as demonstrated by the examples of CSR strategies and policies presented. To preserve its long-term viability, the sector must emphasize sustainability and make it a key component of its business goal.</w:t>
      </w:r>
    </w:p>
    <w:p w14:paraId="79BA47F8" w14:textId="2A1DD679" w:rsidR="00551EEA" w:rsidRPr="001F369C" w:rsidRDefault="00551EEA" w:rsidP="00B8093C">
      <w:pPr>
        <w:spacing w:line="360" w:lineRule="auto"/>
        <w:jc w:val="both"/>
        <w:rPr>
          <w:rFonts w:ascii="Arial" w:hAnsi="Arial" w:cs="Arial"/>
          <w:sz w:val="24"/>
          <w:szCs w:val="24"/>
        </w:rPr>
      </w:pPr>
      <w:r w:rsidRPr="001F369C">
        <w:rPr>
          <w:rFonts w:ascii="Arial" w:hAnsi="Arial" w:cs="Arial"/>
          <w:sz w:val="24"/>
          <w:szCs w:val="24"/>
        </w:rPr>
        <w:br w:type="page"/>
      </w:r>
      <w:r w:rsidRPr="001F369C">
        <w:rPr>
          <w:rFonts w:ascii="Arial" w:hAnsi="Arial" w:cs="Arial"/>
          <w:b/>
          <w:bCs/>
          <w:sz w:val="24"/>
          <w:szCs w:val="24"/>
        </w:rPr>
        <w:lastRenderedPageBreak/>
        <w:t>Reference</w:t>
      </w:r>
    </w:p>
    <w:p w14:paraId="7A67FE49" w14:textId="77777777" w:rsidR="00551EEA" w:rsidRPr="001F369C" w:rsidRDefault="00551EEA" w:rsidP="00551EEA">
      <w:pPr>
        <w:spacing w:line="360" w:lineRule="auto"/>
        <w:jc w:val="both"/>
        <w:rPr>
          <w:rFonts w:ascii="Arial" w:hAnsi="Arial" w:cs="Arial"/>
          <w:sz w:val="24"/>
          <w:szCs w:val="24"/>
        </w:rPr>
      </w:pPr>
      <w:proofErr w:type="spellStart"/>
      <w:r w:rsidRPr="001F369C">
        <w:rPr>
          <w:rFonts w:ascii="Arial" w:hAnsi="Arial" w:cs="Arial"/>
          <w:sz w:val="24"/>
          <w:szCs w:val="24"/>
        </w:rPr>
        <w:t>Alzboun</w:t>
      </w:r>
      <w:proofErr w:type="spellEnd"/>
      <w:r w:rsidRPr="001F369C">
        <w:rPr>
          <w:rFonts w:ascii="Arial" w:hAnsi="Arial" w:cs="Arial"/>
          <w:sz w:val="24"/>
          <w:szCs w:val="24"/>
        </w:rPr>
        <w:t xml:space="preserve">, N., </w:t>
      </w:r>
      <w:proofErr w:type="spellStart"/>
      <w:r w:rsidRPr="001F369C">
        <w:rPr>
          <w:rFonts w:ascii="Arial" w:hAnsi="Arial" w:cs="Arial"/>
          <w:sz w:val="24"/>
          <w:szCs w:val="24"/>
        </w:rPr>
        <w:t>Khawaldah</w:t>
      </w:r>
      <w:proofErr w:type="spellEnd"/>
      <w:r w:rsidRPr="001F369C">
        <w:rPr>
          <w:rFonts w:ascii="Arial" w:hAnsi="Arial" w:cs="Arial"/>
          <w:sz w:val="24"/>
          <w:szCs w:val="24"/>
        </w:rPr>
        <w:t xml:space="preserve">, H., Backman, K. and Moore, D., (2016) ‘The effect of sustainability practices on financial leakage in the hotel industry in Jordan’, </w:t>
      </w:r>
      <w:r w:rsidRPr="001F369C">
        <w:rPr>
          <w:rFonts w:ascii="Arial" w:hAnsi="Arial" w:cs="Arial"/>
          <w:i/>
          <w:iCs/>
          <w:sz w:val="24"/>
          <w:szCs w:val="24"/>
        </w:rPr>
        <w:t>Journal of Hospitality and Tourism Management</w:t>
      </w:r>
      <w:r w:rsidRPr="001F369C">
        <w:rPr>
          <w:rFonts w:ascii="Arial" w:hAnsi="Arial" w:cs="Arial"/>
          <w:sz w:val="24"/>
          <w:szCs w:val="24"/>
        </w:rPr>
        <w:t>, </w:t>
      </w:r>
      <w:r w:rsidRPr="001F369C">
        <w:rPr>
          <w:rFonts w:ascii="Arial" w:hAnsi="Arial" w:cs="Arial"/>
          <w:i/>
          <w:iCs/>
          <w:sz w:val="24"/>
          <w:szCs w:val="24"/>
        </w:rPr>
        <w:t>27</w:t>
      </w:r>
      <w:r w:rsidRPr="001F369C">
        <w:rPr>
          <w:rFonts w:ascii="Arial" w:hAnsi="Arial" w:cs="Arial"/>
          <w:sz w:val="24"/>
          <w:szCs w:val="24"/>
        </w:rPr>
        <w:t>, pp.18-26.</w:t>
      </w:r>
    </w:p>
    <w:p w14:paraId="029326D7" w14:textId="77777777" w:rsidR="00551EEA" w:rsidRPr="001F369C" w:rsidRDefault="00551EEA" w:rsidP="00551EEA">
      <w:pPr>
        <w:spacing w:line="360" w:lineRule="auto"/>
        <w:jc w:val="both"/>
        <w:rPr>
          <w:rFonts w:ascii="Arial" w:hAnsi="Arial" w:cs="Arial"/>
          <w:sz w:val="24"/>
          <w:szCs w:val="24"/>
        </w:rPr>
      </w:pPr>
      <w:proofErr w:type="spellStart"/>
      <w:r w:rsidRPr="001F369C">
        <w:rPr>
          <w:rFonts w:ascii="Arial" w:hAnsi="Arial" w:cs="Arial"/>
          <w:sz w:val="24"/>
          <w:szCs w:val="24"/>
        </w:rPr>
        <w:t>Barnabè</w:t>
      </w:r>
      <w:proofErr w:type="spellEnd"/>
      <w:r w:rsidRPr="001F369C">
        <w:rPr>
          <w:rFonts w:ascii="Arial" w:hAnsi="Arial" w:cs="Arial"/>
          <w:sz w:val="24"/>
          <w:szCs w:val="24"/>
        </w:rPr>
        <w:t>, F. and Nazir, S., (2022) ‘Conceptualizing and enabling circular economy through integrated thinking’, </w:t>
      </w:r>
      <w:r w:rsidRPr="001F369C">
        <w:rPr>
          <w:rFonts w:ascii="Arial" w:hAnsi="Arial" w:cs="Arial"/>
          <w:i/>
          <w:iCs/>
          <w:sz w:val="24"/>
          <w:szCs w:val="24"/>
        </w:rPr>
        <w:t>Corporate Social Responsibility and Environmental Management</w:t>
      </w:r>
      <w:r w:rsidRPr="001F369C">
        <w:rPr>
          <w:rFonts w:ascii="Arial" w:hAnsi="Arial" w:cs="Arial"/>
          <w:sz w:val="24"/>
          <w:szCs w:val="24"/>
        </w:rPr>
        <w:t>, </w:t>
      </w:r>
      <w:r w:rsidRPr="001F369C">
        <w:rPr>
          <w:rFonts w:ascii="Arial" w:hAnsi="Arial" w:cs="Arial"/>
          <w:i/>
          <w:iCs/>
          <w:sz w:val="24"/>
          <w:szCs w:val="24"/>
        </w:rPr>
        <w:t>29</w:t>
      </w:r>
      <w:r w:rsidRPr="001F369C">
        <w:rPr>
          <w:rFonts w:ascii="Arial" w:hAnsi="Arial" w:cs="Arial"/>
          <w:sz w:val="24"/>
          <w:szCs w:val="24"/>
        </w:rPr>
        <w:t>(2), pp.448-468.</w:t>
      </w:r>
    </w:p>
    <w:p w14:paraId="6245C45E" w14:textId="77777777" w:rsidR="00551EEA" w:rsidRPr="001F369C" w:rsidRDefault="00551EEA" w:rsidP="00551EEA">
      <w:pPr>
        <w:spacing w:line="360" w:lineRule="auto"/>
        <w:jc w:val="both"/>
        <w:rPr>
          <w:rFonts w:ascii="Arial" w:hAnsi="Arial" w:cs="Arial"/>
          <w:sz w:val="24"/>
          <w:szCs w:val="24"/>
        </w:rPr>
      </w:pPr>
      <w:proofErr w:type="spellStart"/>
      <w:r w:rsidRPr="001F369C">
        <w:rPr>
          <w:rFonts w:ascii="Arial" w:hAnsi="Arial" w:cs="Arial"/>
          <w:sz w:val="24"/>
          <w:szCs w:val="24"/>
        </w:rPr>
        <w:t>Batat</w:t>
      </w:r>
      <w:proofErr w:type="spellEnd"/>
      <w:r w:rsidRPr="001F369C">
        <w:rPr>
          <w:rFonts w:ascii="Arial" w:hAnsi="Arial" w:cs="Arial"/>
          <w:sz w:val="24"/>
          <w:szCs w:val="24"/>
        </w:rPr>
        <w:t>, W., (2020) ‘Pillars of sustainable food experiences in the luxury gastronomy sector: A qualitative exploration of Michelin-starred chefs’ motivations’, </w:t>
      </w:r>
      <w:r w:rsidRPr="001F369C">
        <w:rPr>
          <w:rFonts w:ascii="Arial" w:hAnsi="Arial" w:cs="Arial"/>
          <w:i/>
          <w:iCs/>
          <w:sz w:val="24"/>
          <w:szCs w:val="24"/>
        </w:rPr>
        <w:t>Journal of Retailing and Consumer Services</w:t>
      </w:r>
      <w:r w:rsidRPr="001F369C">
        <w:rPr>
          <w:rFonts w:ascii="Arial" w:hAnsi="Arial" w:cs="Arial"/>
          <w:sz w:val="24"/>
          <w:szCs w:val="24"/>
        </w:rPr>
        <w:t>, </w:t>
      </w:r>
      <w:r w:rsidRPr="001F369C">
        <w:rPr>
          <w:rFonts w:ascii="Arial" w:hAnsi="Arial" w:cs="Arial"/>
          <w:i/>
          <w:iCs/>
          <w:sz w:val="24"/>
          <w:szCs w:val="24"/>
        </w:rPr>
        <w:t>57</w:t>
      </w:r>
      <w:r w:rsidRPr="001F369C">
        <w:rPr>
          <w:rFonts w:ascii="Arial" w:hAnsi="Arial" w:cs="Arial"/>
          <w:sz w:val="24"/>
          <w:szCs w:val="24"/>
        </w:rPr>
        <w:t>, p.102255.</w:t>
      </w:r>
    </w:p>
    <w:p w14:paraId="298B482F"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Bello, F.G. and Kamanga, G., (2020) ‘Drivers and barriers of corporate social responsibility in the tourism industry: The case of Malawi’, </w:t>
      </w:r>
      <w:r w:rsidRPr="001F369C">
        <w:rPr>
          <w:rFonts w:ascii="Arial" w:hAnsi="Arial" w:cs="Arial"/>
          <w:i/>
          <w:iCs/>
          <w:sz w:val="24"/>
          <w:szCs w:val="24"/>
        </w:rPr>
        <w:t>Development Southern Africa</w:t>
      </w:r>
      <w:r w:rsidRPr="001F369C">
        <w:rPr>
          <w:rFonts w:ascii="Arial" w:hAnsi="Arial" w:cs="Arial"/>
          <w:sz w:val="24"/>
          <w:szCs w:val="24"/>
        </w:rPr>
        <w:t>, </w:t>
      </w:r>
      <w:r w:rsidRPr="001F369C">
        <w:rPr>
          <w:rFonts w:ascii="Arial" w:hAnsi="Arial" w:cs="Arial"/>
          <w:i/>
          <w:iCs/>
          <w:sz w:val="24"/>
          <w:szCs w:val="24"/>
        </w:rPr>
        <w:t>37</w:t>
      </w:r>
      <w:r w:rsidRPr="001F369C">
        <w:rPr>
          <w:rFonts w:ascii="Arial" w:hAnsi="Arial" w:cs="Arial"/>
          <w:sz w:val="24"/>
          <w:szCs w:val="24"/>
        </w:rPr>
        <w:t>(2), pp.181-196.</w:t>
      </w:r>
    </w:p>
    <w:p w14:paraId="5F5CEB1E" w14:textId="77777777" w:rsidR="00551EEA" w:rsidRPr="001F369C" w:rsidRDefault="00551EEA" w:rsidP="00551EEA">
      <w:pPr>
        <w:spacing w:line="360" w:lineRule="auto"/>
        <w:jc w:val="both"/>
        <w:rPr>
          <w:rFonts w:ascii="Arial" w:hAnsi="Arial" w:cs="Arial"/>
          <w:sz w:val="24"/>
          <w:szCs w:val="24"/>
        </w:rPr>
      </w:pPr>
      <w:proofErr w:type="spellStart"/>
      <w:r w:rsidRPr="001F369C">
        <w:rPr>
          <w:rFonts w:ascii="Arial" w:hAnsi="Arial" w:cs="Arial"/>
          <w:sz w:val="24"/>
          <w:szCs w:val="24"/>
        </w:rPr>
        <w:t>Drouillard</w:t>
      </w:r>
      <w:proofErr w:type="spellEnd"/>
      <w:r w:rsidRPr="001F369C">
        <w:rPr>
          <w:rFonts w:ascii="Arial" w:hAnsi="Arial" w:cs="Arial"/>
          <w:sz w:val="24"/>
          <w:szCs w:val="24"/>
        </w:rPr>
        <w:t>, J.S., (2018) ‘Current situation and future trends for beef production in the United States of America—A review’, </w:t>
      </w:r>
      <w:r w:rsidRPr="001F369C">
        <w:rPr>
          <w:rFonts w:ascii="Arial" w:hAnsi="Arial" w:cs="Arial"/>
          <w:i/>
          <w:iCs/>
          <w:sz w:val="24"/>
          <w:szCs w:val="24"/>
        </w:rPr>
        <w:t>Asian-Australasian Journal of animal sciences</w:t>
      </w:r>
      <w:r w:rsidRPr="001F369C">
        <w:rPr>
          <w:rFonts w:ascii="Arial" w:hAnsi="Arial" w:cs="Arial"/>
          <w:sz w:val="24"/>
          <w:szCs w:val="24"/>
        </w:rPr>
        <w:t>, </w:t>
      </w:r>
      <w:r w:rsidRPr="001F369C">
        <w:rPr>
          <w:rFonts w:ascii="Arial" w:hAnsi="Arial" w:cs="Arial"/>
          <w:i/>
          <w:iCs/>
          <w:sz w:val="24"/>
          <w:szCs w:val="24"/>
        </w:rPr>
        <w:t>31</w:t>
      </w:r>
      <w:r w:rsidRPr="001F369C">
        <w:rPr>
          <w:rFonts w:ascii="Arial" w:hAnsi="Arial" w:cs="Arial"/>
          <w:sz w:val="24"/>
          <w:szCs w:val="24"/>
        </w:rPr>
        <w:t>(7), p.1007.</w:t>
      </w:r>
    </w:p>
    <w:p w14:paraId="0AB4D902" w14:textId="77777777" w:rsidR="00551EEA" w:rsidRPr="001F369C" w:rsidRDefault="00551EEA" w:rsidP="00551EEA">
      <w:pPr>
        <w:spacing w:line="360" w:lineRule="auto"/>
        <w:jc w:val="both"/>
        <w:rPr>
          <w:rFonts w:ascii="Arial" w:hAnsi="Arial" w:cs="Arial"/>
          <w:sz w:val="24"/>
          <w:szCs w:val="24"/>
        </w:rPr>
      </w:pPr>
      <w:proofErr w:type="spellStart"/>
      <w:r w:rsidRPr="001F369C">
        <w:rPr>
          <w:rFonts w:ascii="Arial" w:hAnsi="Arial" w:cs="Arial"/>
          <w:sz w:val="24"/>
          <w:szCs w:val="24"/>
        </w:rPr>
        <w:t>Fortunati</w:t>
      </w:r>
      <w:proofErr w:type="spellEnd"/>
      <w:r w:rsidRPr="001F369C">
        <w:rPr>
          <w:rFonts w:ascii="Arial" w:hAnsi="Arial" w:cs="Arial"/>
          <w:sz w:val="24"/>
          <w:szCs w:val="24"/>
        </w:rPr>
        <w:t xml:space="preserve">, S., </w:t>
      </w:r>
      <w:proofErr w:type="spellStart"/>
      <w:r w:rsidRPr="001F369C">
        <w:rPr>
          <w:rFonts w:ascii="Arial" w:hAnsi="Arial" w:cs="Arial"/>
          <w:sz w:val="24"/>
          <w:szCs w:val="24"/>
        </w:rPr>
        <w:t>Martiniello</w:t>
      </w:r>
      <w:proofErr w:type="spellEnd"/>
      <w:r w:rsidRPr="001F369C">
        <w:rPr>
          <w:rFonts w:ascii="Arial" w:hAnsi="Arial" w:cs="Arial"/>
          <w:sz w:val="24"/>
          <w:szCs w:val="24"/>
        </w:rPr>
        <w:t xml:space="preserve">, L. and Morea, D., (2020) ‘The strategic role of corporate social responsibility and circular economy in the cosmetic Industry’, </w:t>
      </w:r>
      <w:r w:rsidRPr="001F369C">
        <w:rPr>
          <w:rFonts w:ascii="Arial" w:hAnsi="Arial" w:cs="Arial"/>
          <w:i/>
          <w:iCs/>
          <w:sz w:val="24"/>
          <w:szCs w:val="24"/>
        </w:rPr>
        <w:t>Sustainability</w:t>
      </w:r>
      <w:r w:rsidRPr="001F369C">
        <w:rPr>
          <w:rFonts w:ascii="Arial" w:hAnsi="Arial" w:cs="Arial"/>
          <w:sz w:val="24"/>
          <w:szCs w:val="24"/>
        </w:rPr>
        <w:t>, </w:t>
      </w:r>
      <w:r w:rsidRPr="001F369C">
        <w:rPr>
          <w:rFonts w:ascii="Arial" w:hAnsi="Arial" w:cs="Arial"/>
          <w:i/>
          <w:iCs/>
          <w:sz w:val="24"/>
          <w:szCs w:val="24"/>
        </w:rPr>
        <w:t>12</w:t>
      </w:r>
      <w:r w:rsidRPr="001F369C">
        <w:rPr>
          <w:rFonts w:ascii="Arial" w:hAnsi="Arial" w:cs="Arial"/>
          <w:sz w:val="24"/>
          <w:szCs w:val="24"/>
        </w:rPr>
        <w:t>(12), p.5120.</w:t>
      </w:r>
    </w:p>
    <w:p w14:paraId="56F5E5E9" w14:textId="77777777" w:rsidR="00551EEA" w:rsidRPr="001F369C" w:rsidRDefault="00551EEA" w:rsidP="00551EEA">
      <w:pPr>
        <w:spacing w:line="360" w:lineRule="auto"/>
        <w:jc w:val="both"/>
        <w:rPr>
          <w:rFonts w:ascii="Arial" w:hAnsi="Arial" w:cs="Arial"/>
          <w:sz w:val="24"/>
          <w:szCs w:val="24"/>
        </w:rPr>
      </w:pPr>
      <w:proofErr w:type="spellStart"/>
      <w:r w:rsidRPr="001F369C">
        <w:rPr>
          <w:rFonts w:ascii="Arial" w:hAnsi="Arial" w:cs="Arial"/>
          <w:sz w:val="24"/>
          <w:szCs w:val="24"/>
        </w:rPr>
        <w:t>Fortunati</w:t>
      </w:r>
      <w:proofErr w:type="spellEnd"/>
      <w:r w:rsidRPr="001F369C">
        <w:rPr>
          <w:rFonts w:ascii="Arial" w:hAnsi="Arial" w:cs="Arial"/>
          <w:sz w:val="24"/>
          <w:szCs w:val="24"/>
        </w:rPr>
        <w:t>, S., Morea, D. and Mosconi, E.M., (2020) ‘Circular economy and corporate social responsibility in the agricultural system: Cases study of the Italian agri-food industry’, </w:t>
      </w:r>
      <w:r w:rsidRPr="001F369C">
        <w:rPr>
          <w:rFonts w:ascii="Arial" w:hAnsi="Arial" w:cs="Arial"/>
          <w:i/>
          <w:iCs/>
          <w:sz w:val="24"/>
          <w:szCs w:val="24"/>
        </w:rPr>
        <w:t>ZEMEDELSKA EKONOMIKA</w:t>
      </w:r>
      <w:r w:rsidRPr="001F369C">
        <w:rPr>
          <w:rFonts w:ascii="Arial" w:hAnsi="Arial" w:cs="Arial"/>
          <w:sz w:val="24"/>
          <w:szCs w:val="24"/>
        </w:rPr>
        <w:t>, </w:t>
      </w:r>
      <w:r w:rsidRPr="001F369C">
        <w:rPr>
          <w:rFonts w:ascii="Arial" w:hAnsi="Arial" w:cs="Arial"/>
          <w:i/>
          <w:iCs/>
          <w:sz w:val="24"/>
          <w:szCs w:val="24"/>
        </w:rPr>
        <w:t>66</w:t>
      </w:r>
      <w:r w:rsidRPr="001F369C">
        <w:rPr>
          <w:rFonts w:ascii="Arial" w:hAnsi="Arial" w:cs="Arial"/>
          <w:sz w:val="24"/>
          <w:szCs w:val="24"/>
        </w:rPr>
        <w:t>(11), pp.489-498.</w:t>
      </w:r>
    </w:p>
    <w:p w14:paraId="328200B9"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Jones, P., Hillier, D. and Comfort, D., (2016) ‘Sustainability in the hospitality industry: Some personal reflections on corporate challenges and research agendas’, </w:t>
      </w:r>
      <w:r w:rsidRPr="001F369C">
        <w:rPr>
          <w:rFonts w:ascii="Arial" w:hAnsi="Arial" w:cs="Arial"/>
          <w:i/>
          <w:iCs/>
          <w:sz w:val="24"/>
          <w:szCs w:val="24"/>
        </w:rPr>
        <w:t>International Journal of Contemporary Hospitality Management</w:t>
      </w:r>
      <w:r w:rsidRPr="001F369C">
        <w:rPr>
          <w:rFonts w:ascii="Arial" w:hAnsi="Arial" w:cs="Arial"/>
          <w:sz w:val="24"/>
          <w:szCs w:val="24"/>
        </w:rPr>
        <w:t>.</w:t>
      </w:r>
    </w:p>
    <w:p w14:paraId="40629452"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Kim, Y.H., Barber, </w:t>
      </w:r>
      <w:proofErr w:type="gramStart"/>
      <w:r w:rsidRPr="001F369C">
        <w:rPr>
          <w:rFonts w:ascii="Arial" w:hAnsi="Arial" w:cs="Arial"/>
          <w:sz w:val="24"/>
          <w:szCs w:val="24"/>
        </w:rPr>
        <w:t>N.</w:t>
      </w:r>
      <w:proofErr w:type="gramEnd"/>
      <w:r w:rsidRPr="001F369C">
        <w:rPr>
          <w:rFonts w:ascii="Arial" w:hAnsi="Arial" w:cs="Arial"/>
          <w:sz w:val="24"/>
          <w:szCs w:val="24"/>
        </w:rPr>
        <w:t xml:space="preserve"> and Kim, D.K., (2019) ‘Sustainability research in the hotel industry: Past, present, and future’, </w:t>
      </w:r>
      <w:r w:rsidRPr="001F369C">
        <w:rPr>
          <w:rFonts w:ascii="Arial" w:hAnsi="Arial" w:cs="Arial"/>
          <w:i/>
          <w:iCs/>
          <w:sz w:val="24"/>
          <w:szCs w:val="24"/>
        </w:rPr>
        <w:t>Journal of Hospitality Marketing &amp; Management</w:t>
      </w:r>
      <w:r w:rsidRPr="001F369C">
        <w:rPr>
          <w:rFonts w:ascii="Arial" w:hAnsi="Arial" w:cs="Arial"/>
          <w:sz w:val="24"/>
          <w:szCs w:val="24"/>
        </w:rPr>
        <w:t>, </w:t>
      </w:r>
      <w:r w:rsidRPr="001F369C">
        <w:rPr>
          <w:rFonts w:ascii="Arial" w:hAnsi="Arial" w:cs="Arial"/>
          <w:i/>
          <w:iCs/>
          <w:sz w:val="24"/>
          <w:szCs w:val="24"/>
        </w:rPr>
        <w:t>28</w:t>
      </w:r>
      <w:r w:rsidRPr="001F369C">
        <w:rPr>
          <w:rFonts w:ascii="Arial" w:hAnsi="Arial" w:cs="Arial"/>
          <w:sz w:val="24"/>
          <w:szCs w:val="24"/>
        </w:rPr>
        <w:t>(5), pp.576-620.</w:t>
      </w:r>
    </w:p>
    <w:p w14:paraId="20E0E2D6"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Legrand, W., Chen, J.S. and </w:t>
      </w:r>
      <w:proofErr w:type="spellStart"/>
      <w:r w:rsidRPr="001F369C">
        <w:rPr>
          <w:rFonts w:ascii="Arial" w:hAnsi="Arial" w:cs="Arial"/>
          <w:sz w:val="24"/>
          <w:szCs w:val="24"/>
        </w:rPr>
        <w:t>Laeis</w:t>
      </w:r>
      <w:proofErr w:type="spellEnd"/>
      <w:r w:rsidRPr="001F369C">
        <w:rPr>
          <w:rFonts w:ascii="Arial" w:hAnsi="Arial" w:cs="Arial"/>
          <w:sz w:val="24"/>
          <w:szCs w:val="24"/>
        </w:rPr>
        <w:t>, G.C., (2022) ‘</w:t>
      </w:r>
      <w:r w:rsidRPr="001F369C">
        <w:rPr>
          <w:rFonts w:ascii="Arial" w:hAnsi="Arial" w:cs="Arial"/>
          <w:iCs/>
          <w:sz w:val="24"/>
          <w:szCs w:val="24"/>
        </w:rPr>
        <w:t>Sustainability in the hospitality industry: Principles of sustainable operations’,</w:t>
      </w:r>
      <w:r w:rsidRPr="001F369C">
        <w:rPr>
          <w:rFonts w:ascii="Arial" w:hAnsi="Arial" w:cs="Arial"/>
          <w:sz w:val="24"/>
          <w:szCs w:val="24"/>
        </w:rPr>
        <w:t xml:space="preserve"> Taylor &amp; Francis.</w:t>
      </w:r>
    </w:p>
    <w:p w14:paraId="6E6AE56F"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lastRenderedPageBreak/>
        <w:t xml:space="preserve">Morea, D., </w:t>
      </w:r>
      <w:proofErr w:type="spellStart"/>
      <w:r w:rsidRPr="001F369C">
        <w:rPr>
          <w:rFonts w:ascii="Arial" w:hAnsi="Arial" w:cs="Arial"/>
          <w:sz w:val="24"/>
          <w:szCs w:val="24"/>
        </w:rPr>
        <w:t>Fortunati</w:t>
      </w:r>
      <w:proofErr w:type="spellEnd"/>
      <w:r w:rsidRPr="001F369C">
        <w:rPr>
          <w:rFonts w:ascii="Arial" w:hAnsi="Arial" w:cs="Arial"/>
          <w:sz w:val="24"/>
          <w:szCs w:val="24"/>
        </w:rPr>
        <w:t xml:space="preserve">, S. and </w:t>
      </w:r>
      <w:proofErr w:type="spellStart"/>
      <w:r w:rsidRPr="001F369C">
        <w:rPr>
          <w:rFonts w:ascii="Arial" w:hAnsi="Arial" w:cs="Arial"/>
          <w:sz w:val="24"/>
          <w:szCs w:val="24"/>
        </w:rPr>
        <w:t>Martiniello</w:t>
      </w:r>
      <w:proofErr w:type="spellEnd"/>
      <w:r w:rsidRPr="001F369C">
        <w:rPr>
          <w:rFonts w:ascii="Arial" w:hAnsi="Arial" w:cs="Arial"/>
          <w:sz w:val="24"/>
          <w:szCs w:val="24"/>
        </w:rPr>
        <w:t>, L., (2021) ‘Circular economy and corporate social responsibility: Towards an integrated strategic approach in the multinational cosmetics industry’, </w:t>
      </w:r>
      <w:r w:rsidRPr="001F369C">
        <w:rPr>
          <w:rFonts w:ascii="Arial" w:hAnsi="Arial" w:cs="Arial"/>
          <w:i/>
          <w:iCs/>
          <w:sz w:val="24"/>
          <w:szCs w:val="24"/>
        </w:rPr>
        <w:t>Journal of Cleaner Production</w:t>
      </w:r>
      <w:r w:rsidRPr="001F369C">
        <w:rPr>
          <w:rFonts w:ascii="Arial" w:hAnsi="Arial" w:cs="Arial"/>
          <w:sz w:val="24"/>
          <w:szCs w:val="24"/>
        </w:rPr>
        <w:t>, </w:t>
      </w:r>
      <w:r w:rsidRPr="001F369C">
        <w:rPr>
          <w:rFonts w:ascii="Arial" w:hAnsi="Arial" w:cs="Arial"/>
          <w:i/>
          <w:iCs/>
          <w:sz w:val="24"/>
          <w:szCs w:val="24"/>
        </w:rPr>
        <w:t>315</w:t>
      </w:r>
      <w:r w:rsidRPr="001F369C">
        <w:rPr>
          <w:rFonts w:ascii="Arial" w:hAnsi="Arial" w:cs="Arial"/>
          <w:sz w:val="24"/>
          <w:szCs w:val="24"/>
        </w:rPr>
        <w:t>, p.128232.</w:t>
      </w:r>
    </w:p>
    <w:p w14:paraId="15F0CE49" w14:textId="77777777" w:rsidR="00551EEA" w:rsidRPr="001F369C" w:rsidRDefault="00551EEA" w:rsidP="00551EEA">
      <w:pPr>
        <w:spacing w:line="360" w:lineRule="auto"/>
        <w:jc w:val="both"/>
        <w:rPr>
          <w:rFonts w:ascii="Arial" w:hAnsi="Arial" w:cs="Arial"/>
          <w:sz w:val="24"/>
          <w:szCs w:val="24"/>
        </w:rPr>
      </w:pPr>
      <w:proofErr w:type="spellStart"/>
      <w:r w:rsidRPr="001F369C">
        <w:rPr>
          <w:rFonts w:ascii="Arial" w:hAnsi="Arial" w:cs="Arial"/>
          <w:sz w:val="24"/>
          <w:szCs w:val="24"/>
        </w:rPr>
        <w:t>Niyommaneerat</w:t>
      </w:r>
      <w:proofErr w:type="spellEnd"/>
      <w:r w:rsidRPr="001F369C">
        <w:rPr>
          <w:rFonts w:ascii="Arial" w:hAnsi="Arial" w:cs="Arial"/>
          <w:sz w:val="24"/>
          <w:szCs w:val="24"/>
        </w:rPr>
        <w:t xml:space="preserve">, W., </w:t>
      </w:r>
      <w:proofErr w:type="spellStart"/>
      <w:r w:rsidRPr="001F369C">
        <w:rPr>
          <w:rFonts w:ascii="Arial" w:hAnsi="Arial" w:cs="Arial"/>
          <w:sz w:val="24"/>
          <w:szCs w:val="24"/>
        </w:rPr>
        <w:t>Suwanteep</w:t>
      </w:r>
      <w:proofErr w:type="spellEnd"/>
      <w:r w:rsidRPr="001F369C">
        <w:rPr>
          <w:rFonts w:ascii="Arial" w:hAnsi="Arial" w:cs="Arial"/>
          <w:sz w:val="24"/>
          <w:szCs w:val="24"/>
        </w:rPr>
        <w:t xml:space="preserve">, K. and </w:t>
      </w:r>
      <w:proofErr w:type="spellStart"/>
      <w:r w:rsidRPr="001F369C">
        <w:rPr>
          <w:rFonts w:ascii="Arial" w:hAnsi="Arial" w:cs="Arial"/>
          <w:sz w:val="24"/>
          <w:szCs w:val="24"/>
        </w:rPr>
        <w:t>Chavalparit</w:t>
      </w:r>
      <w:proofErr w:type="spellEnd"/>
      <w:r w:rsidRPr="001F369C">
        <w:rPr>
          <w:rFonts w:ascii="Arial" w:hAnsi="Arial" w:cs="Arial"/>
          <w:sz w:val="24"/>
          <w:szCs w:val="24"/>
        </w:rPr>
        <w:t>, O., (2023) ‘Sustainability indicators to achieve a circular economy: A case study of renewable energy and plastic waste recycling corporate social responsibility (CSR) projects in Thailand’, </w:t>
      </w:r>
      <w:r w:rsidRPr="001F369C">
        <w:rPr>
          <w:rFonts w:ascii="Arial" w:hAnsi="Arial" w:cs="Arial"/>
          <w:i/>
          <w:iCs/>
          <w:sz w:val="24"/>
          <w:szCs w:val="24"/>
        </w:rPr>
        <w:t>Journal of Cleaner Production</w:t>
      </w:r>
      <w:r w:rsidRPr="001F369C">
        <w:rPr>
          <w:rFonts w:ascii="Arial" w:hAnsi="Arial" w:cs="Arial"/>
          <w:sz w:val="24"/>
          <w:szCs w:val="24"/>
        </w:rPr>
        <w:t>, </w:t>
      </w:r>
      <w:r w:rsidRPr="001F369C">
        <w:rPr>
          <w:rFonts w:ascii="Arial" w:hAnsi="Arial" w:cs="Arial"/>
          <w:i/>
          <w:iCs/>
          <w:sz w:val="24"/>
          <w:szCs w:val="24"/>
        </w:rPr>
        <w:t>391</w:t>
      </w:r>
      <w:r w:rsidRPr="001F369C">
        <w:rPr>
          <w:rFonts w:ascii="Arial" w:hAnsi="Arial" w:cs="Arial"/>
          <w:sz w:val="24"/>
          <w:szCs w:val="24"/>
        </w:rPr>
        <w:t>, p.136203.</w:t>
      </w:r>
    </w:p>
    <w:p w14:paraId="52267CD7"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Ouyang, Z., Wei, W. and Chi, C.G., (2019) ‘Environment management in the hotel industry: does institutional environment matter?’, </w:t>
      </w:r>
      <w:r w:rsidRPr="001F369C">
        <w:rPr>
          <w:rFonts w:ascii="Arial" w:hAnsi="Arial" w:cs="Arial"/>
          <w:i/>
          <w:iCs/>
          <w:sz w:val="24"/>
          <w:szCs w:val="24"/>
        </w:rPr>
        <w:t>International Journal of Hospitality Management</w:t>
      </w:r>
      <w:r w:rsidRPr="001F369C">
        <w:rPr>
          <w:rFonts w:ascii="Arial" w:hAnsi="Arial" w:cs="Arial"/>
          <w:sz w:val="24"/>
          <w:szCs w:val="24"/>
        </w:rPr>
        <w:t>, </w:t>
      </w:r>
      <w:r w:rsidRPr="001F369C">
        <w:rPr>
          <w:rFonts w:ascii="Arial" w:hAnsi="Arial" w:cs="Arial"/>
          <w:i/>
          <w:iCs/>
          <w:sz w:val="24"/>
          <w:szCs w:val="24"/>
        </w:rPr>
        <w:t>77</w:t>
      </w:r>
      <w:r w:rsidRPr="001F369C">
        <w:rPr>
          <w:rFonts w:ascii="Arial" w:hAnsi="Arial" w:cs="Arial"/>
          <w:sz w:val="24"/>
          <w:szCs w:val="24"/>
        </w:rPr>
        <w:t>, pp.353-364.</w:t>
      </w:r>
    </w:p>
    <w:p w14:paraId="29903865"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Pereira, V., Silva, G.M. and Dias, Á., (2021) ‘Sustainability practices in hospitality: A case study of a luxury hotel in </w:t>
      </w:r>
      <w:proofErr w:type="spellStart"/>
      <w:r w:rsidRPr="001F369C">
        <w:rPr>
          <w:rFonts w:ascii="Arial" w:hAnsi="Arial" w:cs="Arial"/>
          <w:sz w:val="24"/>
          <w:szCs w:val="24"/>
        </w:rPr>
        <w:t>Arrábida</w:t>
      </w:r>
      <w:proofErr w:type="spellEnd"/>
      <w:r w:rsidRPr="001F369C">
        <w:rPr>
          <w:rFonts w:ascii="Arial" w:hAnsi="Arial" w:cs="Arial"/>
          <w:sz w:val="24"/>
          <w:szCs w:val="24"/>
        </w:rPr>
        <w:t xml:space="preserve"> Natural Park’, </w:t>
      </w:r>
      <w:r w:rsidRPr="001F369C">
        <w:rPr>
          <w:rFonts w:ascii="Arial" w:hAnsi="Arial" w:cs="Arial"/>
          <w:i/>
          <w:iCs/>
          <w:sz w:val="24"/>
          <w:szCs w:val="24"/>
        </w:rPr>
        <w:t>Sustainability</w:t>
      </w:r>
      <w:r w:rsidRPr="001F369C">
        <w:rPr>
          <w:rFonts w:ascii="Arial" w:hAnsi="Arial" w:cs="Arial"/>
          <w:sz w:val="24"/>
          <w:szCs w:val="24"/>
        </w:rPr>
        <w:t>, </w:t>
      </w:r>
      <w:r w:rsidRPr="001F369C">
        <w:rPr>
          <w:rFonts w:ascii="Arial" w:hAnsi="Arial" w:cs="Arial"/>
          <w:i/>
          <w:iCs/>
          <w:sz w:val="24"/>
          <w:szCs w:val="24"/>
        </w:rPr>
        <w:t>13</w:t>
      </w:r>
      <w:r w:rsidRPr="001F369C">
        <w:rPr>
          <w:rFonts w:ascii="Arial" w:hAnsi="Arial" w:cs="Arial"/>
          <w:sz w:val="24"/>
          <w:szCs w:val="24"/>
        </w:rPr>
        <w:t>(6), p.3164.</w:t>
      </w:r>
    </w:p>
    <w:p w14:paraId="1CD050F0" w14:textId="77777777" w:rsidR="00551EEA" w:rsidRPr="001F369C" w:rsidRDefault="00551EEA" w:rsidP="00551EEA">
      <w:pPr>
        <w:spacing w:line="360" w:lineRule="auto"/>
        <w:jc w:val="both"/>
        <w:rPr>
          <w:rFonts w:ascii="Arial" w:hAnsi="Arial" w:cs="Arial"/>
          <w:sz w:val="24"/>
          <w:szCs w:val="24"/>
        </w:rPr>
      </w:pPr>
      <w:proofErr w:type="spellStart"/>
      <w:r w:rsidRPr="001F369C">
        <w:rPr>
          <w:rFonts w:ascii="Arial" w:hAnsi="Arial" w:cs="Arial"/>
          <w:sz w:val="24"/>
          <w:szCs w:val="24"/>
        </w:rPr>
        <w:t>Stylos</w:t>
      </w:r>
      <w:proofErr w:type="spellEnd"/>
      <w:r w:rsidRPr="001F369C">
        <w:rPr>
          <w:rFonts w:ascii="Arial" w:hAnsi="Arial" w:cs="Arial"/>
          <w:sz w:val="24"/>
          <w:szCs w:val="24"/>
        </w:rPr>
        <w:t>, N. and Vassiliadis, C., (2015) ‘Differences in sustainable management between four-and five-star hotels regarding the perceptions of three-pillar sustainability’, </w:t>
      </w:r>
      <w:r w:rsidRPr="001F369C">
        <w:rPr>
          <w:rFonts w:ascii="Arial" w:hAnsi="Arial" w:cs="Arial"/>
          <w:i/>
          <w:iCs/>
          <w:sz w:val="24"/>
          <w:szCs w:val="24"/>
        </w:rPr>
        <w:t>Journal of Hospitality Marketing &amp; Management</w:t>
      </w:r>
      <w:r w:rsidRPr="001F369C">
        <w:rPr>
          <w:rFonts w:ascii="Arial" w:hAnsi="Arial" w:cs="Arial"/>
          <w:sz w:val="24"/>
          <w:szCs w:val="24"/>
        </w:rPr>
        <w:t>, </w:t>
      </w:r>
      <w:r w:rsidRPr="001F369C">
        <w:rPr>
          <w:rFonts w:ascii="Arial" w:hAnsi="Arial" w:cs="Arial"/>
          <w:i/>
          <w:iCs/>
          <w:sz w:val="24"/>
          <w:szCs w:val="24"/>
        </w:rPr>
        <w:t>24</w:t>
      </w:r>
      <w:r w:rsidRPr="001F369C">
        <w:rPr>
          <w:rFonts w:ascii="Arial" w:hAnsi="Arial" w:cs="Arial"/>
          <w:sz w:val="24"/>
          <w:szCs w:val="24"/>
        </w:rPr>
        <w:t>(8), pp.791-825.</w:t>
      </w:r>
    </w:p>
    <w:p w14:paraId="7EBDBD48"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Wang, S., Hung, </w:t>
      </w:r>
      <w:proofErr w:type="gramStart"/>
      <w:r w:rsidRPr="001F369C">
        <w:rPr>
          <w:rFonts w:ascii="Arial" w:hAnsi="Arial" w:cs="Arial"/>
          <w:sz w:val="24"/>
          <w:szCs w:val="24"/>
        </w:rPr>
        <w:t>K.</w:t>
      </w:r>
      <w:proofErr w:type="gramEnd"/>
      <w:r w:rsidRPr="001F369C">
        <w:rPr>
          <w:rFonts w:ascii="Arial" w:hAnsi="Arial" w:cs="Arial"/>
          <w:sz w:val="24"/>
          <w:szCs w:val="24"/>
        </w:rPr>
        <w:t xml:space="preserve"> and Huang, W.J., (2019) ‘Motivations for entrepreneurship in the tourism and hospitality sector: A social cognitive theory perspective’, </w:t>
      </w:r>
      <w:r w:rsidRPr="001F369C">
        <w:rPr>
          <w:rFonts w:ascii="Arial" w:hAnsi="Arial" w:cs="Arial"/>
          <w:i/>
          <w:iCs/>
          <w:sz w:val="24"/>
          <w:szCs w:val="24"/>
        </w:rPr>
        <w:t>International Journal of Hospitality Management</w:t>
      </w:r>
      <w:r w:rsidRPr="001F369C">
        <w:rPr>
          <w:rFonts w:ascii="Arial" w:hAnsi="Arial" w:cs="Arial"/>
          <w:sz w:val="24"/>
          <w:szCs w:val="24"/>
        </w:rPr>
        <w:t>, </w:t>
      </w:r>
      <w:r w:rsidRPr="001F369C">
        <w:rPr>
          <w:rFonts w:ascii="Arial" w:hAnsi="Arial" w:cs="Arial"/>
          <w:i/>
          <w:iCs/>
          <w:sz w:val="24"/>
          <w:szCs w:val="24"/>
        </w:rPr>
        <w:t>78</w:t>
      </w:r>
      <w:r w:rsidRPr="001F369C">
        <w:rPr>
          <w:rFonts w:ascii="Arial" w:hAnsi="Arial" w:cs="Arial"/>
          <w:sz w:val="24"/>
          <w:szCs w:val="24"/>
        </w:rPr>
        <w:t>, pp.78-88.</w:t>
      </w:r>
    </w:p>
    <w:p w14:paraId="501378E7"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Zapata Campos, M.J., Hall, C.M. and Backlund, S., (2018). Can MNCs promote more inclusive tourism? Apollo tour operator's sustainability work. </w:t>
      </w:r>
      <w:r w:rsidRPr="001F369C">
        <w:rPr>
          <w:rFonts w:ascii="Arial" w:hAnsi="Arial" w:cs="Arial"/>
          <w:i/>
          <w:iCs/>
          <w:sz w:val="24"/>
          <w:szCs w:val="24"/>
        </w:rPr>
        <w:t>Tourism Geographies</w:t>
      </w:r>
      <w:r w:rsidRPr="001F369C">
        <w:rPr>
          <w:rFonts w:ascii="Arial" w:hAnsi="Arial" w:cs="Arial"/>
          <w:sz w:val="24"/>
          <w:szCs w:val="24"/>
        </w:rPr>
        <w:t>, </w:t>
      </w:r>
      <w:r w:rsidRPr="001F369C">
        <w:rPr>
          <w:rFonts w:ascii="Arial" w:hAnsi="Arial" w:cs="Arial"/>
          <w:i/>
          <w:iCs/>
          <w:sz w:val="24"/>
          <w:szCs w:val="24"/>
        </w:rPr>
        <w:t>20</w:t>
      </w:r>
      <w:r w:rsidRPr="001F369C">
        <w:rPr>
          <w:rFonts w:ascii="Arial" w:hAnsi="Arial" w:cs="Arial"/>
          <w:sz w:val="24"/>
          <w:szCs w:val="24"/>
        </w:rPr>
        <w:t>(4), pp.630-652.</w:t>
      </w:r>
    </w:p>
    <w:p w14:paraId="1612189A" w14:textId="77777777" w:rsidR="00551EEA" w:rsidRPr="001F369C" w:rsidRDefault="00551EEA" w:rsidP="00551EEA">
      <w:pPr>
        <w:spacing w:line="360" w:lineRule="auto"/>
        <w:jc w:val="both"/>
        <w:rPr>
          <w:rFonts w:ascii="Arial" w:hAnsi="Arial" w:cs="Arial"/>
          <w:sz w:val="24"/>
          <w:szCs w:val="24"/>
        </w:rPr>
      </w:pPr>
      <w:r w:rsidRPr="001F369C">
        <w:rPr>
          <w:rFonts w:ascii="Arial" w:hAnsi="Arial" w:cs="Arial"/>
          <w:sz w:val="24"/>
          <w:szCs w:val="24"/>
        </w:rPr>
        <w:t xml:space="preserve"> </w:t>
      </w:r>
      <w:proofErr w:type="spellStart"/>
      <w:r w:rsidRPr="001F369C">
        <w:rPr>
          <w:rFonts w:ascii="Arial" w:hAnsi="Arial" w:cs="Arial"/>
          <w:sz w:val="24"/>
          <w:szCs w:val="24"/>
        </w:rPr>
        <w:t>Zorpas</w:t>
      </w:r>
      <w:proofErr w:type="spellEnd"/>
      <w:r w:rsidRPr="001F369C">
        <w:rPr>
          <w:rFonts w:ascii="Arial" w:hAnsi="Arial" w:cs="Arial"/>
          <w:sz w:val="24"/>
          <w:szCs w:val="24"/>
        </w:rPr>
        <w:t xml:space="preserve">, A.A., </w:t>
      </w:r>
      <w:proofErr w:type="spellStart"/>
      <w:r w:rsidRPr="001F369C">
        <w:rPr>
          <w:rFonts w:ascii="Arial" w:hAnsi="Arial" w:cs="Arial"/>
          <w:sz w:val="24"/>
          <w:szCs w:val="24"/>
        </w:rPr>
        <w:t>Voukkali</w:t>
      </w:r>
      <w:proofErr w:type="spellEnd"/>
      <w:r w:rsidRPr="001F369C">
        <w:rPr>
          <w:rFonts w:ascii="Arial" w:hAnsi="Arial" w:cs="Arial"/>
          <w:sz w:val="24"/>
          <w:szCs w:val="24"/>
        </w:rPr>
        <w:t xml:space="preserve">, I. and </w:t>
      </w:r>
      <w:proofErr w:type="spellStart"/>
      <w:r w:rsidRPr="001F369C">
        <w:rPr>
          <w:rFonts w:ascii="Arial" w:hAnsi="Arial" w:cs="Arial"/>
          <w:sz w:val="24"/>
          <w:szCs w:val="24"/>
        </w:rPr>
        <w:t>Pedreño</w:t>
      </w:r>
      <w:proofErr w:type="spellEnd"/>
      <w:r w:rsidRPr="001F369C">
        <w:rPr>
          <w:rFonts w:ascii="Arial" w:hAnsi="Arial" w:cs="Arial"/>
          <w:sz w:val="24"/>
          <w:szCs w:val="24"/>
        </w:rPr>
        <w:t>, J.N., (2018) ‘Tourist area metabolism and its potential to change through a proposed strategic plan in the framework of sustainable development’, </w:t>
      </w:r>
      <w:r w:rsidRPr="001F369C">
        <w:rPr>
          <w:rFonts w:ascii="Arial" w:hAnsi="Arial" w:cs="Arial"/>
          <w:i/>
          <w:iCs/>
          <w:sz w:val="24"/>
          <w:szCs w:val="24"/>
        </w:rPr>
        <w:t>Journal of cleaner production</w:t>
      </w:r>
      <w:r w:rsidRPr="001F369C">
        <w:rPr>
          <w:rFonts w:ascii="Arial" w:hAnsi="Arial" w:cs="Arial"/>
          <w:sz w:val="24"/>
          <w:szCs w:val="24"/>
        </w:rPr>
        <w:t>, </w:t>
      </w:r>
      <w:r w:rsidRPr="001F369C">
        <w:rPr>
          <w:rFonts w:ascii="Arial" w:hAnsi="Arial" w:cs="Arial"/>
          <w:i/>
          <w:iCs/>
          <w:sz w:val="24"/>
          <w:szCs w:val="24"/>
        </w:rPr>
        <w:t>172</w:t>
      </w:r>
      <w:r w:rsidRPr="001F369C">
        <w:rPr>
          <w:rFonts w:ascii="Arial" w:hAnsi="Arial" w:cs="Arial"/>
          <w:sz w:val="24"/>
          <w:szCs w:val="24"/>
        </w:rPr>
        <w:t>, pp.3609-3620.</w:t>
      </w:r>
    </w:p>
    <w:p w14:paraId="1CE3FDD2" w14:textId="15B1BFE4" w:rsidR="00AC0961" w:rsidRPr="001F369C" w:rsidRDefault="00AC0961" w:rsidP="00551EEA">
      <w:pPr>
        <w:spacing w:line="360" w:lineRule="auto"/>
        <w:jc w:val="both"/>
        <w:rPr>
          <w:rFonts w:ascii="Arial" w:hAnsi="Arial" w:cs="Arial"/>
          <w:sz w:val="24"/>
          <w:szCs w:val="24"/>
        </w:rPr>
      </w:pPr>
    </w:p>
    <w:sectPr w:rsidR="00AC0961" w:rsidRPr="001F369C" w:rsidSect="00C0564F">
      <w:headerReference w:type="even" r:id="rId7"/>
      <w:headerReference w:type="default" r:id="rId8"/>
      <w:footerReference w:type="even" r:id="rId9"/>
      <w:footerReference w:type="default" r:id="rId10"/>
      <w:headerReference w:type="first" r:id="rId11"/>
      <w:footerReference w:type="first" r:id="rId1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BB4FB" w14:textId="77777777" w:rsidR="00C75D1C" w:rsidRDefault="00C75D1C" w:rsidP="00451701">
      <w:pPr>
        <w:spacing w:after="0" w:line="240" w:lineRule="auto"/>
      </w:pPr>
      <w:r>
        <w:separator/>
      </w:r>
    </w:p>
  </w:endnote>
  <w:endnote w:type="continuationSeparator" w:id="0">
    <w:p w14:paraId="4E8AB3C9" w14:textId="77777777" w:rsidR="00C75D1C" w:rsidRDefault="00C75D1C" w:rsidP="004517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05AA5" w14:textId="77777777" w:rsidR="00451701" w:rsidRDefault="004517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926F7" w14:textId="77777777" w:rsidR="00451701" w:rsidRDefault="0045170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1E996" w14:textId="77777777" w:rsidR="00451701" w:rsidRDefault="004517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80416" w14:textId="77777777" w:rsidR="00C75D1C" w:rsidRDefault="00C75D1C" w:rsidP="00451701">
      <w:pPr>
        <w:spacing w:after="0" w:line="240" w:lineRule="auto"/>
      </w:pPr>
      <w:r>
        <w:separator/>
      </w:r>
    </w:p>
  </w:footnote>
  <w:footnote w:type="continuationSeparator" w:id="0">
    <w:p w14:paraId="285D47B5" w14:textId="77777777" w:rsidR="00C75D1C" w:rsidRDefault="00C75D1C" w:rsidP="004517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DB773A" w14:textId="77777777" w:rsidR="00451701" w:rsidRDefault="004517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6B3BAC" w14:textId="77777777" w:rsidR="00451701" w:rsidRDefault="004517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0A641" w14:textId="77777777" w:rsidR="00451701" w:rsidRDefault="004517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1277EB"/>
    <w:multiLevelType w:val="hybridMultilevel"/>
    <w:tmpl w:val="BDDE94C2"/>
    <w:lvl w:ilvl="0" w:tplc="F3A8FF40">
      <w:start w:val="1"/>
      <w:numFmt w:val="bullet"/>
      <w:lvlText w:val=""/>
      <w:lvlJc w:val="left"/>
      <w:pPr>
        <w:ind w:left="720" w:hanging="360"/>
      </w:pPr>
      <w:rPr>
        <w:rFonts w:ascii="Symbol" w:hAnsi="Symbol" w:hint="default"/>
      </w:rPr>
    </w:lvl>
    <w:lvl w:ilvl="1" w:tplc="094C1E40" w:tentative="1">
      <w:start w:val="1"/>
      <w:numFmt w:val="bullet"/>
      <w:lvlText w:val="o"/>
      <w:lvlJc w:val="left"/>
      <w:pPr>
        <w:ind w:left="1440" w:hanging="360"/>
      </w:pPr>
      <w:rPr>
        <w:rFonts w:ascii="Courier New" w:hAnsi="Courier New" w:cs="Courier New" w:hint="default"/>
      </w:rPr>
    </w:lvl>
    <w:lvl w:ilvl="2" w:tplc="F65A8A70" w:tentative="1">
      <w:start w:val="1"/>
      <w:numFmt w:val="bullet"/>
      <w:lvlText w:val=""/>
      <w:lvlJc w:val="left"/>
      <w:pPr>
        <w:ind w:left="2160" w:hanging="360"/>
      </w:pPr>
      <w:rPr>
        <w:rFonts w:ascii="Wingdings" w:hAnsi="Wingdings" w:hint="default"/>
      </w:rPr>
    </w:lvl>
    <w:lvl w:ilvl="3" w:tplc="898C5694" w:tentative="1">
      <w:start w:val="1"/>
      <w:numFmt w:val="bullet"/>
      <w:lvlText w:val=""/>
      <w:lvlJc w:val="left"/>
      <w:pPr>
        <w:ind w:left="2880" w:hanging="360"/>
      </w:pPr>
      <w:rPr>
        <w:rFonts w:ascii="Symbol" w:hAnsi="Symbol" w:hint="default"/>
      </w:rPr>
    </w:lvl>
    <w:lvl w:ilvl="4" w:tplc="E0A01206" w:tentative="1">
      <w:start w:val="1"/>
      <w:numFmt w:val="bullet"/>
      <w:lvlText w:val="o"/>
      <w:lvlJc w:val="left"/>
      <w:pPr>
        <w:ind w:left="3600" w:hanging="360"/>
      </w:pPr>
      <w:rPr>
        <w:rFonts w:ascii="Courier New" w:hAnsi="Courier New" w:cs="Courier New" w:hint="default"/>
      </w:rPr>
    </w:lvl>
    <w:lvl w:ilvl="5" w:tplc="E18C4B7A" w:tentative="1">
      <w:start w:val="1"/>
      <w:numFmt w:val="bullet"/>
      <w:lvlText w:val=""/>
      <w:lvlJc w:val="left"/>
      <w:pPr>
        <w:ind w:left="4320" w:hanging="360"/>
      </w:pPr>
      <w:rPr>
        <w:rFonts w:ascii="Wingdings" w:hAnsi="Wingdings" w:hint="default"/>
      </w:rPr>
    </w:lvl>
    <w:lvl w:ilvl="6" w:tplc="EC1C9932" w:tentative="1">
      <w:start w:val="1"/>
      <w:numFmt w:val="bullet"/>
      <w:lvlText w:val=""/>
      <w:lvlJc w:val="left"/>
      <w:pPr>
        <w:ind w:left="5040" w:hanging="360"/>
      </w:pPr>
      <w:rPr>
        <w:rFonts w:ascii="Symbol" w:hAnsi="Symbol" w:hint="default"/>
      </w:rPr>
    </w:lvl>
    <w:lvl w:ilvl="7" w:tplc="B7502288" w:tentative="1">
      <w:start w:val="1"/>
      <w:numFmt w:val="bullet"/>
      <w:lvlText w:val="o"/>
      <w:lvlJc w:val="left"/>
      <w:pPr>
        <w:ind w:left="5760" w:hanging="360"/>
      </w:pPr>
      <w:rPr>
        <w:rFonts w:ascii="Courier New" w:hAnsi="Courier New" w:cs="Courier New" w:hint="default"/>
      </w:rPr>
    </w:lvl>
    <w:lvl w:ilvl="8" w:tplc="47D080C0" w:tentative="1">
      <w:start w:val="1"/>
      <w:numFmt w:val="bullet"/>
      <w:lvlText w:val=""/>
      <w:lvlJc w:val="left"/>
      <w:pPr>
        <w:ind w:left="6480" w:hanging="360"/>
      </w:pPr>
      <w:rPr>
        <w:rFonts w:ascii="Wingdings" w:hAnsi="Wingdings" w:hint="default"/>
      </w:rPr>
    </w:lvl>
  </w:abstractNum>
  <w:num w:numId="1" w16cid:durableId="676229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C1NDE2MTExsDAyNDVR0lEKTi0uzszPAykwrAUAdxeOiSwAAAA="/>
  </w:docVars>
  <w:rsids>
    <w:rsidRoot w:val="00C0564F"/>
    <w:rsid w:val="00006829"/>
    <w:rsid w:val="000432F1"/>
    <w:rsid w:val="000453E0"/>
    <w:rsid w:val="0006410B"/>
    <w:rsid w:val="00094F24"/>
    <w:rsid w:val="000A25EE"/>
    <w:rsid w:val="000B232D"/>
    <w:rsid w:val="001239DD"/>
    <w:rsid w:val="0012511F"/>
    <w:rsid w:val="00160ED3"/>
    <w:rsid w:val="00161A65"/>
    <w:rsid w:val="001707B5"/>
    <w:rsid w:val="001C0BED"/>
    <w:rsid w:val="001F369C"/>
    <w:rsid w:val="00203156"/>
    <w:rsid w:val="002869BC"/>
    <w:rsid w:val="002C75FD"/>
    <w:rsid w:val="003655FE"/>
    <w:rsid w:val="00390262"/>
    <w:rsid w:val="00391C0D"/>
    <w:rsid w:val="00396D68"/>
    <w:rsid w:val="003C6691"/>
    <w:rsid w:val="00450800"/>
    <w:rsid w:val="00451701"/>
    <w:rsid w:val="0049553A"/>
    <w:rsid w:val="004B1BC6"/>
    <w:rsid w:val="004C7401"/>
    <w:rsid w:val="004E6008"/>
    <w:rsid w:val="004E7312"/>
    <w:rsid w:val="00512C48"/>
    <w:rsid w:val="00514743"/>
    <w:rsid w:val="0054383A"/>
    <w:rsid w:val="00551EEA"/>
    <w:rsid w:val="005A6A97"/>
    <w:rsid w:val="005B5142"/>
    <w:rsid w:val="00635090"/>
    <w:rsid w:val="006521E1"/>
    <w:rsid w:val="00654A14"/>
    <w:rsid w:val="006575EA"/>
    <w:rsid w:val="00661E68"/>
    <w:rsid w:val="006B0E6E"/>
    <w:rsid w:val="006B0EE6"/>
    <w:rsid w:val="006C338C"/>
    <w:rsid w:val="006D59DC"/>
    <w:rsid w:val="007038F5"/>
    <w:rsid w:val="007476CA"/>
    <w:rsid w:val="00796FCB"/>
    <w:rsid w:val="007C071C"/>
    <w:rsid w:val="007C3832"/>
    <w:rsid w:val="007C4A75"/>
    <w:rsid w:val="007D32B6"/>
    <w:rsid w:val="00807C71"/>
    <w:rsid w:val="009401B4"/>
    <w:rsid w:val="009A2BAB"/>
    <w:rsid w:val="009B3538"/>
    <w:rsid w:val="00A048A5"/>
    <w:rsid w:val="00A103DE"/>
    <w:rsid w:val="00A205E8"/>
    <w:rsid w:val="00A255D6"/>
    <w:rsid w:val="00A26053"/>
    <w:rsid w:val="00A64D3F"/>
    <w:rsid w:val="00AC0961"/>
    <w:rsid w:val="00AD5F94"/>
    <w:rsid w:val="00B44A69"/>
    <w:rsid w:val="00B452A7"/>
    <w:rsid w:val="00B66DC7"/>
    <w:rsid w:val="00B8093C"/>
    <w:rsid w:val="00BD7CAD"/>
    <w:rsid w:val="00BE56C8"/>
    <w:rsid w:val="00C0564F"/>
    <w:rsid w:val="00C44D63"/>
    <w:rsid w:val="00C468C7"/>
    <w:rsid w:val="00C542F4"/>
    <w:rsid w:val="00C740E7"/>
    <w:rsid w:val="00C75D1C"/>
    <w:rsid w:val="00CD05B5"/>
    <w:rsid w:val="00CF4B12"/>
    <w:rsid w:val="00D4023A"/>
    <w:rsid w:val="00D53BC0"/>
    <w:rsid w:val="00D93D36"/>
    <w:rsid w:val="00E15E91"/>
    <w:rsid w:val="00E277A5"/>
    <w:rsid w:val="00EE6A5A"/>
    <w:rsid w:val="00EF3F8E"/>
    <w:rsid w:val="00F05BFD"/>
    <w:rsid w:val="00F72067"/>
    <w:rsid w:val="00FA55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3B44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508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3D36"/>
    <w:pPr>
      <w:ind w:left="720"/>
      <w:contextualSpacing/>
    </w:pPr>
  </w:style>
  <w:style w:type="character" w:customStyle="1" w:styleId="Heading1Char">
    <w:name w:val="Heading 1 Char"/>
    <w:basedOn w:val="DefaultParagraphFont"/>
    <w:link w:val="Heading1"/>
    <w:uiPriority w:val="9"/>
    <w:rsid w:val="00450800"/>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4517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701"/>
    <w:rPr>
      <w:lang w:val="en-GB"/>
    </w:rPr>
  </w:style>
  <w:style w:type="paragraph" w:styleId="Footer">
    <w:name w:val="footer"/>
    <w:basedOn w:val="Normal"/>
    <w:link w:val="FooterChar"/>
    <w:uiPriority w:val="99"/>
    <w:unhideWhenUsed/>
    <w:rsid w:val="004517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701"/>
    <w:rPr>
      <w:lang w:val="en-GB"/>
    </w:rPr>
  </w:style>
  <w:style w:type="table" w:styleId="TableGrid">
    <w:name w:val="Table Grid"/>
    <w:basedOn w:val="TableNormal"/>
    <w:uiPriority w:val="39"/>
    <w:rsid w:val="00B452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2885</Words>
  <Characters>16447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2023-05-16T15:27:00Z</dcterms:created>
  <dcterms:modified xsi:type="dcterms:W3CDTF">2023-05-25T15:45:00Z</dcterms:modified>
</cp:coreProperties>
</file>