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0799729"/>
        <w:docPartObj>
          <w:docPartGallery w:val="Cover Pages"/>
          <w:docPartUnique/>
        </w:docPartObj>
      </w:sdtPr>
      <w:sdtEndPr>
        <w:rPr>
          <w:rFonts w:ascii="Times New Roman" w:eastAsiaTheme="majorEastAsia" w:hAnsi="Times New Roman" w:cs="Times New Roman"/>
          <w:b/>
          <w:color w:val="2F5496" w:themeColor="accent1" w:themeShade="BF"/>
          <w:sz w:val="48"/>
          <w:szCs w:val="48"/>
          <w:lang w:val="en-GB"/>
        </w:rPr>
      </w:sdtEndPr>
      <w:sdtContent>
        <w:p w14:paraId="5ADEFB0C" w14:textId="03C2784A" w:rsidR="001D2749" w:rsidRDefault="001D2749"/>
        <w:tbl>
          <w:tblPr>
            <w:tblpPr w:leftFromText="187" w:rightFromText="187" w:vertAnchor="page" w:horzAnchor="margin" w:tblpXSpec="center" w:tblpY="5120"/>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1264F2" w:rsidRPr="001264F2" w14:paraId="5980F64B" w14:textId="77777777" w:rsidTr="00F26FE3">
            <w:tc>
              <w:tcPr>
                <w:tcW w:w="7405" w:type="dxa"/>
                <w:tcMar>
                  <w:top w:w="216" w:type="dxa"/>
                  <w:left w:w="115" w:type="dxa"/>
                  <w:bottom w:w="216" w:type="dxa"/>
                  <w:right w:w="115" w:type="dxa"/>
                </w:tcMar>
              </w:tcPr>
              <w:p w14:paraId="3751D5B9" w14:textId="257430EE" w:rsidR="001D2749" w:rsidRPr="001264F2" w:rsidRDefault="00F26FE3" w:rsidP="00F26FE3">
                <w:pPr>
                  <w:pStyle w:val="NoSpacing"/>
                  <w:rPr>
                    <w:color w:val="000000" w:themeColor="text1"/>
                    <w:sz w:val="40"/>
                    <w:szCs w:val="36"/>
                  </w:rPr>
                </w:pPr>
                <w:r>
                  <w:rPr>
                    <w:color w:val="000000" w:themeColor="text1"/>
                    <w:sz w:val="40"/>
                    <w:szCs w:val="36"/>
                  </w:rPr>
                  <w:t xml:space="preserve">Children, young </w:t>
                </w:r>
                <w:proofErr w:type="gramStart"/>
                <w:r>
                  <w:rPr>
                    <w:color w:val="000000" w:themeColor="text1"/>
                    <w:sz w:val="40"/>
                    <w:szCs w:val="36"/>
                  </w:rPr>
                  <w:t>people</w:t>
                </w:r>
                <w:proofErr w:type="gramEnd"/>
                <w:r>
                  <w:rPr>
                    <w:color w:val="000000" w:themeColor="text1"/>
                    <w:sz w:val="40"/>
                    <w:szCs w:val="36"/>
                  </w:rPr>
                  <w:t xml:space="preserve"> and families</w:t>
                </w:r>
              </w:p>
            </w:tc>
          </w:tr>
          <w:tr w:rsidR="001264F2" w:rsidRPr="001264F2" w14:paraId="0D756F05" w14:textId="77777777" w:rsidTr="00F26FE3">
            <w:tc>
              <w:tcPr>
                <w:tcW w:w="7405" w:type="dxa"/>
              </w:tcPr>
              <w:sdt>
                <w:sdtPr>
                  <w:rPr>
                    <w:rFonts w:asciiTheme="majorHAnsi" w:eastAsiaTheme="majorEastAsia" w:hAnsiTheme="majorHAnsi" w:cstheme="majorBidi"/>
                    <w:color w:val="000000" w:themeColor="text1"/>
                    <w:sz w:val="72"/>
                    <w:szCs w:val="72"/>
                  </w:rPr>
                  <w:alias w:val="Title"/>
                  <w:id w:val="13406919"/>
                  <w:placeholder>
                    <w:docPart w:val="AED780F7FB0E405183563249A1FC04FD"/>
                  </w:placeholder>
                  <w:dataBinding w:prefixMappings="xmlns:ns0='http://schemas.openxmlformats.org/package/2006/metadata/core-properties' xmlns:ns1='http://purl.org/dc/elements/1.1/'" w:xpath="/ns0:coreProperties[1]/ns1:title[1]" w:storeItemID="{6C3C8BC8-F283-45AE-878A-BAB7291924A1}"/>
                  <w:text/>
                </w:sdtPr>
                <w:sdtEndPr/>
                <w:sdtContent>
                  <w:p w14:paraId="43757E27" w14:textId="12A8BFBD" w:rsidR="001D2749" w:rsidRPr="001264F2" w:rsidRDefault="00F26FE3" w:rsidP="00F26FE3">
                    <w:pPr>
                      <w:pStyle w:val="NoSpacing"/>
                      <w:spacing w:line="216" w:lineRule="auto"/>
                      <w:rPr>
                        <w:rFonts w:asciiTheme="majorHAnsi" w:eastAsiaTheme="majorEastAsia" w:hAnsiTheme="majorHAnsi" w:cstheme="majorBidi"/>
                        <w:color w:val="000000" w:themeColor="text1"/>
                        <w:sz w:val="88"/>
                        <w:szCs w:val="88"/>
                      </w:rPr>
                    </w:pPr>
                    <w:r>
                      <w:rPr>
                        <w:rFonts w:asciiTheme="majorHAnsi" w:eastAsiaTheme="majorEastAsia" w:hAnsiTheme="majorHAnsi" w:cstheme="majorBidi"/>
                        <w:color w:val="000000" w:themeColor="text1"/>
                        <w:sz w:val="72"/>
                        <w:szCs w:val="72"/>
                      </w:rPr>
                      <w:t>Supporting Paper</w:t>
                    </w:r>
                  </w:p>
                </w:sdtContent>
              </w:sdt>
            </w:tc>
          </w:tr>
          <w:tr w:rsidR="001264F2" w:rsidRPr="001264F2" w14:paraId="03259D92" w14:textId="77777777" w:rsidTr="00F26FE3">
            <w:tc>
              <w:tcPr>
                <w:tcW w:w="7405" w:type="dxa"/>
                <w:tcMar>
                  <w:top w:w="216" w:type="dxa"/>
                  <w:left w:w="115" w:type="dxa"/>
                  <w:bottom w:w="216" w:type="dxa"/>
                  <w:right w:w="115" w:type="dxa"/>
                </w:tcMar>
              </w:tcPr>
              <w:tbl>
                <w:tblPr>
                  <w:tblpPr w:leftFromText="187" w:rightFromText="187" w:vertAnchor="page" w:horzAnchor="margin" w:tblpY="1"/>
                  <w:tblW w:w="4976" w:type="pct"/>
                  <w:tblLook w:val="04A0" w:firstRow="1" w:lastRow="0" w:firstColumn="1" w:lastColumn="0" w:noHBand="0" w:noVBand="1"/>
                </w:tblPr>
                <w:tblGrid>
                  <w:gridCol w:w="6946"/>
                </w:tblGrid>
                <w:tr w:rsidR="001264F2" w:rsidRPr="001264F2" w14:paraId="6F5EA73C" w14:textId="77777777" w:rsidTr="001D2749">
                  <w:tc>
                    <w:tcPr>
                      <w:tcW w:w="7140" w:type="dxa"/>
                      <w:tcMar>
                        <w:top w:w="216" w:type="dxa"/>
                        <w:left w:w="115" w:type="dxa"/>
                        <w:bottom w:w="216" w:type="dxa"/>
                        <w:right w:w="115" w:type="dxa"/>
                      </w:tcMar>
                    </w:tcPr>
                    <w:sdt>
                      <w:sdtPr>
                        <w:rPr>
                          <w:color w:val="000000" w:themeColor="text1"/>
                          <w:sz w:val="32"/>
                          <w:szCs w:val="32"/>
                        </w:rPr>
                        <w:alias w:val="Author"/>
                        <w:id w:val="13406928"/>
                        <w:placeholder>
                          <w:docPart w:val="CC1A19B591874E6DBE62D41BC1868F8C"/>
                        </w:placeholder>
                        <w:dataBinding w:prefixMappings="xmlns:ns0='http://schemas.openxmlformats.org/package/2006/metadata/core-properties' xmlns:ns1='http://purl.org/dc/elements/1.1/'" w:xpath="/ns0:coreProperties[1]/ns1:creator[1]" w:storeItemID="{6C3C8BC8-F283-45AE-878A-BAB7291924A1}"/>
                        <w:text/>
                      </w:sdtPr>
                      <w:sdtEndPr/>
                      <w:sdtContent>
                        <w:p w14:paraId="589F391B" w14:textId="6B434E75" w:rsidR="001D2749" w:rsidRPr="001264F2" w:rsidRDefault="001D2749" w:rsidP="00F26FE3">
                          <w:pPr>
                            <w:pStyle w:val="NoSpacing"/>
                            <w:rPr>
                              <w:color w:val="000000" w:themeColor="text1"/>
                              <w:sz w:val="28"/>
                              <w:szCs w:val="28"/>
                            </w:rPr>
                          </w:pPr>
                          <w:r w:rsidRPr="001264F2">
                            <w:rPr>
                              <w:color w:val="000000" w:themeColor="text1"/>
                              <w:sz w:val="32"/>
                              <w:szCs w:val="32"/>
                            </w:rPr>
                            <w:t>Aqsa Butt</w:t>
                          </w:r>
                          <w:r w:rsidR="0096272A">
                            <w:rPr>
                              <w:color w:val="000000" w:themeColor="text1"/>
                              <w:sz w:val="32"/>
                              <w:szCs w:val="32"/>
                            </w:rPr>
                            <w:t xml:space="preserve"> - 1914939</w:t>
                          </w:r>
                        </w:p>
                      </w:sdtContent>
                    </w:sdt>
                  </w:tc>
                </w:tr>
              </w:tbl>
              <w:p w14:paraId="6D30C5EA" w14:textId="5705BDBA" w:rsidR="001D2749" w:rsidRPr="001264F2" w:rsidRDefault="001D2749" w:rsidP="00F26FE3">
                <w:pPr>
                  <w:pStyle w:val="NoSpacing"/>
                  <w:rPr>
                    <w:color w:val="000000" w:themeColor="text1"/>
                    <w:sz w:val="24"/>
                  </w:rPr>
                </w:pPr>
              </w:p>
            </w:tc>
          </w:tr>
        </w:tbl>
        <w:p w14:paraId="485AB502" w14:textId="3629FC57" w:rsidR="001D2749" w:rsidRPr="008504FB" w:rsidRDefault="001D2749">
          <w:pPr>
            <w:spacing w:after="160" w:line="259" w:lineRule="auto"/>
            <w:rPr>
              <w:rFonts w:ascii="Times New Roman" w:eastAsiaTheme="majorEastAsia" w:hAnsi="Times New Roman" w:cs="Times New Roman"/>
              <w:b/>
              <w:color w:val="2F5496" w:themeColor="accent1" w:themeShade="BF"/>
              <w:sz w:val="48"/>
              <w:szCs w:val="48"/>
              <w:lang w:val="en-GB"/>
            </w:rPr>
          </w:pPr>
          <w:r w:rsidRPr="001264F2">
            <w:rPr>
              <w:rFonts w:ascii="Times New Roman" w:eastAsiaTheme="majorEastAsia" w:hAnsi="Times New Roman" w:cs="Times New Roman"/>
              <w:b/>
              <w:color w:val="000000" w:themeColor="text1"/>
              <w:sz w:val="48"/>
              <w:szCs w:val="48"/>
              <w:lang w:val="en-GB"/>
            </w:rPr>
            <w:br w:type="page"/>
          </w:r>
        </w:p>
      </w:sdtContent>
    </w:sdt>
    <w:p w14:paraId="3F342A9E" w14:textId="77777777" w:rsidR="00F26FE3" w:rsidRDefault="00F26FE3" w:rsidP="00F26FE3">
      <w:pPr>
        <w:spacing w:line="360" w:lineRule="auto"/>
        <w:ind w:firstLine="720"/>
        <w:jc w:val="both"/>
        <w:rPr>
          <w:rFonts w:ascii="Arial" w:hAnsi="Arial" w:cs="Arial"/>
        </w:rPr>
      </w:pPr>
    </w:p>
    <w:p w14:paraId="767087DF" w14:textId="0BA47549" w:rsidR="00F26FE3" w:rsidRDefault="00F26FE3" w:rsidP="00F26FE3">
      <w:pPr>
        <w:spacing w:line="360" w:lineRule="auto"/>
        <w:jc w:val="both"/>
        <w:rPr>
          <w:rFonts w:ascii="Arial" w:hAnsi="Arial" w:cs="Arial"/>
        </w:rPr>
      </w:pPr>
      <w:r>
        <w:rPr>
          <w:rFonts w:ascii="Arial" w:hAnsi="Arial" w:cs="Arial"/>
        </w:rPr>
        <w:t xml:space="preserve">To fulfill the criteria of the supporting paper, analysis is being carried out on the case of family B. The family comprised of seven members: mother and her son, in addition to her partner there were four other children included in the family, who were under the support of various agencies. </w:t>
      </w:r>
    </w:p>
    <w:p w14:paraId="561978E9" w14:textId="77777777" w:rsidR="00F26FE3" w:rsidRDefault="00F26FE3" w:rsidP="00F26FE3">
      <w:pPr>
        <w:pStyle w:val="ListParagraph"/>
        <w:numPr>
          <w:ilvl w:val="0"/>
          <w:numId w:val="11"/>
        </w:numPr>
        <w:spacing w:line="360" w:lineRule="auto"/>
        <w:ind w:left="540" w:hanging="540"/>
        <w:rPr>
          <w:rFonts w:ascii="Arial" w:hAnsi="Arial" w:cs="Arial"/>
        </w:rPr>
      </w:pPr>
      <w:r>
        <w:rPr>
          <w:rFonts w:ascii="Arial" w:hAnsi="Arial" w:cs="Arial"/>
          <w:b/>
        </w:rPr>
        <w:t xml:space="preserve">Factors contributing to vulnerability of the children, young </w:t>
      </w:r>
      <w:proofErr w:type="gramStart"/>
      <w:r>
        <w:rPr>
          <w:rFonts w:ascii="Arial" w:hAnsi="Arial" w:cs="Arial"/>
          <w:b/>
        </w:rPr>
        <w:t>people</w:t>
      </w:r>
      <w:proofErr w:type="gramEnd"/>
      <w:r>
        <w:rPr>
          <w:rFonts w:ascii="Arial" w:hAnsi="Arial" w:cs="Arial"/>
          <w:b/>
        </w:rPr>
        <w:t xml:space="preserve"> and family:</w:t>
      </w:r>
    </w:p>
    <w:p w14:paraId="2A406913" w14:textId="29CFA11F" w:rsidR="00F26FE3" w:rsidRDefault="00F26FE3" w:rsidP="00F26FE3">
      <w:pPr>
        <w:spacing w:line="360" w:lineRule="auto"/>
        <w:jc w:val="both"/>
        <w:rPr>
          <w:rFonts w:ascii="Arial" w:hAnsi="Arial" w:cs="Arial"/>
        </w:rPr>
      </w:pPr>
      <w:r>
        <w:rPr>
          <w:rFonts w:ascii="Arial" w:hAnsi="Arial" w:cs="Arial"/>
        </w:rPr>
        <w:t>There were various determinants which were responsible for the vulnerability of the family members:</w:t>
      </w:r>
      <w:r w:rsidR="008A1F62">
        <w:rPr>
          <w:rFonts w:ascii="Arial" w:hAnsi="Arial" w:cs="Arial"/>
        </w:rPr>
        <w:t xml:space="preserve"> </w:t>
      </w:r>
    </w:p>
    <w:p w14:paraId="040BBCFF" w14:textId="4F53B29C" w:rsidR="00F26FE3" w:rsidRDefault="00F26FE3" w:rsidP="00F26FE3">
      <w:pPr>
        <w:spacing w:line="360" w:lineRule="auto"/>
        <w:jc w:val="both"/>
        <w:rPr>
          <w:rFonts w:ascii="Arial" w:hAnsi="Arial" w:cs="Arial"/>
        </w:rPr>
      </w:pPr>
      <w:r>
        <w:rPr>
          <w:rFonts w:ascii="Arial" w:hAnsi="Arial" w:cs="Arial"/>
          <w:b/>
          <w:i/>
        </w:rPr>
        <w:t>Risk factor specified for young people:</w:t>
      </w:r>
      <w:r>
        <w:rPr>
          <w:rFonts w:ascii="Arial" w:hAnsi="Arial" w:cs="Arial"/>
        </w:rPr>
        <w:t xml:space="preserve"> There were total of three adolescents happen to be living in the family as described in the case study. As directed by the Youth Offending team the adolescent boy has been the </w:t>
      </w:r>
      <w:proofErr w:type="gramStart"/>
      <w:r>
        <w:rPr>
          <w:rFonts w:ascii="Arial" w:hAnsi="Arial" w:cs="Arial"/>
        </w:rPr>
        <w:t>main focus</w:t>
      </w:r>
      <w:proofErr w:type="gramEnd"/>
      <w:r>
        <w:rPr>
          <w:rFonts w:ascii="Arial" w:hAnsi="Arial" w:cs="Arial"/>
        </w:rPr>
        <w:t xml:space="preserve"> of referral. Other agencies such as homeless Person unit, anti-social behavior team, education service and </w:t>
      </w:r>
      <w:proofErr w:type="spellStart"/>
      <w:r>
        <w:rPr>
          <w:rFonts w:ascii="Arial" w:hAnsi="Arial" w:cs="Arial"/>
        </w:rPr>
        <w:t>Connexions</w:t>
      </w:r>
      <w:proofErr w:type="spellEnd"/>
      <w:r>
        <w:rPr>
          <w:rFonts w:ascii="Arial" w:hAnsi="Arial" w:cs="Arial"/>
        </w:rPr>
        <w:t xml:space="preserve"> being already involved with the family were the indication of risk factors associated with the young people living in that family. Most problems were associated with the adolescent boy who was separated from the family and was homeless. </w:t>
      </w:r>
      <w:proofErr w:type="gramStart"/>
      <w:r>
        <w:rPr>
          <w:rFonts w:ascii="Arial" w:hAnsi="Arial" w:cs="Arial"/>
        </w:rPr>
        <w:t>Evidences</w:t>
      </w:r>
      <w:proofErr w:type="gramEnd"/>
      <w:r>
        <w:rPr>
          <w:rFonts w:ascii="Arial" w:hAnsi="Arial" w:cs="Arial"/>
        </w:rPr>
        <w:t xml:space="preserve"> which could be drawn from the analysis in addition to what had been stated, might also have been: poverty, substance abuse, lack of psychosocial and emotional support, mental disability that could lead to behavioral issues, unsafe informal environment/setting in which he was temporarily residing in, emotionally disturbed parent, and lack of parental guidance and directions.</w:t>
      </w:r>
    </w:p>
    <w:p w14:paraId="515E33DD" w14:textId="77777777" w:rsidR="00F26FE3" w:rsidRDefault="00F26FE3" w:rsidP="00F26FE3">
      <w:pPr>
        <w:spacing w:line="360" w:lineRule="auto"/>
        <w:jc w:val="both"/>
        <w:rPr>
          <w:rFonts w:ascii="Arial" w:hAnsi="Arial" w:cs="Arial"/>
        </w:rPr>
      </w:pPr>
      <w:r>
        <w:rPr>
          <w:rFonts w:ascii="Arial" w:hAnsi="Arial" w:cs="Arial"/>
          <w:b/>
          <w:i/>
        </w:rPr>
        <w:t>Risk factors specified for family:</w:t>
      </w:r>
      <w:r>
        <w:rPr>
          <w:rFonts w:ascii="Arial" w:hAnsi="Arial" w:cs="Arial"/>
        </w:rPr>
        <w:t xml:space="preserve"> From the case study it is presumed that the mother was having issues with her partner and his employment situations. Not being able to pay the housing rent on time and other family issues that are not been highlighted in the study but were the obvious risk factors of placing the family at the position of high vulnerability. From the agencies such as probation services, metropolitan police, neighborhood services, parenting support group, and </w:t>
      </w:r>
      <w:proofErr w:type="spellStart"/>
      <w:r>
        <w:rPr>
          <w:rFonts w:ascii="Arial" w:hAnsi="Arial" w:cs="Arial"/>
        </w:rPr>
        <w:t>JobCentre</w:t>
      </w:r>
      <w:proofErr w:type="spellEnd"/>
      <w:r>
        <w:rPr>
          <w:rFonts w:ascii="Arial" w:hAnsi="Arial" w:cs="Arial"/>
        </w:rPr>
        <w:t xml:space="preserve"> Plus, the associated risk factors may have </w:t>
      </w:r>
      <w:proofErr w:type="gramStart"/>
      <w:r>
        <w:rPr>
          <w:rFonts w:ascii="Arial" w:hAnsi="Arial" w:cs="Arial"/>
        </w:rPr>
        <w:t>been:</w:t>
      </w:r>
      <w:proofErr w:type="gramEnd"/>
      <w:r>
        <w:rPr>
          <w:rFonts w:ascii="Arial" w:hAnsi="Arial" w:cs="Arial"/>
        </w:rPr>
        <w:t xml:space="preserve"> member involved in crime, domestic abuse, poor hygiene and personal care issues, poor parenting (which had led to poor decision making), unemployment, and lack of resources. </w:t>
      </w:r>
    </w:p>
    <w:p w14:paraId="25F88C17" w14:textId="77777777" w:rsidR="00F26FE3" w:rsidRDefault="00F26FE3" w:rsidP="00F26FE3">
      <w:pPr>
        <w:spacing w:line="360" w:lineRule="auto"/>
        <w:jc w:val="both"/>
        <w:rPr>
          <w:rFonts w:ascii="Arial" w:hAnsi="Arial" w:cs="Arial"/>
        </w:rPr>
      </w:pPr>
      <w:r>
        <w:rPr>
          <w:rFonts w:ascii="Arial" w:hAnsi="Arial" w:cs="Arial"/>
          <w:b/>
          <w:i/>
        </w:rPr>
        <w:t>Risk factors specified for children:</w:t>
      </w:r>
      <w:r>
        <w:rPr>
          <w:rFonts w:ascii="Arial" w:hAnsi="Arial" w:cs="Arial"/>
        </w:rPr>
        <w:t xml:space="preserve"> Involvement of CAMHS agency aimed at the issues related with the children’s overall wellbeing: bullying, expulsion from school, poor scholastic performance and poor attendance in school, emotionally disturbed parents, and lack of affection and support from parents. </w:t>
      </w:r>
    </w:p>
    <w:p w14:paraId="4B2309EC" w14:textId="77777777" w:rsidR="00F26FE3" w:rsidRDefault="00F26FE3" w:rsidP="00F26FE3">
      <w:pPr>
        <w:spacing w:line="360" w:lineRule="auto"/>
        <w:rPr>
          <w:rFonts w:ascii="Arial" w:hAnsi="Arial" w:cs="Arial"/>
          <w:b/>
        </w:rPr>
      </w:pPr>
      <w:r>
        <w:rPr>
          <w:rFonts w:ascii="Arial" w:hAnsi="Arial" w:cs="Arial"/>
          <w:b/>
        </w:rPr>
        <w:t xml:space="preserve">Circumstances linking to the vulnerability of children, young </w:t>
      </w:r>
      <w:proofErr w:type="gramStart"/>
      <w:r>
        <w:rPr>
          <w:rFonts w:ascii="Arial" w:hAnsi="Arial" w:cs="Arial"/>
          <w:b/>
        </w:rPr>
        <w:t>people</w:t>
      </w:r>
      <w:proofErr w:type="gramEnd"/>
      <w:r>
        <w:rPr>
          <w:rFonts w:ascii="Arial" w:hAnsi="Arial" w:cs="Arial"/>
          <w:b/>
        </w:rPr>
        <w:t xml:space="preserve"> and family:</w:t>
      </w:r>
    </w:p>
    <w:p w14:paraId="1D8B0C47" w14:textId="77777777" w:rsidR="007D3600" w:rsidRDefault="007D3600" w:rsidP="007D3600">
      <w:pPr>
        <w:spacing w:line="360" w:lineRule="auto"/>
        <w:jc w:val="both"/>
        <w:rPr>
          <w:rFonts w:ascii="Arial" w:hAnsi="Arial" w:cs="Arial"/>
        </w:rPr>
      </w:pPr>
    </w:p>
    <w:p w14:paraId="1A408C16" w14:textId="52E10509" w:rsidR="00F26FE3" w:rsidRDefault="00F26FE3" w:rsidP="007D3600">
      <w:pPr>
        <w:spacing w:line="360" w:lineRule="auto"/>
        <w:jc w:val="both"/>
        <w:rPr>
          <w:rFonts w:ascii="Arial" w:hAnsi="Arial" w:cs="Arial"/>
        </w:rPr>
      </w:pPr>
      <w:r>
        <w:rPr>
          <w:rFonts w:ascii="Arial" w:hAnsi="Arial" w:cs="Arial"/>
        </w:rPr>
        <w:t xml:space="preserve">Antisocial behavior and re-housing needs were prevalent when the family became the subject of referral. An adolescent boy was without resident and under the supervision of local authorities when referred by Youth offending team. In addition to this, mother who was emotionally disturbed, asked for assistance from agencies, when she was no longer able to manage simultaneous distressing events occurring in her family (finding stable accommodation and employment were prevailing issues).  </w:t>
      </w:r>
    </w:p>
    <w:p w14:paraId="394AEA4E" w14:textId="77777777" w:rsidR="00F26FE3" w:rsidRDefault="00F26FE3" w:rsidP="00F26FE3">
      <w:pPr>
        <w:pStyle w:val="ListParagraph"/>
        <w:numPr>
          <w:ilvl w:val="0"/>
          <w:numId w:val="11"/>
        </w:numPr>
        <w:spacing w:line="360" w:lineRule="auto"/>
        <w:ind w:left="540" w:hanging="540"/>
        <w:jc w:val="both"/>
        <w:rPr>
          <w:rFonts w:ascii="Arial" w:hAnsi="Arial" w:cs="Arial"/>
          <w:b/>
        </w:rPr>
      </w:pPr>
      <w:r>
        <w:rPr>
          <w:rFonts w:ascii="Arial" w:hAnsi="Arial" w:cs="Arial"/>
          <w:b/>
        </w:rPr>
        <w:t>Current policies in relation to affected families and children:</w:t>
      </w:r>
    </w:p>
    <w:p w14:paraId="0A0B82AA" w14:textId="77777777" w:rsidR="00F26FE3" w:rsidRDefault="00F26FE3" w:rsidP="007D3600">
      <w:pPr>
        <w:spacing w:line="360" w:lineRule="auto"/>
        <w:jc w:val="both"/>
        <w:rPr>
          <w:rFonts w:ascii="Arial" w:hAnsi="Arial" w:cs="Arial"/>
        </w:rPr>
      </w:pPr>
      <w:r>
        <w:rPr>
          <w:rFonts w:ascii="Arial" w:hAnsi="Arial" w:cs="Arial"/>
        </w:rPr>
        <w:t xml:space="preserve">Evaluation of the current policies in relation to provision of support and guidance is mandatory to help families with multiple complex needs. According to the law, the assessment held by the local authorities to help families in need should proceed with family focused approach. Policies and legislations have developed over the years </w:t>
      </w:r>
      <w:proofErr w:type="gramStart"/>
      <w:r>
        <w:rPr>
          <w:rFonts w:ascii="Arial" w:hAnsi="Arial" w:cs="Arial"/>
        </w:rPr>
        <w:t>in order to</w:t>
      </w:r>
      <w:proofErr w:type="gramEnd"/>
      <w:r>
        <w:rPr>
          <w:rFonts w:ascii="Arial" w:hAnsi="Arial" w:cs="Arial"/>
        </w:rPr>
        <w:t xml:space="preserve"> reduce the crime rates and to provide protection and care to vulnerable children and young people.  </w:t>
      </w:r>
    </w:p>
    <w:p w14:paraId="76A05C71" w14:textId="77777777" w:rsidR="00F26FE3" w:rsidRDefault="00F26FE3" w:rsidP="007D3600">
      <w:pPr>
        <w:spacing w:line="360" w:lineRule="auto"/>
        <w:jc w:val="both"/>
        <w:rPr>
          <w:rFonts w:ascii="Arial" w:hAnsi="Arial" w:cs="Arial"/>
        </w:rPr>
      </w:pPr>
      <w:r>
        <w:rPr>
          <w:rFonts w:ascii="Arial" w:hAnsi="Arial" w:cs="Arial"/>
        </w:rPr>
        <w:t>According to The Children &amp; Social Work Act, 2017, following guidelines were issued to improve social care provided to children and young people:</w:t>
      </w:r>
    </w:p>
    <w:p w14:paraId="01074D19" w14:textId="77777777" w:rsidR="00F26FE3" w:rsidRDefault="00F26FE3" w:rsidP="00F26FE3">
      <w:pPr>
        <w:pStyle w:val="ListParagraph"/>
        <w:numPr>
          <w:ilvl w:val="0"/>
          <w:numId w:val="12"/>
        </w:numPr>
        <w:spacing w:line="360" w:lineRule="auto"/>
        <w:jc w:val="both"/>
        <w:rPr>
          <w:rFonts w:ascii="Arial" w:hAnsi="Arial" w:cs="Arial"/>
        </w:rPr>
      </w:pPr>
      <w:r>
        <w:rPr>
          <w:rFonts w:ascii="Arial" w:hAnsi="Arial" w:cs="Arial"/>
        </w:rPr>
        <w:t>Promotion of utmost physical and mental wellbeing of children and care leavers</w:t>
      </w:r>
    </w:p>
    <w:p w14:paraId="102556E1" w14:textId="77777777" w:rsidR="00F26FE3" w:rsidRDefault="00F26FE3" w:rsidP="00F26FE3">
      <w:pPr>
        <w:pStyle w:val="ListParagraph"/>
        <w:numPr>
          <w:ilvl w:val="0"/>
          <w:numId w:val="12"/>
        </w:numPr>
        <w:spacing w:line="360" w:lineRule="auto"/>
        <w:jc w:val="both"/>
        <w:rPr>
          <w:rFonts w:ascii="Arial" w:hAnsi="Arial" w:cs="Arial"/>
        </w:rPr>
      </w:pPr>
      <w:r>
        <w:rPr>
          <w:rFonts w:ascii="Arial" w:hAnsi="Arial" w:cs="Arial"/>
        </w:rPr>
        <w:t>Improvise support of children in care and care leavers and practices of safeguarding them</w:t>
      </w:r>
    </w:p>
    <w:p w14:paraId="0382C252" w14:textId="77777777" w:rsidR="00F26FE3" w:rsidRDefault="00F26FE3" w:rsidP="00F26FE3">
      <w:pPr>
        <w:pStyle w:val="ListParagraph"/>
        <w:numPr>
          <w:ilvl w:val="0"/>
          <w:numId w:val="12"/>
        </w:numPr>
        <w:spacing w:line="360" w:lineRule="auto"/>
        <w:jc w:val="both"/>
        <w:rPr>
          <w:rFonts w:ascii="Arial" w:hAnsi="Arial" w:cs="Arial"/>
        </w:rPr>
      </w:pPr>
      <w:r>
        <w:rPr>
          <w:rFonts w:ascii="Arial" w:hAnsi="Arial" w:cs="Arial"/>
        </w:rPr>
        <w:t>Assistance to children on how to use services more suitably in their favor and arrangement of personal advisor support for care leavers until they reach age 25</w:t>
      </w:r>
    </w:p>
    <w:p w14:paraId="4A6574D4" w14:textId="77777777" w:rsidR="00F26FE3" w:rsidRDefault="00F26FE3" w:rsidP="00F26FE3">
      <w:pPr>
        <w:pStyle w:val="ListParagraph"/>
        <w:numPr>
          <w:ilvl w:val="0"/>
          <w:numId w:val="12"/>
        </w:numPr>
        <w:spacing w:line="360" w:lineRule="auto"/>
        <w:jc w:val="both"/>
        <w:rPr>
          <w:rFonts w:ascii="Arial" w:hAnsi="Arial" w:cs="Arial"/>
        </w:rPr>
      </w:pPr>
      <w:r>
        <w:rPr>
          <w:rFonts w:ascii="Arial" w:hAnsi="Arial" w:cs="Arial"/>
        </w:rPr>
        <w:t>Prepare children for adulthood and independent living</w:t>
      </w:r>
    </w:p>
    <w:p w14:paraId="313FD194" w14:textId="77777777" w:rsidR="00F26FE3" w:rsidRDefault="00F26FE3" w:rsidP="00F26FE3">
      <w:pPr>
        <w:pStyle w:val="ListParagraph"/>
        <w:numPr>
          <w:ilvl w:val="0"/>
          <w:numId w:val="12"/>
        </w:numPr>
        <w:spacing w:line="360" w:lineRule="auto"/>
        <w:jc w:val="both"/>
        <w:rPr>
          <w:rFonts w:ascii="Arial" w:hAnsi="Arial" w:cs="Arial"/>
        </w:rPr>
      </w:pPr>
      <w:r>
        <w:rPr>
          <w:rFonts w:ascii="Arial" w:hAnsi="Arial" w:cs="Arial"/>
        </w:rPr>
        <w:t xml:space="preserve">This legislation publishes local offers to care leavers such as entitlement to accommodation, education, </w:t>
      </w:r>
      <w:proofErr w:type="gramStart"/>
      <w:r>
        <w:rPr>
          <w:rFonts w:ascii="Arial" w:hAnsi="Arial" w:cs="Arial"/>
        </w:rPr>
        <w:t>training</w:t>
      </w:r>
      <w:proofErr w:type="gramEnd"/>
      <w:r>
        <w:rPr>
          <w:rFonts w:ascii="Arial" w:hAnsi="Arial" w:cs="Arial"/>
        </w:rPr>
        <w:t xml:space="preserve"> and employment (UK Government, 2017).</w:t>
      </w:r>
    </w:p>
    <w:p w14:paraId="7857F3C7" w14:textId="77777777" w:rsidR="00F26FE3" w:rsidRDefault="00F26FE3" w:rsidP="00F26FE3">
      <w:pPr>
        <w:spacing w:line="360" w:lineRule="auto"/>
        <w:jc w:val="both"/>
        <w:rPr>
          <w:rFonts w:ascii="Arial" w:hAnsi="Arial" w:cs="Arial"/>
          <w:b/>
        </w:rPr>
      </w:pPr>
      <w:r>
        <w:rPr>
          <w:rFonts w:ascii="Arial" w:hAnsi="Arial" w:cs="Arial"/>
          <w:b/>
        </w:rPr>
        <w:t>3.    Roles of multidisciplinary services and impacts of their actions:</w:t>
      </w:r>
    </w:p>
    <w:p w14:paraId="61301167" w14:textId="77777777" w:rsidR="00F26FE3" w:rsidRDefault="00F26FE3" w:rsidP="007D3600">
      <w:pPr>
        <w:spacing w:line="360" w:lineRule="auto"/>
        <w:jc w:val="both"/>
        <w:rPr>
          <w:rFonts w:ascii="Arial" w:hAnsi="Arial" w:cs="Arial"/>
        </w:rPr>
      </w:pPr>
      <w:r>
        <w:rPr>
          <w:rFonts w:ascii="Arial" w:hAnsi="Arial" w:cs="Arial"/>
        </w:rPr>
        <w:t>Short-term engagement of multidisciplinary service providers with the family B had reasonably improved their conditions to some extent by implementing some action plans suitable for them:</w:t>
      </w:r>
    </w:p>
    <w:p w14:paraId="0C187CDB" w14:textId="77777777" w:rsidR="00F26FE3" w:rsidRDefault="00F26FE3" w:rsidP="00F26FE3">
      <w:pPr>
        <w:pStyle w:val="ListParagraph"/>
        <w:numPr>
          <w:ilvl w:val="0"/>
          <w:numId w:val="13"/>
        </w:numPr>
        <w:spacing w:line="360" w:lineRule="auto"/>
        <w:jc w:val="both"/>
        <w:rPr>
          <w:rFonts w:ascii="Arial" w:hAnsi="Arial" w:cs="Arial"/>
        </w:rPr>
      </w:pPr>
      <w:r>
        <w:rPr>
          <w:rFonts w:ascii="Arial" w:hAnsi="Arial" w:cs="Arial"/>
        </w:rPr>
        <w:t>Family was re-accommodated, while they felt better equipped after receiving these services.</w:t>
      </w:r>
    </w:p>
    <w:p w14:paraId="3AE288F1" w14:textId="77777777" w:rsidR="007D3600" w:rsidRDefault="00F26FE3" w:rsidP="00F26FE3">
      <w:pPr>
        <w:pStyle w:val="ListParagraph"/>
        <w:numPr>
          <w:ilvl w:val="0"/>
          <w:numId w:val="13"/>
        </w:numPr>
        <w:spacing w:line="360" w:lineRule="auto"/>
        <w:jc w:val="both"/>
        <w:rPr>
          <w:rFonts w:ascii="Arial" w:hAnsi="Arial" w:cs="Arial"/>
        </w:rPr>
      </w:pPr>
      <w:r>
        <w:rPr>
          <w:rFonts w:ascii="Arial" w:hAnsi="Arial" w:cs="Arial"/>
        </w:rPr>
        <w:t xml:space="preserve">Parenting support group has offered parenting classes to the mother </w:t>
      </w:r>
      <w:proofErr w:type="gramStart"/>
      <w:r>
        <w:rPr>
          <w:rFonts w:ascii="Arial" w:hAnsi="Arial" w:cs="Arial"/>
        </w:rPr>
        <w:t>in order to</w:t>
      </w:r>
      <w:proofErr w:type="gramEnd"/>
      <w:r>
        <w:rPr>
          <w:rFonts w:ascii="Arial" w:hAnsi="Arial" w:cs="Arial"/>
        </w:rPr>
        <w:t xml:space="preserve"> improve parenting skills. Although she missed multiple sessions, but developed </w:t>
      </w:r>
    </w:p>
    <w:p w14:paraId="0B34765C" w14:textId="77777777" w:rsidR="007D3600" w:rsidRDefault="007D3600" w:rsidP="007D3600">
      <w:pPr>
        <w:pStyle w:val="ListParagraph"/>
        <w:spacing w:line="360" w:lineRule="auto"/>
        <w:jc w:val="both"/>
        <w:rPr>
          <w:rFonts w:ascii="Arial" w:hAnsi="Arial" w:cs="Arial"/>
        </w:rPr>
      </w:pPr>
    </w:p>
    <w:p w14:paraId="0A7DC27F" w14:textId="77777777" w:rsidR="002600BC" w:rsidRDefault="002600BC" w:rsidP="007D3600">
      <w:pPr>
        <w:pStyle w:val="ListParagraph"/>
        <w:spacing w:line="360" w:lineRule="auto"/>
        <w:jc w:val="both"/>
        <w:rPr>
          <w:rFonts w:ascii="Arial" w:hAnsi="Arial" w:cs="Arial"/>
        </w:rPr>
      </w:pPr>
    </w:p>
    <w:p w14:paraId="7DE8FF44" w14:textId="77777777" w:rsidR="002600BC" w:rsidRDefault="002600BC" w:rsidP="007D3600">
      <w:pPr>
        <w:pStyle w:val="ListParagraph"/>
        <w:spacing w:line="360" w:lineRule="auto"/>
        <w:jc w:val="both"/>
        <w:rPr>
          <w:rFonts w:ascii="Arial" w:hAnsi="Arial" w:cs="Arial"/>
        </w:rPr>
      </w:pPr>
    </w:p>
    <w:p w14:paraId="227A8845" w14:textId="159B3265" w:rsidR="00F26FE3" w:rsidRPr="007D3600" w:rsidRDefault="00F26FE3" w:rsidP="007D3600">
      <w:pPr>
        <w:pStyle w:val="ListParagraph"/>
        <w:spacing w:line="360" w:lineRule="auto"/>
        <w:jc w:val="both"/>
        <w:rPr>
          <w:rFonts w:ascii="Arial" w:hAnsi="Arial" w:cs="Arial"/>
        </w:rPr>
      </w:pPr>
      <w:r w:rsidRPr="007D3600">
        <w:rPr>
          <w:rFonts w:ascii="Arial" w:hAnsi="Arial" w:cs="Arial"/>
        </w:rPr>
        <w:t xml:space="preserve">positive attitude which she anticipated would strengthen her </w:t>
      </w:r>
      <w:proofErr w:type="gramStart"/>
      <w:r w:rsidRPr="007D3600">
        <w:rPr>
          <w:rFonts w:ascii="Arial" w:hAnsi="Arial" w:cs="Arial"/>
        </w:rPr>
        <w:t>decision making</w:t>
      </w:r>
      <w:proofErr w:type="gramEnd"/>
      <w:r w:rsidRPr="007D3600">
        <w:rPr>
          <w:rFonts w:ascii="Arial" w:hAnsi="Arial" w:cs="Arial"/>
        </w:rPr>
        <w:t xml:space="preserve"> skills with others as well. </w:t>
      </w:r>
    </w:p>
    <w:p w14:paraId="51CA8712" w14:textId="77777777" w:rsidR="00F26FE3" w:rsidRDefault="00F26FE3" w:rsidP="00F26FE3">
      <w:pPr>
        <w:pStyle w:val="ListParagraph"/>
        <w:numPr>
          <w:ilvl w:val="0"/>
          <w:numId w:val="13"/>
        </w:numPr>
        <w:spacing w:line="360" w:lineRule="auto"/>
        <w:jc w:val="both"/>
        <w:rPr>
          <w:rFonts w:ascii="Arial" w:hAnsi="Arial" w:cs="Arial"/>
        </w:rPr>
      </w:pPr>
      <w:proofErr w:type="spellStart"/>
      <w:proofErr w:type="gramStart"/>
      <w:r>
        <w:rPr>
          <w:rFonts w:ascii="Arial" w:hAnsi="Arial" w:cs="Arial"/>
        </w:rPr>
        <w:t>Connexions</w:t>
      </w:r>
      <w:proofErr w:type="spellEnd"/>
      <w:proofErr w:type="gramEnd"/>
      <w:r>
        <w:rPr>
          <w:rFonts w:ascii="Arial" w:hAnsi="Arial" w:cs="Arial"/>
        </w:rPr>
        <w:t xml:space="preserve"> support intended to improve mental state and behavioral issues in the older children, which were affecting their academic performance, causing bullying and making them vulnerable to abuse. Attending the meeting at school of one of the children been expelled previously has helped him to resume the school and was believed to be reunited with his family. </w:t>
      </w:r>
    </w:p>
    <w:p w14:paraId="61ACACBB" w14:textId="77777777" w:rsidR="00F26FE3" w:rsidRDefault="00F26FE3" w:rsidP="00F26FE3">
      <w:pPr>
        <w:spacing w:line="360" w:lineRule="auto"/>
        <w:jc w:val="both"/>
        <w:rPr>
          <w:rFonts w:ascii="Arial" w:hAnsi="Arial" w:cs="Arial"/>
          <w:b/>
        </w:rPr>
      </w:pPr>
      <w:r>
        <w:rPr>
          <w:rFonts w:ascii="Arial" w:hAnsi="Arial" w:cs="Arial"/>
          <w:b/>
        </w:rPr>
        <w:t xml:space="preserve">Recommendations: </w:t>
      </w:r>
    </w:p>
    <w:p w14:paraId="386B710E" w14:textId="5E978AC2" w:rsidR="00F26FE3" w:rsidRDefault="00F26FE3" w:rsidP="007D3600">
      <w:pPr>
        <w:spacing w:line="360" w:lineRule="auto"/>
        <w:jc w:val="both"/>
        <w:rPr>
          <w:rFonts w:ascii="Arial" w:hAnsi="Arial" w:cs="Arial"/>
        </w:rPr>
      </w:pPr>
      <w:r>
        <w:rPr>
          <w:rFonts w:ascii="Arial" w:hAnsi="Arial" w:cs="Arial"/>
        </w:rPr>
        <w:t xml:space="preserve">Due to varying engagement of family with the project and closure of the project before the estimated </w:t>
      </w:r>
      <w:proofErr w:type="gramStart"/>
      <w:r>
        <w:rPr>
          <w:rFonts w:ascii="Arial" w:hAnsi="Arial" w:cs="Arial"/>
        </w:rPr>
        <w:t>time period</w:t>
      </w:r>
      <w:proofErr w:type="gramEnd"/>
      <w:r>
        <w:rPr>
          <w:rFonts w:ascii="Arial" w:hAnsi="Arial" w:cs="Arial"/>
        </w:rPr>
        <w:t>, much was left undone that could have made significant improvement in the life of each member. Due to antisocial behavioral issues linked with the family and lack of stable income due to employment issues associated with the partner, the agencies could have arranged proper employment position for the mother and her partner to avoid issue</w:t>
      </w:r>
      <w:r w:rsidR="007D3600">
        <w:rPr>
          <w:rFonts w:ascii="Arial" w:hAnsi="Arial" w:cs="Arial"/>
        </w:rPr>
        <w:t>s</w:t>
      </w:r>
      <w:r>
        <w:rPr>
          <w:rFonts w:ascii="Arial" w:hAnsi="Arial" w:cs="Arial"/>
        </w:rPr>
        <w:t xml:space="preserve">. As the young people are going through dynamic phase of their lives, there are higher chances of them to get involved in various risky behavior making them most vulnerable to abuse, neglect, </w:t>
      </w:r>
      <w:proofErr w:type="gramStart"/>
      <w:r>
        <w:rPr>
          <w:rFonts w:ascii="Arial" w:hAnsi="Arial" w:cs="Arial"/>
        </w:rPr>
        <w:t>deprivation</w:t>
      </w:r>
      <w:proofErr w:type="gramEnd"/>
      <w:r>
        <w:rPr>
          <w:rFonts w:ascii="Arial" w:hAnsi="Arial" w:cs="Arial"/>
        </w:rPr>
        <w:t xml:space="preserve"> and violence (</w:t>
      </w:r>
      <w:r>
        <w:rPr>
          <w:rFonts w:ascii="Arial" w:hAnsi="Arial" w:cs="Arial"/>
          <w:color w:val="000000"/>
          <w:shd w:val="clear" w:color="auto" w:fill="FFFFFF"/>
        </w:rPr>
        <w:t>Gupta, 2015</w:t>
      </w:r>
      <w:r>
        <w:rPr>
          <w:rFonts w:ascii="Arial" w:hAnsi="Arial" w:cs="Arial"/>
        </w:rPr>
        <w:t xml:space="preserve">). The adolescent boy in this family has been found to be homeless and the most vulnerable among the other members.  Therefore, it was recommended to unify him with the family earlier in addition to provision of emotional, </w:t>
      </w:r>
      <w:proofErr w:type="gramStart"/>
      <w:r>
        <w:rPr>
          <w:rFonts w:ascii="Arial" w:hAnsi="Arial" w:cs="Arial"/>
        </w:rPr>
        <w:t>social</w:t>
      </w:r>
      <w:proofErr w:type="gramEnd"/>
      <w:r>
        <w:rPr>
          <w:rFonts w:ascii="Arial" w:hAnsi="Arial" w:cs="Arial"/>
        </w:rPr>
        <w:t xml:space="preserve"> and financial support while preparing him for independent living. Laws ensure the provision of early help for the children that has been identified as abused and the provision of safe environment in which they could effectively participate (WHO, 2021). Immediate referrals must be made by the partner agencies, on encountering homeless 16-17 years </w:t>
      </w:r>
      <w:proofErr w:type="spellStart"/>
      <w:r>
        <w:rPr>
          <w:rFonts w:ascii="Arial" w:hAnsi="Arial" w:cs="Arial"/>
        </w:rPr>
        <w:t>olds</w:t>
      </w:r>
      <w:proofErr w:type="spellEnd"/>
      <w:r>
        <w:rPr>
          <w:rFonts w:ascii="Arial" w:hAnsi="Arial" w:cs="Arial"/>
        </w:rPr>
        <w:t xml:space="preserve">, and </w:t>
      </w:r>
      <w:proofErr w:type="gramStart"/>
      <w:r>
        <w:rPr>
          <w:rFonts w:ascii="Arial" w:hAnsi="Arial" w:cs="Arial"/>
        </w:rPr>
        <w:t>making arrangements</w:t>
      </w:r>
      <w:proofErr w:type="gramEnd"/>
      <w:r>
        <w:rPr>
          <w:rFonts w:ascii="Arial" w:hAnsi="Arial" w:cs="Arial"/>
        </w:rPr>
        <w:t xml:space="preserve"> to provide them safe environment for their proper training and development (Equality &amp; Human Rights Commission, 2021).</w:t>
      </w:r>
    </w:p>
    <w:p w14:paraId="0CDCE7E0" w14:textId="77777777" w:rsidR="00F26FE3" w:rsidRDefault="00F26FE3" w:rsidP="007D3600">
      <w:pPr>
        <w:spacing w:line="360" w:lineRule="auto"/>
        <w:jc w:val="both"/>
        <w:rPr>
          <w:rFonts w:ascii="Arial" w:hAnsi="Arial" w:cs="Arial"/>
        </w:rPr>
      </w:pPr>
      <w:r>
        <w:rPr>
          <w:rFonts w:ascii="Arial" w:hAnsi="Arial" w:cs="Arial"/>
        </w:rPr>
        <w:t xml:space="preserve">Research paper, mentioned below </w:t>
      </w:r>
      <w:proofErr w:type="spellStart"/>
      <w:r>
        <w:rPr>
          <w:rFonts w:ascii="Arial" w:hAnsi="Arial" w:cs="Arial"/>
        </w:rPr>
        <w:t>indentifies</w:t>
      </w:r>
      <w:proofErr w:type="spellEnd"/>
      <w:r>
        <w:rPr>
          <w:rFonts w:ascii="Arial" w:hAnsi="Arial" w:cs="Arial"/>
        </w:rPr>
        <w:t xml:space="preserve"> main challenges faced by vulnerable families and children, which also covers issues mentioned in our case study:</w:t>
      </w:r>
      <w:r>
        <w:rPr>
          <w:rFonts w:ascii="Arial" w:hAnsi="Arial" w:cs="Arial"/>
          <w:color w:val="000000"/>
          <w:sz w:val="18"/>
          <w:szCs w:val="18"/>
          <w:shd w:val="clear" w:color="auto" w:fill="FFFFFF"/>
        </w:rPr>
        <w:t xml:space="preserve"> </w:t>
      </w:r>
      <w:r>
        <w:rPr>
          <w:rFonts w:ascii="Arial" w:hAnsi="Arial" w:cs="Arial"/>
          <w:color w:val="000000"/>
          <w:shd w:val="clear" w:color="auto" w:fill="FFFFFF"/>
        </w:rPr>
        <w:t xml:space="preserve">“Esposito, T., </w:t>
      </w:r>
      <w:proofErr w:type="spellStart"/>
      <w:r>
        <w:rPr>
          <w:rFonts w:ascii="Arial" w:hAnsi="Arial" w:cs="Arial"/>
          <w:color w:val="000000"/>
          <w:shd w:val="clear" w:color="auto" w:fill="FFFFFF"/>
        </w:rPr>
        <w:t>Delaye</w:t>
      </w:r>
      <w:proofErr w:type="spellEnd"/>
      <w:r>
        <w:rPr>
          <w:rFonts w:ascii="Arial" w:hAnsi="Arial" w:cs="Arial"/>
          <w:color w:val="000000"/>
          <w:shd w:val="clear" w:color="auto" w:fill="FFFFFF"/>
        </w:rPr>
        <w:t xml:space="preserve">, A., Chabot, M., </w:t>
      </w:r>
      <w:proofErr w:type="spellStart"/>
      <w:r>
        <w:rPr>
          <w:rFonts w:ascii="Arial" w:hAnsi="Arial" w:cs="Arial"/>
          <w:color w:val="000000"/>
          <w:shd w:val="clear" w:color="auto" w:fill="FFFFFF"/>
        </w:rPr>
        <w:t>Trocmé</w:t>
      </w:r>
      <w:proofErr w:type="spellEnd"/>
      <w:r>
        <w:rPr>
          <w:rFonts w:ascii="Arial" w:hAnsi="Arial" w:cs="Arial"/>
          <w:color w:val="000000"/>
          <w:shd w:val="clear" w:color="auto" w:fill="FFFFFF"/>
        </w:rPr>
        <w:t xml:space="preserve">, N., Rothwell, D., </w:t>
      </w:r>
      <w:proofErr w:type="spellStart"/>
      <w:r>
        <w:rPr>
          <w:rFonts w:ascii="Arial" w:hAnsi="Arial" w:cs="Arial"/>
          <w:color w:val="000000"/>
          <w:shd w:val="clear" w:color="auto" w:fill="FFFFFF"/>
        </w:rPr>
        <w:t>Hélie</w:t>
      </w:r>
      <w:proofErr w:type="spellEnd"/>
      <w:r>
        <w:rPr>
          <w:rFonts w:ascii="Arial" w:hAnsi="Arial" w:cs="Arial"/>
          <w:color w:val="000000"/>
          <w:shd w:val="clear" w:color="auto" w:fill="FFFFFF"/>
        </w:rPr>
        <w:t>, S. and Robichaud, M., 2017. The Effects of Socioeconomic Vulnerability, Psychosocial Services, and Social Service Spending on Family Reunification: A Multilevel Longitudinal Analysis. </w:t>
      </w:r>
      <w:r>
        <w:rPr>
          <w:rFonts w:ascii="Arial" w:hAnsi="Arial" w:cs="Arial"/>
          <w:i/>
          <w:iCs/>
          <w:color w:val="000000"/>
          <w:shd w:val="clear" w:color="auto" w:fill="FFFFFF"/>
        </w:rPr>
        <w:t>International Journal of Environmental Research and Public Health</w:t>
      </w:r>
      <w:r>
        <w:rPr>
          <w:rFonts w:ascii="Arial" w:hAnsi="Arial" w:cs="Arial"/>
          <w:color w:val="000000"/>
          <w:shd w:val="clear" w:color="auto" w:fill="FFFFFF"/>
        </w:rPr>
        <w:t>, 14(9), p.1040.”</w:t>
      </w:r>
      <w:r>
        <w:rPr>
          <w:rFonts w:ascii="Arial" w:hAnsi="Arial" w:cs="Arial"/>
        </w:rPr>
        <w:br w:type="page"/>
      </w:r>
    </w:p>
    <w:p w14:paraId="02AD771A" w14:textId="77777777" w:rsidR="002600BC" w:rsidRDefault="002600BC" w:rsidP="00F26FE3">
      <w:pPr>
        <w:spacing w:line="360" w:lineRule="auto"/>
        <w:jc w:val="both"/>
        <w:rPr>
          <w:rFonts w:ascii="Arial" w:hAnsi="Arial" w:cs="Arial"/>
          <w:b/>
        </w:rPr>
      </w:pPr>
    </w:p>
    <w:p w14:paraId="11B84249" w14:textId="6E95C4D8" w:rsidR="00F26FE3" w:rsidRDefault="00F26FE3" w:rsidP="00F26FE3">
      <w:pPr>
        <w:spacing w:line="360" w:lineRule="auto"/>
        <w:jc w:val="both"/>
        <w:rPr>
          <w:rFonts w:ascii="Arial" w:hAnsi="Arial" w:cs="Arial"/>
          <w:b/>
        </w:rPr>
      </w:pPr>
      <w:r>
        <w:rPr>
          <w:rFonts w:ascii="Arial" w:hAnsi="Arial" w:cs="Arial"/>
          <w:b/>
        </w:rPr>
        <w:t>References:</w:t>
      </w:r>
    </w:p>
    <w:p w14:paraId="64D3B00D" w14:textId="77777777" w:rsidR="00F26FE3" w:rsidRDefault="00F26FE3" w:rsidP="00F26FE3">
      <w:pPr>
        <w:spacing w:line="360" w:lineRule="auto"/>
        <w:jc w:val="both"/>
        <w:rPr>
          <w:rFonts w:ascii="Arial" w:hAnsi="Arial" w:cs="Arial"/>
          <w:color w:val="000000"/>
          <w:shd w:val="clear" w:color="auto" w:fill="FFFFFF"/>
        </w:rPr>
      </w:pPr>
      <w:r>
        <w:rPr>
          <w:rFonts w:ascii="Arial" w:hAnsi="Arial" w:cs="Arial"/>
          <w:color w:val="000000"/>
          <w:shd w:val="clear" w:color="auto" w:fill="FFFFFF"/>
        </w:rPr>
        <w:t>Assets.publishing.service.gov.uk. 2021. </w:t>
      </w:r>
      <w:r>
        <w:rPr>
          <w:rFonts w:ascii="Arial" w:hAnsi="Arial" w:cs="Arial"/>
          <w:i/>
          <w:iCs/>
          <w:color w:val="000000"/>
          <w:shd w:val="clear" w:color="auto" w:fill="FFFFFF"/>
        </w:rPr>
        <w:t>Keeping children safe in Education</w:t>
      </w:r>
      <w:r>
        <w:rPr>
          <w:rFonts w:ascii="Arial" w:hAnsi="Arial" w:cs="Arial"/>
          <w:color w:val="000000"/>
          <w:shd w:val="clear" w:color="auto" w:fill="FFFFFF"/>
        </w:rPr>
        <w:t>. [online] Available at: &lt;https://assets.publishing.service.gov.uk/government/uploads/system/uploads/attachment_data/file/954314/Keeping_children_safe_in_education_2020_-_Update_-_January_2021.pdf</w:t>
      </w:r>
      <w:r>
        <w:rPr>
          <w:rFonts w:ascii="Arial" w:hAnsi="Arial" w:cs="Arial"/>
        </w:rPr>
        <w:t xml:space="preserve">&gt; </w:t>
      </w:r>
      <w:r>
        <w:rPr>
          <w:rFonts w:ascii="Arial" w:hAnsi="Arial" w:cs="Arial"/>
          <w:color w:val="000000"/>
          <w:shd w:val="clear" w:color="auto" w:fill="FFFFFF"/>
        </w:rPr>
        <w:t>[Accessed 15 July 2021].</w:t>
      </w:r>
    </w:p>
    <w:p w14:paraId="2815D225" w14:textId="77777777" w:rsidR="00F26FE3" w:rsidRDefault="00F26FE3" w:rsidP="00F26FE3">
      <w:pPr>
        <w:spacing w:line="360" w:lineRule="auto"/>
        <w:jc w:val="both"/>
        <w:rPr>
          <w:rFonts w:ascii="Arial" w:hAnsi="Arial" w:cs="Arial"/>
          <w:color w:val="000000"/>
          <w:shd w:val="clear" w:color="auto" w:fill="FFFFFF"/>
        </w:rPr>
      </w:pPr>
      <w:r>
        <w:rPr>
          <w:rFonts w:ascii="Arial" w:hAnsi="Arial" w:cs="Arial"/>
          <w:color w:val="000000"/>
          <w:shd w:val="clear" w:color="auto" w:fill="FFFFFF"/>
        </w:rPr>
        <w:t>Equalityhumanrights.com. 2021. [online] Available at: &lt;https://www.equalityhumanrights.com/sites/default/files/childrens_rights_in_the_uk.pdf&gt; [Accessed 18 July 2021].</w:t>
      </w:r>
    </w:p>
    <w:p w14:paraId="682B8CBD" w14:textId="77777777" w:rsidR="00F26FE3" w:rsidRDefault="00F26FE3" w:rsidP="00F26FE3">
      <w:pPr>
        <w:spacing w:line="360" w:lineRule="auto"/>
        <w:jc w:val="both"/>
        <w:rPr>
          <w:rFonts w:ascii="Arial" w:hAnsi="Arial" w:cs="Arial"/>
          <w:color w:val="000000"/>
          <w:shd w:val="clear" w:color="auto" w:fill="FFFFFF"/>
        </w:rPr>
      </w:pPr>
      <w:r>
        <w:rPr>
          <w:rFonts w:ascii="Arial" w:hAnsi="Arial" w:cs="Arial"/>
          <w:color w:val="000000"/>
          <w:shd w:val="clear" w:color="auto" w:fill="FFFFFF"/>
        </w:rPr>
        <w:t>Shah, D., Arora, S., Chaturvedi, S. and Gupta, P., 2015. Defining and measuring vulnerability in young people. </w:t>
      </w:r>
      <w:r>
        <w:rPr>
          <w:rFonts w:ascii="Arial" w:hAnsi="Arial" w:cs="Arial"/>
          <w:i/>
          <w:iCs/>
          <w:color w:val="000000"/>
          <w:shd w:val="clear" w:color="auto" w:fill="FFFFFF"/>
        </w:rPr>
        <w:t>Indian Journal of Community Medicine</w:t>
      </w:r>
      <w:r>
        <w:rPr>
          <w:rFonts w:ascii="Arial" w:hAnsi="Arial" w:cs="Arial"/>
          <w:color w:val="000000"/>
          <w:shd w:val="clear" w:color="auto" w:fill="FFFFFF"/>
        </w:rPr>
        <w:t>, 40(3), p.193.</w:t>
      </w:r>
    </w:p>
    <w:p w14:paraId="69C30A72" w14:textId="77777777" w:rsidR="00F26FE3" w:rsidRDefault="00F26FE3" w:rsidP="00F26FE3">
      <w:pPr>
        <w:spacing w:line="360" w:lineRule="auto"/>
        <w:jc w:val="both"/>
        <w:rPr>
          <w:rFonts w:ascii="Arial" w:hAnsi="Arial" w:cs="Arial"/>
        </w:rPr>
      </w:pPr>
      <w:r>
        <w:rPr>
          <w:rFonts w:ascii="Arial" w:hAnsi="Arial" w:cs="Arial"/>
          <w:color w:val="000000"/>
          <w:shd w:val="clear" w:color="auto" w:fill="FFFFFF"/>
        </w:rPr>
        <w:t>Who.int. 2021. </w:t>
      </w:r>
      <w:r>
        <w:rPr>
          <w:rFonts w:ascii="Arial" w:hAnsi="Arial" w:cs="Arial"/>
          <w:i/>
          <w:iCs/>
          <w:color w:val="000000"/>
          <w:shd w:val="clear" w:color="auto" w:fill="FFFFFF"/>
        </w:rPr>
        <w:t>Adolescent and young adult health</w:t>
      </w:r>
      <w:r>
        <w:rPr>
          <w:rFonts w:ascii="Arial" w:hAnsi="Arial" w:cs="Arial"/>
          <w:color w:val="000000"/>
          <w:shd w:val="clear" w:color="auto" w:fill="FFFFFF"/>
        </w:rPr>
        <w:t>. [online] Available at: &lt;https://www.who.int/news-room/fact-sheets/detail/adolescents-health-risks-and-solutions&gt; [Accessed 15 July 2021].</w:t>
      </w:r>
    </w:p>
    <w:p w14:paraId="23C93B91" w14:textId="7B0F1E3B" w:rsidR="003B5663" w:rsidRPr="001264F2" w:rsidRDefault="003B5663" w:rsidP="00F26FE3">
      <w:pPr>
        <w:spacing w:line="360" w:lineRule="auto"/>
        <w:rPr>
          <w:rFonts w:ascii="Arial" w:hAnsi="Arial" w:cs="Arial"/>
          <w:sz w:val="24"/>
          <w:szCs w:val="24"/>
        </w:rPr>
      </w:pPr>
    </w:p>
    <w:sectPr w:rsidR="003B5663" w:rsidRPr="001264F2" w:rsidSect="008504FB">
      <w:headerReference w:type="default" r:id="rId7"/>
      <w:footerReference w:type="default" r:id="rId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85CC1" w14:textId="77777777" w:rsidR="00C649BE" w:rsidRDefault="00C649BE" w:rsidP="008504FB">
      <w:pPr>
        <w:spacing w:after="0" w:line="240" w:lineRule="auto"/>
      </w:pPr>
      <w:r>
        <w:separator/>
      </w:r>
    </w:p>
  </w:endnote>
  <w:endnote w:type="continuationSeparator" w:id="0">
    <w:p w14:paraId="5FEC187E" w14:textId="77777777" w:rsidR="00C649BE" w:rsidRDefault="00C649BE" w:rsidP="008504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3837069"/>
      <w:docPartObj>
        <w:docPartGallery w:val="Page Numbers (Bottom of Page)"/>
        <w:docPartUnique/>
      </w:docPartObj>
    </w:sdtPr>
    <w:sdtEndPr>
      <w:rPr>
        <w:noProof/>
      </w:rPr>
    </w:sdtEndPr>
    <w:sdtContent>
      <w:p w14:paraId="120BB3EB" w14:textId="315D4451" w:rsidR="008504FB" w:rsidRDefault="008504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EEAE81" w14:textId="77777777" w:rsidR="008504FB" w:rsidRDefault="008504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ECDBC2" w14:textId="77777777" w:rsidR="00C649BE" w:rsidRDefault="00C649BE" w:rsidP="008504FB">
      <w:pPr>
        <w:spacing w:after="0" w:line="240" w:lineRule="auto"/>
      </w:pPr>
      <w:r>
        <w:separator/>
      </w:r>
    </w:p>
  </w:footnote>
  <w:footnote w:type="continuationSeparator" w:id="0">
    <w:p w14:paraId="46451825" w14:textId="77777777" w:rsidR="00C649BE" w:rsidRDefault="00C649BE" w:rsidP="008504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65D61" w14:textId="258BF92C" w:rsidR="0096272A" w:rsidRPr="0096272A" w:rsidRDefault="007D3600">
    <w:pPr>
      <w:pStyle w:val="Header"/>
      <w:rPr>
        <w:rFonts w:ascii="Arial" w:hAnsi="Arial" w:cs="Arial"/>
      </w:rPr>
    </w:pPr>
    <w:r>
      <w:rPr>
        <w:noProof/>
      </w:rPr>
      <mc:AlternateContent>
        <mc:Choice Requires="wps">
          <w:drawing>
            <wp:anchor distT="45720" distB="45720" distL="114300" distR="114300" simplePos="0" relativeHeight="251659264" behindDoc="0" locked="0" layoutInCell="1" allowOverlap="1" wp14:anchorId="144C6E61" wp14:editId="209C4190">
              <wp:simplePos x="0" y="0"/>
              <wp:positionH relativeFrom="column">
                <wp:posOffset>4181475</wp:posOffset>
              </wp:positionH>
              <wp:positionV relativeFrom="paragraph">
                <wp:posOffset>207645</wp:posOffset>
              </wp:positionV>
              <wp:extent cx="1983105" cy="412750"/>
              <wp:effectExtent l="10160" t="7620" r="6985" b="1397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3105" cy="412750"/>
                      </a:xfrm>
                      <a:prstGeom prst="rect">
                        <a:avLst/>
                      </a:prstGeom>
                      <a:noFill/>
                      <a:ln w="9525">
                        <a:solidFill>
                          <a:srgbClr val="F8F8F8">
                            <a:alpha val="0"/>
                          </a:srgbClr>
                        </a:solidFill>
                        <a:miter lim="800000"/>
                        <a:headEnd/>
                        <a:tailEnd/>
                      </a:ln>
                      <a:extLst>
                        <a:ext uri="{909E8E84-426E-40DD-AFC4-6F175D3DCCD1}">
                          <a14:hiddenFill xmlns:a14="http://schemas.microsoft.com/office/drawing/2010/main">
                            <a:solidFill>
                              <a:srgbClr val="FFFFFF"/>
                            </a:solidFill>
                          </a14:hiddenFill>
                        </a:ext>
                      </a:extLst>
                    </wps:spPr>
                    <wps:txbx>
                      <w:txbxContent>
                        <w:p w14:paraId="18CE2D01" w14:textId="27D856F4" w:rsidR="0096272A" w:rsidRPr="00F26FE3" w:rsidRDefault="00F26FE3">
                          <w:r w:rsidRPr="00F26FE3">
                            <w:rPr>
                              <w:rFonts w:ascii="Arial" w:hAnsi="Arial" w:cs="Arial"/>
                              <w:color w:val="3B3838" w:themeColor="background2" w:themeShade="40"/>
                            </w:rPr>
                            <w:t xml:space="preserve">Dr </w:t>
                          </w:r>
                          <w:proofErr w:type="spellStart"/>
                          <w:r w:rsidRPr="00F26FE3">
                            <w:rPr>
                              <w:rFonts w:ascii="Arial" w:hAnsi="Arial" w:cs="Arial"/>
                              <w:color w:val="3B3838" w:themeColor="background2" w:themeShade="40"/>
                            </w:rPr>
                            <w:t>Crisford</w:t>
                          </w:r>
                          <w:proofErr w:type="spellEnd"/>
                          <w:r w:rsidRPr="00F26FE3">
                            <w:rPr>
                              <w:rFonts w:ascii="Arial" w:hAnsi="Arial" w:cs="Arial"/>
                              <w:color w:val="3B3838" w:themeColor="background2" w:themeShade="40"/>
                            </w:rPr>
                            <w:t xml:space="preserve"> </w:t>
                          </w:r>
                          <w:proofErr w:type="spellStart"/>
                          <w:r w:rsidRPr="00F26FE3">
                            <w:rPr>
                              <w:rFonts w:ascii="Arial" w:hAnsi="Arial" w:cs="Arial"/>
                              <w:color w:val="3B3838" w:themeColor="background2" w:themeShade="40"/>
                            </w:rPr>
                            <w:t>Chogugudza</w:t>
                          </w:r>
                          <w:proofErr w:type="spellEnd"/>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144C6E61" id="_x0000_t202" coordsize="21600,21600" o:spt="202" path="m,l,21600r21600,l21600,xe">
              <v:stroke joinstyle="miter"/>
              <v:path gradientshapeok="t" o:connecttype="rect"/>
            </v:shapetype>
            <v:shape id="Text Box 2" o:spid="_x0000_s1026" type="#_x0000_t202" style="position:absolute;margin-left:329.25pt;margin-top:16.35pt;width:156.15pt;height:32.5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" filled="f" strokecolor="#f8f8f8">
              <v:stroke opacity="0"/>
              <v:textbox style="mso-fit-shape-to-text:t">
                <w:txbxContent>
                  <w:p w14:paraId="18CE2D01" w14:textId="27D856F4" w:rsidR="0096272A" w:rsidRPr="00F26FE3" w:rsidRDefault="00F26FE3">
                    <w:r w:rsidRPr="00F26FE3">
                      <w:rPr>
                        <w:rFonts w:ascii="Arial" w:hAnsi="Arial" w:cs="Arial"/>
                        <w:color w:val="3B3838" w:themeColor="background2" w:themeShade="40"/>
                      </w:rPr>
                      <w:t xml:space="preserve">Dr </w:t>
                    </w:r>
                    <w:r w:rsidRPr="00F26FE3">
                      <w:rPr>
                        <w:rFonts w:ascii="Arial" w:hAnsi="Arial" w:cs="Arial"/>
                        <w:color w:val="3B3838" w:themeColor="background2" w:themeShade="40"/>
                      </w:rPr>
                      <w:t>Crisford Chogugudza</w:t>
                    </w:r>
                  </w:p>
                </w:txbxContent>
              </v:textbox>
              <w10:wrap type="square"/>
            </v:shape>
          </w:pict>
        </mc:Fallback>
      </mc:AlternateContent>
    </w:r>
    <w:r w:rsidR="0096272A" w:rsidRPr="0096272A">
      <w:rPr>
        <w:rFonts w:ascii="Arial" w:hAnsi="Arial" w:cs="Arial"/>
      </w:rPr>
      <w:t>Aqsa Butt</w:t>
    </w:r>
    <w:r w:rsidR="0096272A">
      <w:rPr>
        <w:rFonts w:ascii="Arial" w:hAnsi="Arial" w:cs="Arial"/>
      </w:rPr>
      <w:t xml:space="preserve"> – 1914939</w:t>
    </w:r>
    <w:r w:rsidR="0096272A">
      <w:rPr>
        <w:rFonts w:ascii="Arial" w:hAnsi="Arial" w:cs="Arial"/>
      </w:rPr>
      <w:tab/>
    </w:r>
    <w:r w:rsidR="0096272A">
      <w:rPr>
        <w:rFonts w:ascii="Arial" w:hAnsi="Arial" w:cs="Arial"/>
      </w:rPr>
      <w:tab/>
      <w:t>BMHP500</w:t>
    </w:r>
    <w:r w:rsidR="00F26FE3">
      <w:rPr>
        <w:rFonts w:ascii="Arial" w:hAnsi="Arial" w:cs="Arial"/>
      </w:rPr>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95479"/>
    <w:multiLevelType w:val="hybridMultilevel"/>
    <w:tmpl w:val="B15A5F7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3A11C2"/>
    <w:multiLevelType w:val="multilevel"/>
    <w:tmpl w:val="216EE3E0"/>
    <w:lvl w:ilvl="0">
      <w:start w:val="1"/>
      <w:numFmt w:val="decimal"/>
      <w:lvlText w:val="%1."/>
      <w:lvlJc w:val="left"/>
      <w:pPr>
        <w:ind w:left="720" w:hanging="360"/>
      </w:p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2" w15:restartNumberingAfterBreak="0">
    <w:nsid w:val="13C05559"/>
    <w:multiLevelType w:val="hybridMultilevel"/>
    <w:tmpl w:val="23C6CDF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167FC9"/>
    <w:multiLevelType w:val="hybridMultilevel"/>
    <w:tmpl w:val="839C5E90"/>
    <w:lvl w:ilvl="0" w:tplc="21F4E396">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CCF7231"/>
    <w:multiLevelType w:val="multilevel"/>
    <w:tmpl w:val="FB2C4ABC"/>
    <w:lvl w:ilvl="0">
      <w:start w:val="1"/>
      <w:numFmt w:val="decimal"/>
      <w:lvlText w:val="%1."/>
      <w:lvlJc w:val="left"/>
      <w:pPr>
        <w:ind w:left="720" w:hanging="360"/>
      </w:p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5" w15:restartNumberingAfterBreak="0">
    <w:nsid w:val="48105628"/>
    <w:multiLevelType w:val="hybridMultilevel"/>
    <w:tmpl w:val="06765E6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4C1A3D9B"/>
    <w:multiLevelType w:val="hybridMultilevel"/>
    <w:tmpl w:val="FE4EC06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165B05"/>
    <w:multiLevelType w:val="hybridMultilevel"/>
    <w:tmpl w:val="E2E2AB4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6510713C"/>
    <w:multiLevelType w:val="hybridMultilevel"/>
    <w:tmpl w:val="9C50179E"/>
    <w:lvl w:ilvl="0" w:tplc="4DB44BCE">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15:restartNumberingAfterBreak="0">
    <w:nsid w:val="6BCD5971"/>
    <w:multiLevelType w:val="hybridMultilevel"/>
    <w:tmpl w:val="8F506838"/>
    <w:lvl w:ilvl="0" w:tplc="3B1AB4B2">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6F0977AA"/>
    <w:multiLevelType w:val="multilevel"/>
    <w:tmpl w:val="1C322E5A"/>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366203"/>
    <w:multiLevelType w:val="multilevel"/>
    <w:tmpl w:val="FB2C4ABC"/>
    <w:lvl w:ilvl="0">
      <w:start w:val="1"/>
      <w:numFmt w:val="decimal"/>
      <w:lvlText w:val="%1."/>
      <w:lvlJc w:val="left"/>
      <w:pPr>
        <w:ind w:left="720" w:hanging="360"/>
      </w:p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num w:numId="1">
    <w:abstractNumId w:val="11"/>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0"/>
  </w:num>
  <w:num w:numId="4">
    <w:abstractNumId w:val="4"/>
  </w:num>
  <w:num w:numId="5">
    <w:abstractNumId w:val="2"/>
  </w:num>
  <w:num w:numId="6">
    <w:abstractNumId w:val="6"/>
  </w:num>
  <w:num w:numId="7">
    <w:abstractNumId w:val="0"/>
  </w:num>
  <w:num w:numId="8">
    <w:abstractNumId w:val="3"/>
  </w:num>
  <w:num w:numId="9">
    <w:abstractNumId w:val="9"/>
  </w:num>
  <w:num w:numId="10">
    <w:abstractNumId w:val="1"/>
  </w:num>
  <w:num w:numId="1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7"/>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o:colormru v:ext="edit" colors="#f8f8f8"/>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6F1"/>
    <w:rsid w:val="001264F2"/>
    <w:rsid w:val="001D26B8"/>
    <w:rsid w:val="001D2749"/>
    <w:rsid w:val="002600BC"/>
    <w:rsid w:val="002C317A"/>
    <w:rsid w:val="003B0F5F"/>
    <w:rsid w:val="003B2A5A"/>
    <w:rsid w:val="003B5663"/>
    <w:rsid w:val="00421B16"/>
    <w:rsid w:val="007D3600"/>
    <w:rsid w:val="007E4FF7"/>
    <w:rsid w:val="008504FB"/>
    <w:rsid w:val="008A1F62"/>
    <w:rsid w:val="009336F1"/>
    <w:rsid w:val="0096272A"/>
    <w:rsid w:val="00BE15BF"/>
    <w:rsid w:val="00C649BE"/>
    <w:rsid w:val="00F26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colormru v:ext="edit" colors="#f8f8f8"/>
    </o:shapedefaults>
    <o:shapelayout v:ext="edit">
      <o:idmap v:ext="edit" data="1"/>
    </o:shapelayout>
  </w:shapeDefaults>
  <w:decimalSymbol w:val="."/>
  <w:listSeparator w:val=","/>
  <w14:docId w14:val="45650593"/>
  <w15:docId w15:val="{7F16F6C9-0A7C-41B6-95AD-819955F18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749"/>
    <w:pPr>
      <w:spacing w:after="200" w:line="276" w:lineRule="auto"/>
    </w:pPr>
    <w:rPr>
      <w:lang w:val="en-US"/>
    </w:rPr>
  </w:style>
  <w:style w:type="paragraph" w:styleId="Heading1">
    <w:name w:val="heading 1"/>
    <w:basedOn w:val="Normal"/>
    <w:next w:val="Normal"/>
    <w:link w:val="Heading1Char"/>
    <w:uiPriority w:val="9"/>
    <w:qFormat/>
    <w:rsid w:val="008504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1D2749"/>
    <w:rPr>
      <w:rFonts w:ascii="Times New Roman" w:eastAsiaTheme="minorEastAsia" w:hAnsi="Times New Roman" w:cs="Times New Roman"/>
    </w:rPr>
  </w:style>
  <w:style w:type="paragraph" w:styleId="NoSpacing">
    <w:name w:val="No Spacing"/>
    <w:link w:val="NoSpacingChar"/>
    <w:uiPriority w:val="1"/>
    <w:qFormat/>
    <w:rsid w:val="001D2749"/>
    <w:pPr>
      <w:spacing w:after="0" w:line="240" w:lineRule="auto"/>
    </w:pPr>
    <w:rPr>
      <w:rFonts w:ascii="Times New Roman" w:eastAsiaTheme="minorEastAsia" w:hAnsi="Times New Roman" w:cs="Times New Roman"/>
    </w:rPr>
  </w:style>
  <w:style w:type="paragraph" w:styleId="ListParagraph">
    <w:name w:val="List Paragraph"/>
    <w:basedOn w:val="Normal"/>
    <w:uiPriority w:val="34"/>
    <w:qFormat/>
    <w:rsid w:val="001D2749"/>
    <w:pPr>
      <w:ind w:left="720"/>
      <w:contextualSpacing/>
    </w:pPr>
  </w:style>
  <w:style w:type="character" w:customStyle="1" w:styleId="Heading1Char">
    <w:name w:val="Heading 1 Char"/>
    <w:basedOn w:val="DefaultParagraphFont"/>
    <w:link w:val="Heading1"/>
    <w:uiPriority w:val="9"/>
    <w:rsid w:val="008504FB"/>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8504FB"/>
    <w:pPr>
      <w:spacing w:before="480"/>
      <w:outlineLvl w:val="9"/>
    </w:pPr>
    <w:rPr>
      <w:b/>
      <w:bCs/>
      <w:sz w:val="28"/>
      <w:szCs w:val="28"/>
    </w:rPr>
  </w:style>
  <w:style w:type="paragraph" w:styleId="TOC2">
    <w:name w:val="toc 2"/>
    <w:basedOn w:val="Normal"/>
    <w:next w:val="Normal"/>
    <w:autoRedefine/>
    <w:uiPriority w:val="39"/>
    <w:unhideWhenUsed/>
    <w:qFormat/>
    <w:rsid w:val="008504FB"/>
    <w:pPr>
      <w:spacing w:after="100"/>
      <w:ind w:left="220"/>
    </w:pPr>
    <w:rPr>
      <w:rFonts w:eastAsiaTheme="minorEastAsia"/>
    </w:rPr>
  </w:style>
  <w:style w:type="paragraph" w:styleId="TOC1">
    <w:name w:val="toc 1"/>
    <w:basedOn w:val="Normal"/>
    <w:next w:val="Normal"/>
    <w:autoRedefine/>
    <w:uiPriority w:val="39"/>
    <w:unhideWhenUsed/>
    <w:qFormat/>
    <w:rsid w:val="008504FB"/>
    <w:pPr>
      <w:spacing w:after="100"/>
    </w:pPr>
    <w:rPr>
      <w:rFonts w:eastAsiaTheme="minorEastAsia"/>
    </w:rPr>
  </w:style>
  <w:style w:type="paragraph" w:styleId="TOC3">
    <w:name w:val="toc 3"/>
    <w:basedOn w:val="Normal"/>
    <w:next w:val="Normal"/>
    <w:autoRedefine/>
    <w:uiPriority w:val="39"/>
    <w:unhideWhenUsed/>
    <w:qFormat/>
    <w:rsid w:val="008504FB"/>
    <w:pPr>
      <w:spacing w:after="100"/>
      <w:ind w:left="440"/>
    </w:pPr>
    <w:rPr>
      <w:rFonts w:eastAsiaTheme="minorEastAsia"/>
    </w:rPr>
  </w:style>
  <w:style w:type="character" w:styleId="Hyperlink">
    <w:name w:val="Hyperlink"/>
    <w:basedOn w:val="DefaultParagraphFont"/>
    <w:uiPriority w:val="99"/>
    <w:unhideWhenUsed/>
    <w:rsid w:val="008504FB"/>
    <w:rPr>
      <w:color w:val="0563C1" w:themeColor="hyperlink"/>
      <w:u w:val="single"/>
    </w:rPr>
  </w:style>
  <w:style w:type="paragraph" w:styleId="Header">
    <w:name w:val="header"/>
    <w:basedOn w:val="Normal"/>
    <w:link w:val="HeaderChar"/>
    <w:uiPriority w:val="99"/>
    <w:unhideWhenUsed/>
    <w:rsid w:val="008504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04FB"/>
    <w:rPr>
      <w:lang w:val="en-US"/>
    </w:rPr>
  </w:style>
  <w:style w:type="paragraph" w:styleId="Footer">
    <w:name w:val="footer"/>
    <w:basedOn w:val="Normal"/>
    <w:link w:val="FooterChar"/>
    <w:uiPriority w:val="99"/>
    <w:unhideWhenUsed/>
    <w:rsid w:val="008504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04FB"/>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072542">
      <w:bodyDiv w:val="1"/>
      <w:marLeft w:val="0"/>
      <w:marRight w:val="0"/>
      <w:marTop w:val="0"/>
      <w:marBottom w:val="0"/>
      <w:divBdr>
        <w:top w:val="none" w:sz="0" w:space="0" w:color="auto"/>
        <w:left w:val="none" w:sz="0" w:space="0" w:color="auto"/>
        <w:bottom w:val="none" w:sz="0" w:space="0" w:color="auto"/>
        <w:right w:val="none" w:sz="0" w:space="0" w:color="auto"/>
      </w:divBdr>
    </w:div>
    <w:div w:id="1018697633">
      <w:bodyDiv w:val="1"/>
      <w:marLeft w:val="0"/>
      <w:marRight w:val="0"/>
      <w:marTop w:val="0"/>
      <w:marBottom w:val="0"/>
      <w:divBdr>
        <w:top w:val="none" w:sz="0" w:space="0" w:color="auto"/>
        <w:left w:val="none" w:sz="0" w:space="0" w:color="auto"/>
        <w:bottom w:val="none" w:sz="0" w:space="0" w:color="auto"/>
        <w:right w:val="none" w:sz="0" w:space="0" w:color="auto"/>
      </w:divBdr>
    </w:div>
    <w:div w:id="1077895831">
      <w:bodyDiv w:val="1"/>
      <w:marLeft w:val="0"/>
      <w:marRight w:val="0"/>
      <w:marTop w:val="0"/>
      <w:marBottom w:val="0"/>
      <w:divBdr>
        <w:top w:val="none" w:sz="0" w:space="0" w:color="auto"/>
        <w:left w:val="none" w:sz="0" w:space="0" w:color="auto"/>
        <w:bottom w:val="none" w:sz="0" w:space="0" w:color="auto"/>
        <w:right w:val="none" w:sz="0" w:space="0" w:color="auto"/>
      </w:divBdr>
    </w:div>
    <w:div w:id="1306933727">
      <w:bodyDiv w:val="1"/>
      <w:marLeft w:val="0"/>
      <w:marRight w:val="0"/>
      <w:marTop w:val="0"/>
      <w:marBottom w:val="0"/>
      <w:divBdr>
        <w:top w:val="none" w:sz="0" w:space="0" w:color="auto"/>
        <w:left w:val="none" w:sz="0" w:space="0" w:color="auto"/>
        <w:bottom w:val="none" w:sz="0" w:space="0" w:color="auto"/>
        <w:right w:val="none" w:sz="0" w:space="0" w:color="auto"/>
      </w:divBdr>
    </w:div>
    <w:div w:id="1340235165">
      <w:bodyDiv w:val="1"/>
      <w:marLeft w:val="0"/>
      <w:marRight w:val="0"/>
      <w:marTop w:val="0"/>
      <w:marBottom w:val="0"/>
      <w:divBdr>
        <w:top w:val="none" w:sz="0" w:space="0" w:color="auto"/>
        <w:left w:val="none" w:sz="0" w:space="0" w:color="auto"/>
        <w:bottom w:val="none" w:sz="0" w:space="0" w:color="auto"/>
        <w:right w:val="none" w:sz="0" w:space="0" w:color="auto"/>
      </w:divBdr>
    </w:div>
    <w:div w:id="1510758730">
      <w:bodyDiv w:val="1"/>
      <w:marLeft w:val="0"/>
      <w:marRight w:val="0"/>
      <w:marTop w:val="0"/>
      <w:marBottom w:val="0"/>
      <w:divBdr>
        <w:top w:val="none" w:sz="0" w:space="0" w:color="auto"/>
        <w:left w:val="none" w:sz="0" w:space="0" w:color="auto"/>
        <w:bottom w:val="none" w:sz="0" w:space="0" w:color="auto"/>
        <w:right w:val="none" w:sz="0" w:space="0" w:color="auto"/>
      </w:divBdr>
    </w:div>
    <w:div w:id="16722212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ED780F7FB0E405183563249A1FC04FD"/>
        <w:category>
          <w:name w:val="General"/>
          <w:gallery w:val="placeholder"/>
        </w:category>
        <w:types>
          <w:type w:val="bbPlcHdr"/>
        </w:types>
        <w:behaviors>
          <w:behavior w:val="content"/>
        </w:behaviors>
        <w:guid w:val="{95926731-C4DE-46F6-99C1-A6950722F8B7}"/>
      </w:docPartPr>
      <w:docPartBody>
        <w:p w:rsidR="005F5080" w:rsidRDefault="00DE6100" w:rsidP="00DE6100">
          <w:pPr>
            <w:pStyle w:val="AED780F7FB0E405183563249A1FC04FD"/>
          </w:pPr>
          <w:r>
            <w:rPr>
              <w:rFonts w:asciiTheme="majorHAnsi" w:eastAsiaTheme="majorEastAsia" w:hAnsiTheme="majorHAnsi" w:cstheme="majorBidi"/>
              <w:color w:val="4472C4" w:themeColor="accent1"/>
              <w:sz w:val="88"/>
              <w:szCs w:val="88"/>
            </w:rPr>
            <w:t>[Document title]</w:t>
          </w:r>
        </w:p>
      </w:docPartBody>
    </w:docPart>
    <w:docPart>
      <w:docPartPr>
        <w:name w:val="CC1A19B591874E6DBE62D41BC1868F8C"/>
        <w:category>
          <w:name w:val="General"/>
          <w:gallery w:val="placeholder"/>
        </w:category>
        <w:types>
          <w:type w:val="bbPlcHdr"/>
        </w:types>
        <w:behaviors>
          <w:behavior w:val="content"/>
        </w:behaviors>
        <w:guid w:val="{D2B27CC1-CEB4-4087-B727-6BEDF06D4A62}"/>
      </w:docPartPr>
      <w:docPartBody>
        <w:p w:rsidR="005F5080" w:rsidRDefault="00DE6100" w:rsidP="00DE6100">
          <w:pPr>
            <w:pStyle w:val="CC1A19B591874E6DBE62D41BC1868F8C"/>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100"/>
    <w:rsid w:val="000D6564"/>
    <w:rsid w:val="005F5080"/>
    <w:rsid w:val="00DE61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D780F7FB0E405183563249A1FC04FD">
    <w:name w:val="AED780F7FB0E405183563249A1FC04FD"/>
    <w:rsid w:val="00DE6100"/>
  </w:style>
  <w:style w:type="paragraph" w:customStyle="1" w:styleId="CC1A19B591874E6DBE62D41BC1868F8C">
    <w:name w:val="CC1A19B591874E6DBE62D41BC1868F8C"/>
    <w:rsid w:val="00DE61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1202</Words>
  <Characters>6855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Causes &amp; Effects of Postnatal Depression</vt:lpstr>
    </vt:vector>
  </TitlesOfParts>
  <Company/>
  <LinksUpToDate>false</LinksUpToDate>
  <CharactersWithSpaces>8041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Paper</dc:title>
  <dc:subject/>
  <dc:creator>Aqsa Butt - 1914939</dc:creator>
  <cp:keywords/>
  <dc:description/>
  <cp:lastModifiedBy>Mamoona Butt</cp:lastModifiedBy>
  <cp:revision>4</cp:revision>
  <dcterms:created xsi:type="dcterms:W3CDTF">2021-08-04T22:52:00Z</dcterms:created>
  <dcterms:modified xsi:type="dcterms:W3CDTF">2021-08-05T11:54:00Z</dcterms:modified>
</cp:coreProperties>
</file>