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CF95F" w14:textId="1FD05CC2" w:rsidR="00DB1083" w:rsidRPr="00DB1083" w:rsidRDefault="00DB1083" w:rsidP="00DB1083">
      <w:pPr>
        <w:tabs>
          <w:tab w:val="left" w:pos="2347"/>
        </w:tabs>
        <w:spacing w:line="259" w:lineRule="auto"/>
        <w:jc w:val="left"/>
        <w:rPr>
          <w:rFonts w:cs="Arial"/>
          <w:color w:val="auto"/>
          <w:sz w:val="36"/>
          <w:szCs w:val="40"/>
        </w:rPr>
      </w:pPr>
    </w:p>
    <w:p w14:paraId="3813279D" w14:textId="178332B4" w:rsidR="006A0391" w:rsidRPr="00DB1083" w:rsidRDefault="00DB1083" w:rsidP="00DB1083">
      <w:pPr>
        <w:spacing w:line="259" w:lineRule="auto"/>
        <w:jc w:val="center"/>
        <w:rPr>
          <w:b/>
          <w:sz w:val="36"/>
          <w:szCs w:val="40"/>
        </w:rPr>
      </w:pPr>
      <w:r w:rsidRPr="00DB1083">
        <w:rPr>
          <w:b/>
          <w:sz w:val="36"/>
          <w:szCs w:val="40"/>
        </w:rPr>
        <w:t>BA Business Management</w:t>
      </w:r>
    </w:p>
    <w:p w14:paraId="5A5B9051" w14:textId="5DD36025" w:rsidR="00DB1083" w:rsidRPr="00DB1083" w:rsidRDefault="00DB1083" w:rsidP="00DB1083">
      <w:pPr>
        <w:spacing w:line="259" w:lineRule="auto"/>
        <w:jc w:val="center"/>
        <w:rPr>
          <w:b/>
          <w:sz w:val="36"/>
          <w:szCs w:val="40"/>
        </w:rPr>
      </w:pPr>
      <w:r w:rsidRPr="00DB1083">
        <w:rPr>
          <w:b/>
          <w:sz w:val="36"/>
          <w:szCs w:val="40"/>
        </w:rPr>
        <w:t>Management Economics</w:t>
      </w:r>
    </w:p>
    <w:p w14:paraId="1FE8DDB6" w14:textId="1CA98FB6" w:rsidR="00DB1083" w:rsidRDefault="00DB1083" w:rsidP="00DB1083">
      <w:pPr>
        <w:spacing w:line="259" w:lineRule="auto"/>
        <w:jc w:val="center"/>
        <w:rPr>
          <w:b/>
          <w:sz w:val="36"/>
          <w:szCs w:val="40"/>
        </w:rPr>
      </w:pPr>
      <w:r w:rsidRPr="00DB1083">
        <w:rPr>
          <w:b/>
          <w:sz w:val="36"/>
          <w:szCs w:val="40"/>
        </w:rPr>
        <w:t>Assessment Component 1: Individual Essay</w:t>
      </w:r>
    </w:p>
    <w:p w14:paraId="2E838B47" w14:textId="28798E1B" w:rsidR="00550477" w:rsidRDefault="00550477" w:rsidP="00DB1083">
      <w:pPr>
        <w:spacing w:line="259" w:lineRule="auto"/>
        <w:jc w:val="center"/>
        <w:rPr>
          <w:b/>
          <w:sz w:val="36"/>
          <w:szCs w:val="40"/>
        </w:rPr>
      </w:pPr>
      <w:r>
        <w:rPr>
          <w:b/>
          <w:sz w:val="36"/>
          <w:szCs w:val="40"/>
        </w:rPr>
        <w:t>Lecturer name: Khai Le</w:t>
      </w:r>
    </w:p>
    <w:p w14:paraId="1C8160BC" w14:textId="30457643" w:rsidR="00550477" w:rsidRDefault="00550477" w:rsidP="00DB1083">
      <w:pPr>
        <w:spacing w:line="259" w:lineRule="auto"/>
        <w:jc w:val="center"/>
        <w:rPr>
          <w:b/>
          <w:sz w:val="36"/>
          <w:szCs w:val="40"/>
        </w:rPr>
      </w:pPr>
      <w:r>
        <w:rPr>
          <w:b/>
          <w:sz w:val="36"/>
          <w:szCs w:val="40"/>
        </w:rPr>
        <w:t xml:space="preserve">Student name: Florina Madalina </w:t>
      </w:r>
      <w:proofErr w:type="spellStart"/>
      <w:r>
        <w:rPr>
          <w:b/>
          <w:sz w:val="36"/>
          <w:szCs w:val="40"/>
        </w:rPr>
        <w:t>Gugoi</w:t>
      </w:r>
      <w:proofErr w:type="spellEnd"/>
    </w:p>
    <w:p w14:paraId="111ACDEE" w14:textId="56ECEE79" w:rsidR="00550477" w:rsidRPr="00DB1083" w:rsidRDefault="00550477" w:rsidP="00DB1083">
      <w:pPr>
        <w:spacing w:line="259" w:lineRule="auto"/>
        <w:jc w:val="center"/>
        <w:rPr>
          <w:b/>
          <w:sz w:val="36"/>
          <w:szCs w:val="40"/>
        </w:rPr>
      </w:pPr>
      <w:r>
        <w:rPr>
          <w:b/>
          <w:sz w:val="36"/>
          <w:szCs w:val="40"/>
        </w:rPr>
        <w:t>Student ID:2111163</w:t>
      </w:r>
    </w:p>
    <w:p w14:paraId="2FFB0745" w14:textId="0982BACA" w:rsidR="00DB1083" w:rsidRPr="00DB1083" w:rsidRDefault="00DB1083">
      <w:pPr>
        <w:spacing w:after="160" w:line="259" w:lineRule="auto"/>
        <w:jc w:val="left"/>
        <w:rPr>
          <w:b/>
          <w:sz w:val="36"/>
          <w:szCs w:val="40"/>
        </w:rPr>
      </w:pPr>
      <w:r w:rsidRPr="00DB1083">
        <w:rPr>
          <w:b/>
          <w:sz w:val="36"/>
          <w:szCs w:val="40"/>
        </w:rPr>
        <w:br w:type="page"/>
      </w:r>
    </w:p>
    <w:p w14:paraId="0547558C" w14:textId="77777777" w:rsidR="00DB1083" w:rsidRPr="00DA27E6" w:rsidRDefault="00DB1083" w:rsidP="00D302BB">
      <w:pPr>
        <w:spacing w:line="259" w:lineRule="auto"/>
        <w:jc w:val="left"/>
        <w:rPr>
          <w:rFonts w:eastAsiaTheme="majorEastAsia" w:cs="Arial"/>
          <w:b/>
          <w:color w:val="auto"/>
          <w:kern w:val="0"/>
          <w:sz w:val="28"/>
          <w:szCs w:val="32"/>
          <w:lang w:eastAsia="zh-CN"/>
          <w14:ligatures w14:val="none"/>
        </w:rPr>
      </w:pPr>
    </w:p>
    <w:sdt>
      <w:sdtPr>
        <w:rPr>
          <w:rFonts w:ascii="Arial" w:eastAsiaTheme="minorHAnsi" w:hAnsi="Arial" w:cs="Arial"/>
          <w:color w:val="auto"/>
          <w:kern w:val="2"/>
          <w:sz w:val="22"/>
          <w:szCs w:val="24"/>
          <w:lang w:val="en-GB"/>
          <w14:ligatures w14:val="standardContextual"/>
        </w:rPr>
        <w:id w:val="1547645550"/>
        <w:docPartObj>
          <w:docPartGallery w:val="Table of Contents"/>
          <w:docPartUnique/>
        </w:docPartObj>
      </w:sdtPr>
      <w:sdtEndPr>
        <w:rPr>
          <w:b/>
          <w:bCs/>
          <w:noProof/>
        </w:rPr>
      </w:sdtEndPr>
      <w:sdtContent>
        <w:p w14:paraId="51E37C23" w14:textId="77777777" w:rsidR="00AF15DF" w:rsidRPr="00DA27E6" w:rsidRDefault="00000000" w:rsidP="00D302BB">
          <w:pPr>
            <w:pStyle w:val="TOCHeading"/>
            <w:spacing w:before="0" w:line="360" w:lineRule="auto"/>
            <w:rPr>
              <w:rFonts w:ascii="Arial" w:hAnsi="Arial" w:cs="Arial"/>
              <w:b/>
              <w:bCs/>
              <w:color w:val="auto"/>
              <w:sz w:val="28"/>
              <w:szCs w:val="28"/>
            </w:rPr>
          </w:pPr>
          <w:r w:rsidRPr="00DA27E6">
            <w:rPr>
              <w:rFonts w:ascii="Arial" w:hAnsi="Arial" w:cs="Arial"/>
              <w:b/>
              <w:bCs/>
              <w:color w:val="auto"/>
              <w:sz w:val="28"/>
              <w:szCs w:val="28"/>
            </w:rPr>
            <w:t>Table of Contents</w:t>
          </w:r>
        </w:p>
        <w:p w14:paraId="70F1ACA0" w14:textId="3D72B95A" w:rsidR="00DA27E6" w:rsidRPr="00DA27E6" w:rsidRDefault="00000000" w:rsidP="00DA27E6">
          <w:pPr>
            <w:pStyle w:val="TOC1"/>
            <w:tabs>
              <w:tab w:val="right" w:leader="dot" w:pos="9016"/>
            </w:tabs>
            <w:spacing w:after="0"/>
            <w:rPr>
              <w:rFonts w:asciiTheme="minorHAnsi" w:eastAsiaTheme="minorEastAsia" w:hAnsiTheme="minorHAnsi"/>
              <w:noProof/>
              <w:color w:val="auto"/>
              <w:sz w:val="24"/>
              <w:lang w:eastAsia="zh-CN"/>
            </w:rPr>
          </w:pPr>
          <w:r w:rsidRPr="00DA27E6">
            <w:rPr>
              <w:rFonts w:cs="Arial"/>
              <w:color w:val="auto"/>
            </w:rPr>
            <w:fldChar w:fldCharType="begin"/>
          </w:r>
          <w:r w:rsidRPr="00DA27E6">
            <w:rPr>
              <w:rFonts w:cs="Arial"/>
              <w:color w:val="auto"/>
            </w:rPr>
            <w:instrText xml:space="preserve"> TOC \o "1-3" \h \z \u </w:instrText>
          </w:r>
          <w:r w:rsidRPr="00DA27E6">
            <w:rPr>
              <w:rFonts w:cs="Arial"/>
              <w:color w:val="auto"/>
            </w:rPr>
            <w:fldChar w:fldCharType="separate"/>
          </w:r>
          <w:hyperlink w:anchor="_Toc179725944" w:history="1">
            <w:r w:rsidR="00DA27E6" w:rsidRPr="00DA27E6">
              <w:rPr>
                <w:rStyle w:val="Hyperlink"/>
                <w:rFonts w:cs="Arial"/>
                <w:noProof/>
                <w:color w:val="auto"/>
              </w:rPr>
              <w:t>Introduction:</w:t>
            </w:r>
            <w:r w:rsidR="00DA27E6" w:rsidRPr="00DA27E6">
              <w:rPr>
                <w:noProof/>
                <w:webHidden/>
                <w:color w:val="auto"/>
              </w:rPr>
              <w:tab/>
            </w:r>
            <w:r w:rsidR="00DA27E6" w:rsidRPr="00DA27E6">
              <w:rPr>
                <w:noProof/>
                <w:webHidden/>
                <w:color w:val="auto"/>
              </w:rPr>
              <w:fldChar w:fldCharType="begin"/>
            </w:r>
            <w:r w:rsidR="00DA27E6" w:rsidRPr="00DA27E6">
              <w:rPr>
                <w:noProof/>
                <w:webHidden/>
                <w:color w:val="auto"/>
              </w:rPr>
              <w:instrText xml:space="preserve"> PAGEREF _Toc179725944 \h </w:instrText>
            </w:r>
            <w:r w:rsidR="00DA27E6" w:rsidRPr="00DA27E6">
              <w:rPr>
                <w:noProof/>
                <w:webHidden/>
                <w:color w:val="auto"/>
              </w:rPr>
            </w:r>
            <w:r w:rsidR="00DA27E6" w:rsidRPr="00DA27E6">
              <w:rPr>
                <w:noProof/>
                <w:webHidden/>
                <w:color w:val="auto"/>
              </w:rPr>
              <w:fldChar w:fldCharType="separate"/>
            </w:r>
            <w:r w:rsidR="00DA27E6" w:rsidRPr="00DA27E6">
              <w:rPr>
                <w:noProof/>
                <w:webHidden/>
                <w:color w:val="auto"/>
              </w:rPr>
              <w:t>3</w:t>
            </w:r>
            <w:r w:rsidR="00DA27E6" w:rsidRPr="00DA27E6">
              <w:rPr>
                <w:noProof/>
                <w:webHidden/>
                <w:color w:val="auto"/>
              </w:rPr>
              <w:fldChar w:fldCharType="end"/>
            </w:r>
          </w:hyperlink>
        </w:p>
        <w:p w14:paraId="02787163" w14:textId="27672A6F"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45" w:history="1">
            <w:r w:rsidRPr="00DA27E6">
              <w:rPr>
                <w:rStyle w:val="Hyperlink"/>
                <w:rFonts w:cs="Arial"/>
                <w:noProof/>
                <w:color w:val="auto"/>
              </w:rPr>
              <w:t>Industry Overview:</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_Toc179725945 \h </w:instrText>
            </w:r>
            <w:r w:rsidRPr="00DA27E6">
              <w:rPr>
                <w:noProof/>
                <w:webHidden/>
                <w:color w:val="auto"/>
              </w:rPr>
            </w:r>
            <w:r w:rsidRPr="00DA27E6">
              <w:rPr>
                <w:noProof/>
                <w:webHidden/>
                <w:color w:val="auto"/>
              </w:rPr>
              <w:fldChar w:fldCharType="separate"/>
            </w:r>
            <w:r w:rsidRPr="00DA27E6">
              <w:rPr>
                <w:noProof/>
                <w:webHidden/>
                <w:color w:val="auto"/>
              </w:rPr>
              <w:t>3</w:t>
            </w:r>
            <w:r w:rsidRPr="00DA27E6">
              <w:rPr>
                <w:noProof/>
                <w:webHidden/>
                <w:color w:val="auto"/>
              </w:rPr>
              <w:fldChar w:fldCharType="end"/>
            </w:r>
          </w:hyperlink>
        </w:p>
        <w:p w14:paraId="61A28ECC" w14:textId="69AE923C"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46" w:history="1">
            <w:r w:rsidRPr="00DA27E6">
              <w:rPr>
                <w:rStyle w:val="Hyperlink"/>
                <w:rFonts w:cs="Arial"/>
                <w:noProof/>
                <w:color w:val="auto"/>
              </w:rPr>
              <w:t>Current State of the UK Mobile Network Industry:</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_Toc179725946 \h </w:instrText>
            </w:r>
            <w:r w:rsidRPr="00DA27E6">
              <w:rPr>
                <w:noProof/>
                <w:webHidden/>
                <w:color w:val="auto"/>
              </w:rPr>
            </w:r>
            <w:r w:rsidRPr="00DA27E6">
              <w:rPr>
                <w:noProof/>
                <w:webHidden/>
                <w:color w:val="auto"/>
              </w:rPr>
              <w:fldChar w:fldCharType="separate"/>
            </w:r>
            <w:r w:rsidRPr="00DA27E6">
              <w:rPr>
                <w:noProof/>
                <w:webHidden/>
                <w:color w:val="auto"/>
              </w:rPr>
              <w:t>3</w:t>
            </w:r>
            <w:r w:rsidRPr="00DA27E6">
              <w:rPr>
                <w:noProof/>
                <w:webHidden/>
                <w:color w:val="auto"/>
              </w:rPr>
              <w:fldChar w:fldCharType="end"/>
            </w:r>
          </w:hyperlink>
        </w:p>
        <w:p w14:paraId="344D0BEB" w14:textId="4CA305C6"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47" w:history="1">
            <w:r w:rsidRPr="00DA27E6">
              <w:rPr>
                <w:rStyle w:val="Hyperlink"/>
                <w:rFonts w:cs="Arial"/>
                <w:noProof/>
                <w:color w:val="auto"/>
              </w:rPr>
              <w:t>Key Players and Market Share:</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_Toc179725947 \h </w:instrText>
            </w:r>
            <w:r w:rsidRPr="00DA27E6">
              <w:rPr>
                <w:noProof/>
                <w:webHidden/>
                <w:color w:val="auto"/>
              </w:rPr>
            </w:r>
            <w:r w:rsidRPr="00DA27E6">
              <w:rPr>
                <w:noProof/>
                <w:webHidden/>
                <w:color w:val="auto"/>
              </w:rPr>
              <w:fldChar w:fldCharType="separate"/>
            </w:r>
            <w:r w:rsidRPr="00DA27E6">
              <w:rPr>
                <w:noProof/>
                <w:webHidden/>
                <w:color w:val="auto"/>
              </w:rPr>
              <w:t>3</w:t>
            </w:r>
            <w:r w:rsidRPr="00DA27E6">
              <w:rPr>
                <w:noProof/>
                <w:webHidden/>
                <w:color w:val="auto"/>
              </w:rPr>
              <w:fldChar w:fldCharType="end"/>
            </w:r>
          </w:hyperlink>
        </w:p>
        <w:p w14:paraId="0ACEFEC1" w14:textId="4D0FEFEF"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48" w:history="1">
            <w:r w:rsidRPr="00DA27E6">
              <w:rPr>
                <w:rStyle w:val="Hyperlink"/>
                <w:rFonts w:cs="Arial"/>
                <w:noProof/>
                <w:color w:val="auto"/>
              </w:rPr>
              <w:t>Recent Developments: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_Toc179725948 \h </w:instrText>
            </w:r>
            <w:r w:rsidRPr="00DA27E6">
              <w:rPr>
                <w:noProof/>
                <w:webHidden/>
                <w:color w:val="auto"/>
              </w:rPr>
            </w:r>
            <w:r w:rsidRPr="00DA27E6">
              <w:rPr>
                <w:noProof/>
                <w:webHidden/>
                <w:color w:val="auto"/>
              </w:rPr>
              <w:fldChar w:fldCharType="separate"/>
            </w:r>
            <w:r w:rsidRPr="00DA27E6">
              <w:rPr>
                <w:noProof/>
                <w:webHidden/>
                <w:color w:val="auto"/>
              </w:rPr>
              <w:t>3</w:t>
            </w:r>
            <w:r w:rsidRPr="00DA27E6">
              <w:rPr>
                <w:noProof/>
                <w:webHidden/>
                <w:color w:val="auto"/>
              </w:rPr>
              <w:fldChar w:fldCharType="end"/>
            </w:r>
          </w:hyperlink>
        </w:p>
        <w:p w14:paraId="420FF76C" w14:textId="67B12343"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49" w:history="1">
            <w:r w:rsidRPr="00DA27E6">
              <w:rPr>
                <w:rStyle w:val="Hyperlink"/>
                <w:rFonts w:cs="Arial"/>
                <w:noProof/>
                <w:color w:val="auto"/>
              </w:rPr>
              <w:t>Profit Maximisation Theory in the UK Mobile Network Industry</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_Toc179725949 \h </w:instrText>
            </w:r>
            <w:r w:rsidRPr="00DA27E6">
              <w:rPr>
                <w:noProof/>
                <w:webHidden/>
                <w:color w:val="auto"/>
              </w:rPr>
            </w:r>
            <w:r w:rsidRPr="00DA27E6">
              <w:rPr>
                <w:noProof/>
                <w:webHidden/>
                <w:color w:val="auto"/>
              </w:rPr>
              <w:fldChar w:fldCharType="separate"/>
            </w:r>
            <w:r w:rsidRPr="00DA27E6">
              <w:rPr>
                <w:noProof/>
                <w:webHidden/>
                <w:color w:val="auto"/>
              </w:rPr>
              <w:t>4</w:t>
            </w:r>
            <w:r w:rsidRPr="00DA27E6">
              <w:rPr>
                <w:noProof/>
                <w:webHidden/>
                <w:color w:val="auto"/>
              </w:rPr>
              <w:fldChar w:fldCharType="end"/>
            </w:r>
          </w:hyperlink>
        </w:p>
        <w:p w14:paraId="7993C4BF" w14:textId="179D35EB"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0" w:history="1">
            <w:r w:rsidRPr="00DA27E6">
              <w:rPr>
                <w:rStyle w:val="Hyperlink"/>
                <w:rFonts w:cs="Arial"/>
                <w:noProof/>
                <w:color w:val="auto"/>
              </w:rPr>
              <w:t>Concept of profit Maximisation theory:</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_Toc179725950 \h </w:instrText>
            </w:r>
            <w:r w:rsidRPr="00DA27E6">
              <w:rPr>
                <w:noProof/>
                <w:webHidden/>
                <w:color w:val="auto"/>
              </w:rPr>
            </w:r>
            <w:r w:rsidRPr="00DA27E6">
              <w:rPr>
                <w:noProof/>
                <w:webHidden/>
                <w:color w:val="auto"/>
              </w:rPr>
              <w:fldChar w:fldCharType="separate"/>
            </w:r>
            <w:r w:rsidRPr="00DA27E6">
              <w:rPr>
                <w:noProof/>
                <w:webHidden/>
                <w:color w:val="auto"/>
              </w:rPr>
              <w:t>4</w:t>
            </w:r>
            <w:r w:rsidRPr="00DA27E6">
              <w:rPr>
                <w:noProof/>
                <w:webHidden/>
                <w:color w:val="auto"/>
              </w:rPr>
              <w:fldChar w:fldCharType="end"/>
            </w:r>
          </w:hyperlink>
        </w:p>
        <w:p w14:paraId="34EFBD69" w14:textId="21B65DD1"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1" w:history="1">
            <w:r w:rsidRPr="00DA27E6">
              <w:rPr>
                <w:rStyle w:val="Hyperlink"/>
                <w:rFonts w:cs="Arial"/>
                <w:noProof/>
                <w:color w:val="auto"/>
              </w:rPr>
              <w:t>Application to the UK Mobile Network Industry:</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_Toc179725951 \h </w:instrText>
            </w:r>
            <w:r w:rsidRPr="00DA27E6">
              <w:rPr>
                <w:noProof/>
                <w:webHidden/>
                <w:color w:val="auto"/>
              </w:rPr>
            </w:r>
            <w:r w:rsidRPr="00DA27E6">
              <w:rPr>
                <w:noProof/>
                <w:webHidden/>
                <w:color w:val="auto"/>
              </w:rPr>
              <w:fldChar w:fldCharType="separate"/>
            </w:r>
            <w:r w:rsidRPr="00DA27E6">
              <w:rPr>
                <w:noProof/>
                <w:webHidden/>
                <w:color w:val="auto"/>
              </w:rPr>
              <w:t>4</w:t>
            </w:r>
            <w:r w:rsidRPr="00DA27E6">
              <w:rPr>
                <w:noProof/>
                <w:webHidden/>
                <w:color w:val="auto"/>
              </w:rPr>
              <w:fldChar w:fldCharType="end"/>
            </w:r>
          </w:hyperlink>
        </w:p>
        <w:p w14:paraId="6C423FE1" w14:textId="0C203A97"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2" w:history="1">
            <w:r w:rsidRPr="00DA27E6">
              <w:rPr>
                <w:rStyle w:val="Hyperlink"/>
                <w:rFonts w:cs="Arial"/>
                <w:noProof/>
                <w:color w:val="auto"/>
              </w:rPr>
              <w:t>Limitations and considerations: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_Toc179725952 \h </w:instrText>
            </w:r>
            <w:r w:rsidRPr="00DA27E6">
              <w:rPr>
                <w:noProof/>
                <w:webHidden/>
                <w:color w:val="auto"/>
              </w:rPr>
            </w:r>
            <w:r w:rsidRPr="00DA27E6">
              <w:rPr>
                <w:noProof/>
                <w:webHidden/>
                <w:color w:val="auto"/>
              </w:rPr>
              <w:fldChar w:fldCharType="separate"/>
            </w:r>
            <w:r w:rsidRPr="00DA27E6">
              <w:rPr>
                <w:noProof/>
                <w:webHidden/>
                <w:color w:val="auto"/>
              </w:rPr>
              <w:t>4</w:t>
            </w:r>
            <w:r w:rsidRPr="00DA27E6">
              <w:rPr>
                <w:noProof/>
                <w:webHidden/>
                <w:color w:val="auto"/>
              </w:rPr>
              <w:fldChar w:fldCharType="end"/>
            </w:r>
          </w:hyperlink>
        </w:p>
        <w:p w14:paraId="449999AB" w14:textId="1740206B"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53" w:history="1">
            <w:r w:rsidRPr="00DA27E6">
              <w:rPr>
                <w:rStyle w:val="Hyperlink"/>
                <w:rFonts w:cs="Arial"/>
                <w:noProof/>
                <w:color w:val="auto"/>
              </w:rPr>
              <w:t>Challenges and Opportunities: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_Toc179725953 \h </w:instrText>
            </w:r>
            <w:r w:rsidRPr="00DA27E6">
              <w:rPr>
                <w:noProof/>
                <w:webHidden/>
                <w:color w:val="auto"/>
              </w:rPr>
            </w:r>
            <w:r w:rsidRPr="00DA27E6">
              <w:rPr>
                <w:noProof/>
                <w:webHidden/>
                <w:color w:val="auto"/>
              </w:rPr>
              <w:fldChar w:fldCharType="separate"/>
            </w:r>
            <w:r w:rsidRPr="00DA27E6">
              <w:rPr>
                <w:noProof/>
                <w:webHidden/>
                <w:color w:val="auto"/>
              </w:rPr>
              <w:t>5</w:t>
            </w:r>
            <w:r w:rsidRPr="00DA27E6">
              <w:rPr>
                <w:noProof/>
                <w:webHidden/>
                <w:color w:val="auto"/>
              </w:rPr>
              <w:fldChar w:fldCharType="end"/>
            </w:r>
          </w:hyperlink>
        </w:p>
        <w:p w14:paraId="53A90392" w14:textId="2236B114"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4" w:history="1">
            <w:r w:rsidRPr="00DA27E6">
              <w:rPr>
                <w:rStyle w:val="Hyperlink"/>
                <w:rFonts w:cs="Arial"/>
                <w:noProof/>
                <w:color w:val="auto"/>
              </w:rPr>
              <w:t>Challenges: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_Toc179725954 \h </w:instrText>
            </w:r>
            <w:r w:rsidRPr="00DA27E6">
              <w:rPr>
                <w:noProof/>
                <w:webHidden/>
                <w:color w:val="auto"/>
              </w:rPr>
            </w:r>
            <w:r w:rsidRPr="00DA27E6">
              <w:rPr>
                <w:noProof/>
                <w:webHidden/>
                <w:color w:val="auto"/>
              </w:rPr>
              <w:fldChar w:fldCharType="separate"/>
            </w:r>
            <w:r w:rsidRPr="00DA27E6">
              <w:rPr>
                <w:noProof/>
                <w:webHidden/>
                <w:color w:val="auto"/>
              </w:rPr>
              <w:t>5</w:t>
            </w:r>
            <w:r w:rsidRPr="00DA27E6">
              <w:rPr>
                <w:noProof/>
                <w:webHidden/>
                <w:color w:val="auto"/>
              </w:rPr>
              <w:fldChar w:fldCharType="end"/>
            </w:r>
          </w:hyperlink>
        </w:p>
        <w:p w14:paraId="15FAD8B3" w14:textId="2F809492"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5" w:history="1">
            <w:r w:rsidRPr="00DA27E6">
              <w:rPr>
                <w:rStyle w:val="Hyperlink"/>
                <w:rFonts w:cs="Arial"/>
                <w:noProof/>
                <w:color w:val="auto"/>
              </w:rPr>
              <w:t>Opportunities: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_Toc179725955 \h </w:instrText>
            </w:r>
            <w:r w:rsidRPr="00DA27E6">
              <w:rPr>
                <w:noProof/>
                <w:webHidden/>
                <w:color w:val="auto"/>
              </w:rPr>
            </w:r>
            <w:r w:rsidRPr="00DA27E6">
              <w:rPr>
                <w:noProof/>
                <w:webHidden/>
                <w:color w:val="auto"/>
              </w:rPr>
              <w:fldChar w:fldCharType="separate"/>
            </w:r>
            <w:r w:rsidRPr="00DA27E6">
              <w:rPr>
                <w:noProof/>
                <w:webHidden/>
                <w:color w:val="auto"/>
              </w:rPr>
              <w:t>6</w:t>
            </w:r>
            <w:r w:rsidRPr="00DA27E6">
              <w:rPr>
                <w:noProof/>
                <w:webHidden/>
                <w:color w:val="auto"/>
              </w:rPr>
              <w:fldChar w:fldCharType="end"/>
            </w:r>
          </w:hyperlink>
        </w:p>
        <w:p w14:paraId="53580AA4" w14:textId="01D3F712"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56" w:history="1">
            <w:r w:rsidRPr="00DA27E6">
              <w:rPr>
                <w:rStyle w:val="Hyperlink"/>
                <w:rFonts w:cs="Arial"/>
                <w:noProof/>
                <w:color w:val="auto"/>
              </w:rPr>
              <w:t>Economic theories and business environment analysis: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_Toc179725956 \h </w:instrText>
            </w:r>
            <w:r w:rsidRPr="00DA27E6">
              <w:rPr>
                <w:noProof/>
                <w:webHidden/>
                <w:color w:val="auto"/>
              </w:rPr>
            </w:r>
            <w:r w:rsidRPr="00DA27E6">
              <w:rPr>
                <w:noProof/>
                <w:webHidden/>
                <w:color w:val="auto"/>
              </w:rPr>
              <w:fldChar w:fldCharType="separate"/>
            </w:r>
            <w:r w:rsidRPr="00DA27E6">
              <w:rPr>
                <w:noProof/>
                <w:webHidden/>
                <w:color w:val="auto"/>
              </w:rPr>
              <w:t>6</w:t>
            </w:r>
            <w:r w:rsidRPr="00DA27E6">
              <w:rPr>
                <w:noProof/>
                <w:webHidden/>
                <w:color w:val="auto"/>
              </w:rPr>
              <w:fldChar w:fldCharType="end"/>
            </w:r>
          </w:hyperlink>
        </w:p>
        <w:p w14:paraId="739D1795" w14:textId="4775CFA1"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57" w:history="1">
            <w:r w:rsidRPr="00DA27E6">
              <w:rPr>
                <w:rStyle w:val="Hyperlink"/>
                <w:rFonts w:cs="Arial"/>
                <w:noProof/>
                <w:color w:val="auto"/>
              </w:rPr>
              <w:t>Demand and Supply Chain Analysis: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_Toc179725957 \h </w:instrText>
            </w:r>
            <w:r w:rsidRPr="00DA27E6">
              <w:rPr>
                <w:noProof/>
                <w:webHidden/>
                <w:color w:val="auto"/>
              </w:rPr>
            </w:r>
            <w:r w:rsidRPr="00DA27E6">
              <w:rPr>
                <w:noProof/>
                <w:webHidden/>
                <w:color w:val="auto"/>
              </w:rPr>
              <w:fldChar w:fldCharType="separate"/>
            </w:r>
            <w:r w:rsidRPr="00DA27E6">
              <w:rPr>
                <w:noProof/>
                <w:webHidden/>
                <w:color w:val="auto"/>
              </w:rPr>
              <w:t>6</w:t>
            </w:r>
            <w:r w:rsidRPr="00DA27E6">
              <w:rPr>
                <w:noProof/>
                <w:webHidden/>
                <w:color w:val="auto"/>
              </w:rPr>
              <w:fldChar w:fldCharType="end"/>
            </w:r>
          </w:hyperlink>
        </w:p>
        <w:p w14:paraId="6C9E9F72" w14:textId="0E60E1F7" w:rsidR="00DA27E6" w:rsidRPr="00DA27E6" w:rsidRDefault="00DA27E6" w:rsidP="00DA27E6">
          <w:pPr>
            <w:pStyle w:val="TOC3"/>
            <w:tabs>
              <w:tab w:val="right" w:leader="dot" w:pos="9016"/>
            </w:tabs>
            <w:spacing w:after="0"/>
            <w:rPr>
              <w:rFonts w:asciiTheme="minorHAnsi" w:eastAsiaTheme="minorEastAsia" w:hAnsiTheme="minorHAnsi"/>
              <w:noProof/>
              <w:color w:val="auto"/>
              <w:sz w:val="24"/>
              <w:lang w:eastAsia="zh-CN"/>
            </w:rPr>
          </w:pPr>
          <w:hyperlink w:anchor="_Toc179725958" w:history="1">
            <w:r w:rsidRPr="00DA27E6">
              <w:rPr>
                <w:rStyle w:val="Hyperlink"/>
                <w:rFonts w:cs="Arial"/>
                <w:noProof/>
                <w:color w:val="auto"/>
              </w:rPr>
              <w:t>Demand side analysis: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_Toc179725958 \h </w:instrText>
            </w:r>
            <w:r w:rsidRPr="00DA27E6">
              <w:rPr>
                <w:noProof/>
                <w:webHidden/>
                <w:color w:val="auto"/>
              </w:rPr>
            </w:r>
            <w:r w:rsidRPr="00DA27E6">
              <w:rPr>
                <w:noProof/>
                <w:webHidden/>
                <w:color w:val="auto"/>
              </w:rPr>
              <w:fldChar w:fldCharType="separate"/>
            </w:r>
            <w:r w:rsidRPr="00DA27E6">
              <w:rPr>
                <w:noProof/>
                <w:webHidden/>
                <w:color w:val="auto"/>
              </w:rPr>
              <w:t>6</w:t>
            </w:r>
            <w:r w:rsidRPr="00DA27E6">
              <w:rPr>
                <w:noProof/>
                <w:webHidden/>
                <w:color w:val="auto"/>
              </w:rPr>
              <w:fldChar w:fldCharType="end"/>
            </w:r>
          </w:hyperlink>
        </w:p>
        <w:p w14:paraId="1C57BD0C" w14:textId="5B614AF3" w:rsidR="00DA27E6" w:rsidRPr="00DA27E6" w:rsidRDefault="00DA27E6" w:rsidP="00DA27E6">
          <w:pPr>
            <w:pStyle w:val="TOC3"/>
            <w:tabs>
              <w:tab w:val="right" w:leader="dot" w:pos="9016"/>
            </w:tabs>
            <w:spacing w:after="0"/>
            <w:rPr>
              <w:rFonts w:asciiTheme="minorHAnsi" w:eastAsiaTheme="minorEastAsia" w:hAnsiTheme="minorHAnsi"/>
              <w:noProof/>
              <w:color w:val="auto"/>
              <w:sz w:val="24"/>
              <w:lang w:eastAsia="zh-CN"/>
            </w:rPr>
          </w:pPr>
          <w:hyperlink w:anchor="_Toc179725959" w:history="1">
            <w:r w:rsidRPr="00DA27E6">
              <w:rPr>
                <w:rStyle w:val="Hyperlink"/>
                <w:rFonts w:cs="Arial"/>
                <w:noProof/>
                <w:color w:val="auto"/>
              </w:rPr>
              <w:t>Supply-side analysis: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_Toc179725959 \h </w:instrText>
            </w:r>
            <w:r w:rsidRPr="00DA27E6">
              <w:rPr>
                <w:noProof/>
                <w:webHidden/>
                <w:color w:val="auto"/>
              </w:rPr>
            </w:r>
            <w:r w:rsidRPr="00DA27E6">
              <w:rPr>
                <w:noProof/>
                <w:webHidden/>
                <w:color w:val="auto"/>
              </w:rPr>
              <w:fldChar w:fldCharType="separate"/>
            </w:r>
            <w:r w:rsidRPr="00DA27E6">
              <w:rPr>
                <w:noProof/>
                <w:webHidden/>
                <w:color w:val="auto"/>
              </w:rPr>
              <w:t>7</w:t>
            </w:r>
            <w:r w:rsidRPr="00DA27E6">
              <w:rPr>
                <w:noProof/>
                <w:webHidden/>
                <w:color w:val="auto"/>
              </w:rPr>
              <w:fldChar w:fldCharType="end"/>
            </w:r>
          </w:hyperlink>
        </w:p>
        <w:p w14:paraId="6CFC26BC" w14:textId="341EF0BA"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60" w:history="1">
            <w:r w:rsidRPr="00DA27E6">
              <w:rPr>
                <w:rStyle w:val="Hyperlink"/>
                <w:rFonts w:cs="Arial"/>
                <w:noProof/>
                <w:color w:val="auto"/>
              </w:rPr>
              <w:t>Market Structure:</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_Toc179725960 \h </w:instrText>
            </w:r>
            <w:r w:rsidRPr="00DA27E6">
              <w:rPr>
                <w:noProof/>
                <w:webHidden/>
                <w:color w:val="auto"/>
              </w:rPr>
            </w:r>
            <w:r w:rsidRPr="00DA27E6">
              <w:rPr>
                <w:noProof/>
                <w:webHidden/>
                <w:color w:val="auto"/>
              </w:rPr>
              <w:fldChar w:fldCharType="separate"/>
            </w:r>
            <w:r w:rsidRPr="00DA27E6">
              <w:rPr>
                <w:noProof/>
                <w:webHidden/>
                <w:color w:val="auto"/>
              </w:rPr>
              <w:t>7</w:t>
            </w:r>
            <w:r w:rsidRPr="00DA27E6">
              <w:rPr>
                <w:noProof/>
                <w:webHidden/>
                <w:color w:val="auto"/>
              </w:rPr>
              <w:fldChar w:fldCharType="end"/>
            </w:r>
          </w:hyperlink>
        </w:p>
        <w:p w14:paraId="2066EF0A" w14:textId="1C9EC9BF"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61" w:history="1">
            <w:r w:rsidRPr="00DA27E6">
              <w:rPr>
                <w:rStyle w:val="Hyperlink"/>
                <w:rFonts w:cs="Arial"/>
                <w:noProof/>
                <w:color w:val="auto"/>
              </w:rPr>
              <w:t>Business Objectives: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_Toc179725961 \h </w:instrText>
            </w:r>
            <w:r w:rsidRPr="00DA27E6">
              <w:rPr>
                <w:noProof/>
                <w:webHidden/>
                <w:color w:val="auto"/>
              </w:rPr>
            </w:r>
            <w:r w:rsidRPr="00DA27E6">
              <w:rPr>
                <w:noProof/>
                <w:webHidden/>
                <w:color w:val="auto"/>
              </w:rPr>
              <w:fldChar w:fldCharType="separate"/>
            </w:r>
            <w:r w:rsidRPr="00DA27E6">
              <w:rPr>
                <w:noProof/>
                <w:webHidden/>
                <w:color w:val="auto"/>
              </w:rPr>
              <w:t>7</w:t>
            </w:r>
            <w:r w:rsidRPr="00DA27E6">
              <w:rPr>
                <w:noProof/>
                <w:webHidden/>
                <w:color w:val="auto"/>
              </w:rPr>
              <w:fldChar w:fldCharType="end"/>
            </w:r>
          </w:hyperlink>
        </w:p>
        <w:p w14:paraId="27ED061C" w14:textId="7AC03389"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62" w:history="1">
            <w:r w:rsidRPr="00DA27E6">
              <w:rPr>
                <w:rStyle w:val="Hyperlink"/>
                <w:rFonts w:cs="Arial"/>
                <w:noProof/>
                <w:color w:val="auto"/>
              </w:rPr>
              <w:t>Stakeholder Analysis: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_Toc179725962 \h </w:instrText>
            </w:r>
            <w:r w:rsidRPr="00DA27E6">
              <w:rPr>
                <w:noProof/>
                <w:webHidden/>
                <w:color w:val="auto"/>
              </w:rPr>
            </w:r>
            <w:r w:rsidRPr="00DA27E6">
              <w:rPr>
                <w:noProof/>
                <w:webHidden/>
                <w:color w:val="auto"/>
              </w:rPr>
              <w:fldChar w:fldCharType="separate"/>
            </w:r>
            <w:r w:rsidRPr="00DA27E6">
              <w:rPr>
                <w:noProof/>
                <w:webHidden/>
                <w:color w:val="auto"/>
              </w:rPr>
              <w:t>8</w:t>
            </w:r>
            <w:r w:rsidRPr="00DA27E6">
              <w:rPr>
                <w:noProof/>
                <w:webHidden/>
                <w:color w:val="auto"/>
              </w:rPr>
              <w:fldChar w:fldCharType="end"/>
            </w:r>
          </w:hyperlink>
        </w:p>
        <w:p w14:paraId="4B1031D8" w14:textId="6EDDA3E4" w:rsidR="00DA27E6" w:rsidRPr="00DA27E6" w:rsidRDefault="00DA27E6" w:rsidP="00DA27E6">
          <w:pPr>
            <w:pStyle w:val="TOC3"/>
            <w:tabs>
              <w:tab w:val="right" w:leader="dot" w:pos="9016"/>
            </w:tabs>
            <w:spacing w:after="0"/>
            <w:rPr>
              <w:rFonts w:asciiTheme="minorHAnsi" w:eastAsiaTheme="minorEastAsia" w:hAnsiTheme="minorHAnsi"/>
              <w:noProof/>
              <w:color w:val="auto"/>
              <w:sz w:val="24"/>
              <w:lang w:eastAsia="zh-CN"/>
            </w:rPr>
          </w:pPr>
          <w:hyperlink w:anchor="_Toc179725963" w:history="1">
            <w:r w:rsidRPr="00DA27E6">
              <w:rPr>
                <w:rStyle w:val="Hyperlink"/>
                <w:rFonts w:cs="Arial"/>
                <w:noProof/>
                <w:color w:val="auto"/>
              </w:rPr>
              <w:t>Balancing these stakeholders' interests involves: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_Toc179725963 \h </w:instrText>
            </w:r>
            <w:r w:rsidRPr="00DA27E6">
              <w:rPr>
                <w:noProof/>
                <w:webHidden/>
                <w:color w:val="auto"/>
              </w:rPr>
            </w:r>
            <w:r w:rsidRPr="00DA27E6">
              <w:rPr>
                <w:noProof/>
                <w:webHidden/>
                <w:color w:val="auto"/>
              </w:rPr>
              <w:fldChar w:fldCharType="separate"/>
            </w:r>
            <w:r w:rsidRPr="00DA27E6">
              <w:rPr>
                <w:noProof/>
                <w:webHidden/>
                <w:color w:val="auto"/>
              </w:rPr>
              <w:t>9</w:t>
            </w:r>
            <w:r w:rsidRPr="00DA27E6">
              <w:rPr>
                <w:noProof/>
                <w:webHidden/>
                <w:color w:val="auto"/>
              </w:rPr>
              <w:fldChar w:fldCharType="end"/>
            </w:r>
          </w:hyperlink>
        </w:p>
        <w:p w14:paraId="475504DC" w14:textId="52AFEB47" w:rsidR="00DA27E6" w:rsidRPr="00DA27E6" w:rsidRDefault="00DA27E6" w:rsidP="00DA27E6">
          <w:pPr>
            <w:pStyle w:val="TOC2"/>
            <w:tabs>
              <w:tab w:val="right" w:leader="dot" w:pos="9016"/>
            </w:tabs>
            <w:spacing w:after="0"/>
            <w:rPr>
              <w:rFonts w:asciiTheme="minorHAnsi" w:eastAsiaTheme="minorEastAsia" w:hAnsiTheme="minorHAnsi"/>
              <w:noProof/>
              <w:color w:val="auto"/>
              <w:sz w:val="24"/>
              <w:lang w:eastAsia="zh-CN"/>
            </w:rPr>
          </w:pPr>
          <w:hyperlink w:anchor="_Toc179725964" w:history="1">
            <w:r w:rsidRPr="00DA27E6">
              <w:rPr>
                <w:rStyle w:val="Hyperlink"/>
                <w:rFonts w:cs="Arial"/>
                <w:noProof/>
                <w:color w:val="auto"/>
              </w:rPr>
              <w:t>Sustainable growth strategies: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_Toc179725964 \h </w:instrText>
            </w:r>
            <w:r w:rsidRPr="00DA27E6">
              <w:rPr>
                <w:noProof/>
                <w:webHidden/>
                <w:color w:val="auto"/>
              </w:rPr>
            </w:r>
            <w:r w:rsidRPr="00DA27E6">
              <w:rPr>
                <w:noProof/>
                <w:webHidden/>
                <w:color w:val="auto"/>
              </w:rPr>
              <w:fldChar w:fldCharType="separate"/>
            </w:r>
            <w:r w:rsidRPr="00DA27E6">
              <w:rPr>
                <w:noProof/>
                <w:webHidden/>
                <w:color w:val="auto"/>
              </w:rPr>
              <w:t>9</w:t>
            </w:r>
            <w:r w:rsidRPr="00DA27E6">
              <w:rPr>
                <w:noProof/>
                <w:webHidden/>
                <w:color w:val="auto"/>
              </w:rPr>
              <w:fldChar w:fldCharType="end"/>
            </w:r>
          </w:hyperlink>
        </w:p>
        <w:p w14:paraId="23A83A26" w14:textId="172A9C49"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65" w:history="1">
            <w:r w:rsidRPr="00DA27E6">
              <w:rPr>
                <w:rStyle w:val="Hyperlink"/>
                <w:rFonts w:cs="Arial"/>
                <w:noProof/>
                <w:color w:val="auto"/>
              </w:rPr>
              <w:t>Recommendations: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_Toc179725965 \h </w:instrText>
            </w:r>
            <w:r w:rsidRPr="00DA27E6">
              <w:rPr>
                <w:noProof/>
                <w:webHidden/>
                <w:color w:val="auto"/>
              </w:rPr>
            </w:r>
            <w:r w:rsidRPr="00DA27E6">
              <w:rPr>
                <w:noProof/>
                <w:webHidden/>
                <w:color w:val="auto"/>
              </w:rPr>
              <w:fldChar w:fldCharType="separate"/>
            </w:r>
            <w:r w:rsidRPr="00DA27E6">
              <w:rPr>
                <w:noProof/>
                <w:webHidden/>
                <w:color w:val="auto"/>
              </w:rPr>
              <w:t>9</w:t>
            </w:r>
            <w:r w:rsidRPr="00DA27E6">
              <w:rPr>
                <w:noProof/>
                <w:webHidden/>
                <w:color w:val="auto"/>
              </w:rPr>
              <w:fldChar w:fldCharType="end"/>
            </w:r>
          </w:hyperlink>
        </w:p>
        <w:p w14:paraId="07CB8F90" w14:textId="0DAA3526"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66" w:history="1">
            <w:r w:rsidRPr="00DA27E6">
              <w:rPr>
                <w:rStyle w:val="Hyperlink"/>
                <w:rFonts w:cs="Arial"/>
                <w:noProof/>
                <w:color w:val="auto"/>
              </w:rPr>
              <w:t>Conclusion:</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_Toc179725966 \h </w:instrText>
            </w:r>
            <w:r w:rsidRPr="00DA27E6">
              <w:rPr>
                <w:noProof/>
                <w:webHidden/>
                <w:color w:val="auto"/>
              </w:rPr>
            </w:r>
            <w:r w:rsidRPr="00DA27E6">
              <w:rPr>
                <w:noProof/>
                <w:webHidden/>
                <w:color w:val="auto"/>
              </w:rPr>
              <w:fldChar w:fldCharType="separate"/>
            </w:r>
            <w:r w:rsidRPr="00DA27E6">
              <w:rPr>
                <w:noProof/>
                <w:webHidden/>
                <w:color w:val="auto"/>
              </w:rPr>
              <w:t>10</w:t>
            </w:r>
            <w:r w:rsidRPr="00DA27E6">
              <w:rPr>
                <w:noProof/>
                <w:webHidden/>
                <w:color w:val="auto"/>
              </w:rPr>
              <w:fldChar w:fldCharType="end"/>
            </w:r>
          </w:hyperlink>
        </w:p>
        <w:p w14:paraId="274F2CEE" w14:textId="641DC0B3" w:rsidR="00DA27E6" w:rsidRPr="00DA27E6" w:rsidRDefault="00DA27E6" w:rsidP="00DA27E6">
          <w:pPr>
            <w:pStyle w:val="TOC1"/>
            <w:tabs>
              <w:tab w:val="right" w:leader="dot" w:pos="9016"/>
            </w:tabs>
            <w:spacing w:after="0"/>
            <w:rPr>
              <w:rFonts w:asciiTheme="minorHAnsi" w:eastAsiaTheme="minorEastAsia" w:hAnsiTheme="minorHAnsi"/>
              <w:noProof/>
              <w:color w:val="auto"/>
              <w:sz w:val="24"/>
              <w:lang w:eastAsia="zh-CN"/>
            </w:rPr>
          </w:pPr>
          <w:hyperlink w:anchor="_Toc179725967" w:history="1">
            <w:r w:rsidRPr="00DA27E6">
              <w:rPr>
                <w:rStyle w:val="Hyperlink"/>
                <w:rFonts w:cs="Arial"/>
                <w:noProof/>
                <w:color w:val="auto"/>
              </w:rPr>
              <w:t>References:</w:t>
            </w:r>
            <w:r w:rsidRPr="00DA27E6">
              <w:rPr>
                <w:noProof/>
                <w:webHidden/>
                <w:color w:val="auto"/>
              </w:rPr>
              <w:tab/>
            </w:r>
            <w:r w:rsidRPr="00DA27E6">
              <w:rPr>
                <w:noProof/>
                <w:webHidden/>
                <w:color w:val="auto"/>
              </w:rPr>
              <w:fldChar w:fldCharType="begin"/>
            </w:r>
            <w:r w:rsidRPr="00DA27E6">
              <w:rPr>
                <w:noProof/>
                <w:webHidden/>
                <w:color w:val="auto"/>
              </w:rPr>
              <w:instrText xml:space="preserve"> PAGEREF _Toc179725967 \h </w:instrText>
            </w:r>
            <w:r w:rsidRPr="00DA27E6">
              <w:rPr>
                <w:noProof/>
                <w:webHidden/>
                <w:color w:val="auto"/>
              </w:rPr>
            </w:r>
            <w:r w:rsidRPr="00DA27E6">
              <w:rPr>
                <w:noProof/>
                <w:webHidden/>
                <w:color w:val="auto"/>
              </w:rPr>
              <w:fldChar w:fldCharType="separate"/>
            </w:r>
            <w:r w:rsidRPr="00DA27E6">
              <w:rPr>
                <w:noProof/>
                <w:webHidden/>
                <w:color w:val="auto"/>
              </w:rPr>
              <w:t>11</w:t>
            </w:r>
            <w:r w:rsidRPr="00DA27E6">
              <w:rPr>
                <w:noProof/>
                <w:webHidden/>
                <w:color w:val="auto"/>
              </w:rPr>
              <w:fldChar w:fldCharType="end"/>
            </w:r>
          </w:hyperlink>
        </w:p>
        <w:p w14:paraId="24AE0847" w14:textId="237B60FB" w:rsidR="00AF15DF" w:rsidRPr="00DA27E6" w:rsidRDefault="00000000" w:rsidP="00D302BB">
          <w:pPr>
            <w:rPr>
              <w:rFonts w:cs="Arial"/>
              <w:color w:val="auto"/>
            </w:rPr>
          </w:pPr>
          <w:r w:rsidRPr="00DA27E6">
            <w:rPr>
              <w:rFonts w:cs="Arial"/>
              <w:b/>
              <w:bCs/>
              <w:noProof/>
              <w:color w:val="auto"/>
            </w:rPr>
            <w:fldChar w:fldCharType="end"/>
          </w:r>
        </w:p>
      </w:sdtContent>
    </w:sdt>
    <w:p w14:paraId="43805C57" w14:textId="77777777" w:rsidR="00AF15DF" w:rsidRPr="00DA27E6" w:rsidRDefault="00000000" w:rsidP="00D302BB">
      <w:pPr>
        <w:jc w:val="left"/>
        <w:rPr>
          <w:rFonts w:cs="Arial"/>
          <w:b/>
          <w:bCs/>
          <w:color w:val="auto"/>
        </w:rPr>
      </w:pPr>
      <w:r w:rsidRPr="00DA27E6">
        <w:rPr>
          <w:rFonts w:cs="Arial"/>
          <w:b/>
          <w:bCs/>
          <w:color w:val="auto"/>
          <w:sz w:val="28"/>
          <w:szCs w:val="32"/>
        </w:rPr>
        <w:t>List of figures:</w:t>
      </w:r>
    </w:p>
    <w:p w14:paraId="2E635990" w14:textId="77777777" w:rsidR="00B64E57" w:rsidRPr="00DA27E6" w:rsidRDefault="00000000">
      <w:pPr>
        <w:pStyle w:val="TableofFigures"/>
        <w:tabs>
          <w:tab w:val="right" w:leader="dot" w:pos="9016"/>
        </w:tabs>
        <w:rPr>
          <w:rFonts w:asciiTheme="minorHAnsi" w:eastAsiaTheme="minorEastAsia" w:hAnsiTheme="minorHAnsi"/>
          <w:bCs/>
          <w:noProof/>
          <w:color w:val="auto"/>
          <w:sz w:val="24"/>
          <w:lang w:eastAsia="zh-CN"/>
        </w:rPr>
      </w:pPr>
      <w:r w:rsidRPr="00DA27E6">
        <w:rPr>
          <w:rFonts w:cs="Arial"/>
          <w:bCs/>
          <w:color w:val="auto"/>
        </w:rPr>
        <w:fldChar w:fldCharType="begin"/>
      </w:r>
      <w:r w:rsidRPr="00DA27E6">
        <w:rPr>
          <w:rFonts w:cs="Arial"/>
          <w:bCs/>
          <w:color w:val="auto"/>
        </w:rPr>
        <w:instrText xml:space="preserve"> TOC \h \z \c "Figure" </w:instrText>
      </w:r>
      <w:r w:rsidRPr="00DA27E6">
        <w:rPr>
          <w:rFonts w:cs="Arial"/>
          <w:bCs/>
          <w:color w:val="auto"/>
        </w:rPr>
        <w:fldChar w:fldCharType="separate"/>
      </w:r>
      <w:hyperlink w:anchor="_Toc179718656" w:history="1">
        <w:r w:rsidR="00B64E57" w:rsidRPr="00DA27E6">
          <w:rPr>
            <w:rStyle w:val="Hyperlink"/>
            <w:rFonts w:cs="Arial"/>
            <w:bCs/>
            <w:noProof/>
            <w:color w:val="auto"/>
          </w:rPr>
          <w:t>Figure 1: Profit maximisation theory</w:t>
        </w:r>
        <w:r w:rsidR="00B64E57" w:rsidRPr="00DA27E6">
          <w:rPr>
            <w:bCs/>
            <w:noProof/>
            <w:webHidden/>
            <w:color w:val="auto"/>
          </w:rPr>
          <w:tab/>
        </w:r>
        <w:r w:rsidR="00B64E57" w:rsidRPr="00DA27E6">
          <w:rPr>
            <w:bCs/>
            <w:noProof/>
            <w:webHidden/>
            <w:color w:val="auto"/>
          </w:rPr>
          <w:fldChar w:fldCharType="begin"/>
        </w:r>
        <w:r w:rsidR="00B64E57" w:rsidRPr="00DA27E6">
          <w:rPr>
            <w:bCs/>
            <w:noProof/>
            <w:webHidden/>
            <w:color w:val="auto"/>
          </w:rPr>
          <w:instrText xml:space="preserve"> PAGEREF _Toc179718656 \h </w:instrText>
        </w:r>
        <w:r w:rsidR="00B64E57" w:rsidRPr="00DA27E6">
          <w:rPr>
            <w:bCs/>
            <w:noProof/>
            <w:webHidden/>
            <w:color w:val="auto"/>
          </w:rPr>
        </w:r>
        <w:r w:rsidR="00B64E57" w:rsidRPr="00DA27E6">
          <w:rPr>
            <w:bCs/>
            <w:noProof/>
            <w:webHidden/>
            <w:color w:val="auto"/>
          </w:rPr>
          <w:fldChar w:fldCharType="separate"/>
        </w:r>
        <w:r w:rsidR="00B64E57" w:rsidRPr="00DA27E6">
          <w:rPr>
            <w:bCs/>
            <w:noProof/>
            <w:webHidden/>
            <w:color w:val="auto"/>
          </w:rPr>
          <w:t>4</w:t>
        </w:r>
        <w:r w:rsidR="00B64E57" w:rsidRPr="00DA27E6">
          <w:rPr>
            <w:bCs/>
            <w:noProof/>
            <w:webHidden/>
            <w:color w:val="auto"/>
          </w:rPr>
          <w:fldChar w:fldCharType="end"/>
        </w:r>
      </w:hyperlink>
    </w:p>
    <w:p w14:paraId="346FA8A1" w14:textId="77777777" w:rsidR="00B64E57" w:rsidRPr="00DA27E6" w:rsidRDefault="00B64E57">
      <w:pPr>
        <w:pStyle w:val="TableofFigures"/>
        <w:tabs>
          <w:tab w:val="right" w:leader="dot" w:pos="9016"/>
        </w:tabs>
        <w:rPr>
          <w:rFonts w:asciiTheme="minorHAnsi" w:eastAsiaTheme="minorEastAsia" w:hAnsiTheme="minorHAnsi"/>
          <w:bCs/>
          <w:noProof/>
          <w:color w:val="auto"/>
          <w:sz w:val="24"/>
          <w:lang w:eastAsia="zh-CN"/>
        </w:rPr>
      </w:pPr>
      <w:hyperlink w:anchor="_Toc179718657" w:history="1">
        <w:r w:rsidRPr="00DA27E6">
          <w:rPr>
            <w:rStyle w:val="Hyperlink"/>
            <w:rFonts w:cs="Arial"/>
            <w:bCs/>
            <w:noProof/>
            <w:color w:val="auto"/>
          </w:rPr>
          <w:t>Figure 2:Stakeholders Analysis</w:t>
        </w:r>
        <w:r w:rsidRPr="00DA27E6">
          <w:rPr>
            <w:bCs/>
            <w:noProof/>
            <w:webHidden/>
            <w:color w:val="auto"/>
          </w:rPr>
          <w:tab/>
        </w:r>
        <w:r w:rsidRPr="00DA27E6">
          <w:rPr>
            <w:bCs/>
            <w:noProof/>
            <w:webHidden/>
            <w:color w:val="auto"/>
          </w:rPr>
          <w:fldChar w:fldCharType="begin"/>
        </w:r>
        <w:r w:rsidRPr="00DA27E6">
          <w:rPr>
            <w:bCs/>
            <w:noProof/>
            <w:webHidden/>
            <w:color w:val="auto"/>
          </w:rPr>
          <w:instrText xml:space="preserve"> PAGEREF _Toc179718657 \h </w:instrText>
        </w:r>
        <w:r w:rsidRPr="00DA27E6">
          <w:rPr>
            <w:bCs/>
            <w:noProof/>
            <w:webHidden/>
            <w:color w:val="auto"/>
          </w:rPr>
        </w:r>
        <w:r w:rsidRPr="00DA27E6">
          <w:rPr>
            <w:bCs/>
            <w:noProof/>
            <w:webHidden/>
            <w:color w:val="auto"/>
          </w:rPr>
          <w:fldChar w:fldCharType="separate"/>
        </w:r>
        <w:r w:rsidRPr="00DA27E6">
          <w:rPr>
            <w:bCs/>
            <w:noProof/>
            <w:webHidden/>
            <w:color w:val="auto"/>
          </w:rPr>
          <w:t>8</w:t>
        </w:r>
        <w:r w:rsidRPr="00DA27E6">
          <w:rPr>
            <w:bCs/>
            <w:noProof/>
            <w:webHidden/>
            <w:color w:val="auto"/>
          </w:rPr>
          <w:fldChar w:fldCharType="end"/>
        </w:r>
      </w:hyperlink>
    </w:p>
    <w:p w14:paraId="3AA4EE9F" w14:textId="77777777" w:rsidR="00AF15DF" w:rsidRPr="00DA27E6" w:rsidRDefault="00000000" w:rsidP="00D302BB">
      <w:pPr>
        <w:spacing w:line="259" w:lineRule="auto"/>
        <w:jc w:val="left"/>
        <w:rPr>
          <w:rFonts w:eastAsiaTheme="majorEastAsia" w:cs="Arial"/>
          <w:bCs/>
          <w:color w:val="auto"/>
          <w:kern w:val="0"/>
          <w:sz w:val="28"/>
          <w:szCs w:val="32"/>
          <w:lang w:eastAsia="zh-CN"/>
          <w14:ligatures w14:val="none"/>
        </w:rPr>
      </w:pPr>
      <w:r w:rsidRPr="00DA27E6">
        <w:rPr>
          <w:rFonts w:cs="Arial"/>
          <w:bCs/>
          <w:color w:val="auto"/>
        </w:rPr>
        <w:fldChar w:fldCharType="end"/>
      </w:r>
      <w:r w:rsidRPr="00DA27E6">
        <w:rPr>
          <w:rFonts w:cs="Arial"/>
          <w:bCs/>
          <w:color w:val="auto"/>
        </w:rPr>
        <w:br w:type="page"/>
      </w:r>
    </w:p>
    <w:p w14:paraId="64632433" w14:textId="77777777" w:rsidR="007924E8" w:rsidRPr="00DA27E6" w:rsidRDefault="00000000" w:rsidP="00D302BB">
      <w:pPr>
        <w:pStyle w:val="Heading1"/>
        <w:rPr>
          <w:rFonts w:cs="Arial"/>
        </w:rPr>
      </w:pPr>
      <w:bookmarkStart w:id="0" w:name="_Toc179725944"/>
      <w:r w:rsidRPr="00DA27E6">
        <w:rPr>
          <w:rFonts w:cs="Arial"/>
        </w:rPr>
        <w:lastRenderedPageBreak/>
        <w:t>Introduction:</w:t>
      </w:r>
      <w:bookmarkEnd w:id="0"/>
    </w:p>
    <w:p w14:paraId="4A709B95" w14:textId="77777777" w:rsidR="00364531" w:rsidRPr="00DA27E6" w:rsidRDefault="00000000" w:rsidP="00364531">
      <w:pPr>
        <w:rPr>
          <w:color w:val="auto"/>
          <w:lang w:eastAsia="zh-CN"/>
        </w:rPr>
      </w:pPr>
      <w:r w:rsidRPr="00DA27E6">
        <w:rPr>
          <w:color w:val="auto"/>
          <w:lang w:eastAsia="zh-CN"/>
        </w:rPr>
        <w:t>The mobile network industry is the most essential element of the UK digital infrastructure, which EE, O2, Vodafone, and Three control. The research conducted by Banchs et al. (2019) shows how changeable this sector is over the recent past and will be shortly. However, it offers opportunities and severe difficulties because of the appearance of 5G and changes in customer demands (Dhasan and Kowathanakul, 2021). Observing the state of the UK mobile network industry is necessary to understand better the connections between profit maximisation and sustainable business growth. By reviewing the opportunities for 5G expansion and digital partnerships and the threats related to infrastructure, legislation, and saturation, it is possible to determine the current needs of market players using different economic theories of demand, supply, and market structure.</w:t>
      </w:r>
    </w:p>
    <w:p w14:paraId="5D0D81E9" w14:textId="77777777" w:rsidR="002A3A32" w:rsidRPr="00DA27E6" w:rsidRDefault="00000000" w:rsidP="00D302BB">
      <w:pPr>
        <w:pStyle w:val="Heading1"/>
        <w:rPr>
          <w:rFonts w:cs="Arial"/>
        </w:rPr>
      </w:pPr>
      <w:bookmarkStart w:id="1" w:name="_Toc179725945"/>
      <w:r w:rsidRPr="00DA27E6">
        <w:rPr>
          <w:rFonts w:cs="Arial"/>
        </w:rPr>
        <w:t>Industry Overview:</w:t>
      </w:r>
      <w:bookmarkEnd w:id="1"/>
    </w:p>
    <w:p w14:paraId="6A3DBF3A" w14:textId="77777777" w:rsidR="002A3A32" w:rsidRPr="00DA27E6" w:rsidRDefault="00000000" w:rsidP="00D302BB">
      <w:pPr>
        <w:pStyle w:val="Heading2"/>
        <w:spacing w:before="0"/>
        <w:rPr>
          <w:rFonts w:cs="Arial"/>
        </w:rPr>
      </w:pPr>
      <w:bookmarkStart w:id="2" w:name="_Toc179725946"/>
      <w:r w:rsidRPr="00DA27E6">
        <w:rPr>
          <w:rFonts w:cs="Arial"/>
        </w:rPr>
        <w:t>Current State of the UK Mobile Network Industry:</w:t>
      </w:r>
      <w:bookmarkEnd w:id="2"/>
    </w:p>
    <w:p w14:paraId="5DDE1060" w14:textId="77777777" w:rsidR="00F418B7" w:rsidRPr="00DA27E6" w:rsidRDefault="00000000" w:rsidP="00D302BB">
      <w:pPr>
        <w:rPr>
          <w:color w:val="auto"/>
          <w:lang w:eastAsia="zh-CN"/>
        </w:rPr>
      </w:pPr>
      <w:r w:rsidRPr="00DA27E6">
        <w:rPr>
          <w:color w:val="auto"/>
          <w:lang w:eastAsia="zh-CN"/>
        </w:rPr>
        <w:t xml:space="preserve">According to Lutu et al. (2020), the United Kingdom has about 84 million mobile connections, and nearly 97% of its 68 million inhabitants use their mobile devices; all the mobile telecommunications networks' companies have been redesigned to offer quality services to companies and people in the United Kingdom". The UK mobile network industry is one of the most significant changing markets, with intense competition, unprecedented technology advancement and changing customer needs. </w:t>
      </w:r>
      <w:r w:rsidRPr="00DA27E6">
        <w:rPr>
          <w:rFonts w:cs="Arial"/>
          <w:color w:val="auto"/>
          <w:szCs w:val="20"/>
        </w:rPr>
        <w:t>The sector's most significant priorities are the rollout and enrichment of 5G networks, and all the leading firms have already launched services that include cutting-edge rapid, low-latency, and high-capacity innovations</w:t>
      </w:r>
      <w:r w:rsidR="00E942AA" w:rsidRPr="00DA27E6">
        <w:rPr>
          <w:rFonts w:cs="Arial"/>
          <w:color w:val="auto"/>
          <w:szCs w:val="20"/>
        </w:rPr>
        <w:t xml:space="preserve"> (Attaran, 2023)</w:t>
      </w:r>
      <w:r w:rsidRPr="00DA27E6">
        <w:rPr>
          <w:rFonts w:cs="Arial"/>
          <w:color w:val="auto"/>
          <w:szCs w:val="20"/>
        </w:rPr>
        <w:t xml:space="preserve">. </w:t>
      </w:r>
    </w:p>
    <w:p w14:paraId="2B2719D4" w14:textId="77777777" w:rsidR="002A3A32" w:rsidRPr="00DA27E6" w:rsidRDefault="00000000" w:rsidP="00D302BB">
      <w:pPr>
        <w:pStyle w:val="Header2"/>
        <w:rPr>
          <w:rFonts w:cs="Arial"/>
        </w:rPr>
      </w:pPr>
      <w:bookmarkStart w:id="3" w:name="_Toc179725947"/>
      <w:r w:rsidRPr="00DA27E6">
        <w:rPr>
          <w:rFonts w:cs="Arial"/>
        </w:rPr>
        <w:t>Key Players and Market Share:</w:t>
      </w:r>
      <w:bookmarkEnd w:id="3"/>
    </w:p>
    <w:p w14:paraId="1616A386" w14:textId="77777777" w:rsidR="00572AD9" w:rsidRPr="00DA27E6" w:rsidRDefault="00000000" w:rsidP="00D302BB">
      <w:pPr>
        <w:rPr>
          <w:rFonts w:cs="Arial"/>
          <w:color w:val="auto"/>
          <w:szCs w:val="20"/>
        </w:rPr>
      </w:pPr>
      <w:r w:rsidRPr="00DA27E6">
        <w:rPr>
          <w:rFonts w:cs="Arial"/>
          <w:color w:val="auto"/>
          <w:szCs w:val="20"/>
        </w:rPr>
        <w:t>In 2024, four major mobile network operators dominate the UK market. They include EE and O2, which account for about 32% and 31% of the market, respectively</w:t>
      </w:r>
      <w:r w:rsidR="00E942AA" w:rsidRPr="00DA27E6">
        <w:rPr>
          <w:rFonts w:cs="Arial"/>
          <w:color w:val="auto"/>
          <w:szCs w:val="20"/>
        </w:rPr>
        <w:t xml:space="preserve"> (Samdanis and Taleb, 2020)</w:t>
      </w:r>
      <w:r w:rsidRPr="00DA27E6">
        <w:rPr>
          <w:rFonts w:cs="Arial"/>
          <w:color w:val="auto"/>
          <w:szCs w:val="20"/>
        </w:rPr>
        <w:t xml:space="preserve">. Other market leaders include Vodafone, which accounts for about 20% of the </w:t>
      </w:r>
      <w:r w:rsidR="005065CF" w:rsidRPr="00DA27E6">
        <w:rPr>
          <w:rFonts w:cs="Arial"/>
          <w:color w:val="auto"/>
          <w:szCs w:val="20"/>
        </w:rPr>
        <w:t>market (Alsop, 2022)</w:t>
      </w:r>
      <w:r w:rsidRPr="00DA27E6">
        <w:rPr>
          <w:rFonts w:cs="Arial"/>
          <w:color w:val="auto"/>
          <w:szCs w:val="20"/>
        </w:rPr>
        <w:t xml:space="preserve">, and </w:t>
      </w:r>
      <w:proofErr w:type="gramStart"/>
      <w:r w:rsidRPr="00DA27E6">
        <w:rPr>
          <w:rFonts w:cs="Arial"/>
          <w:color w:val="auto"/>
          <w:szCs w:val="20"/>
        </w:rPr>
        <w:t>Three</w:t>
      </w:r>
      <w:proofErr w:type="gramEnd"/>
      <w:r w:rsidRPr="00DA27E6">
        <w:rPr>
          <w:rFonts w:cs="Arial"/>
          <w:color w:val="auto"/>
          <w:szCs w:val="20"/>
        </w:rPr>
        <w:t>, which currently accounts for 16%. These data adequately reflect the competitive environment in the sector, but they are subject to change. At present, the success of these companies can be explained by the fact that EE benefits from its early 5G launch and O2 gains from its Virgin Media brand</w:t>
      </w:r>
      <w:r w:rsidR="00E942AA" w:rsidRPr="00DA27E6">
        <w:rPr>
          <w:rFonts w:cs="Arial"/>
          <w:color w:val="auto"/>
          <w:szCs w:val="20"/>
        </w:rPr>
        <w:t xml:space="preserve"> (Zebari, Zebari, and Al-Zebari, 2021)</w:t>
      </w:r>
      <w:r w:rsidRPr="00DA27E6">
        <w:rPr>
          <w:rFonts w:cs="Arial"/>
          <w:color w:val="auto"/>
          <w:szCs w:val="20"/>
        </w:rPr>
        <w:t xml:space="preserve">. Three is famous for its data-centric offering, and Vodafone remains hugely successful internationally. </w:t>
      </w:r>
    </w:p>
    <w:p w14:paraId="7D8C066C" w14:textId="77777777" w:rsidR="00572AD9" w:rsidRPr="00DA27E6" w:rsidRDefault="00000000" w:rsidP="00D302BB">
      <w:pPr>
        <w:pStyle w:val="Header2"/>
        <w:rPr>
          <w:rFonts w:cs="Arial"/>
        </w:rPr>
      </w:pPr>
      <w:bookmarkStart w:id="4" w:name="_Toc179725948"/>
      <w:r w:rsidRPr="00DA27E6">
        <w:rPr>
          <w:rFonts w:cs="Arial"/>
        </w:rPr>
        <w:t>Recent Developments:</w:t>
      </w:r>
      <w:bookmarkEnd w:id="4"/>
    </w:p>
    <w:p w14:paraId="7FDF46A8" w14:textId="77777777" w:rsidR="00572AD9" w:rsidRPr="00DA27E6" w:rsidRDefault="00000000" w:rsidP="00D302BB">
      <w:pPr>
        <w:rPr>
          <w:rFonts w:cs="Arial"/>
          <w:color w:val="auto"/>
          <w:szCs w:val="20"/>
        </w:rPr>
      </w:pPr>
      <w:r w:rsidRPr="00DA27E6">
        <w:rPr>
          <w:rFonts w:cs="Arial"/>
          <w:color w:val="auto"/>
          <w:szCs w:val="20"/>
        </w:rPr>
        <w:t xml:space="preserve">The industry has had a significant move to merge Vodafone UK and Three UK since the fight began in 2023. </w:t>
      </w:r>
      <w:r w:rsidR="00E942AA" w:rsidRPr="00DA27E6">
        <w:rPr>
          <w:rFonts w:cs="Arial"/>
          <w:color w:val="auto"/>
          <w:szCs w:val="20"/>
        </w:rPr>
        <w:t>According to Liu et al. (2020), w</w:t>
      </w:r>
      <w:r w:rsidRPr="00DA27E6">
        <w:rPr>
          <w:rFonts w:cs="Arial"/>
          <w:color w:val="auto"/>
          <w:szCs w:val="20"/>
        </w:rPr>
        <w:t xml:space="preserve">ith a market share of almost 36%, the largest mobile provider in the UK could also become the most significant if it receives approval from authorities. Given the ever-increasing congestion in the market, the industry needs to seek </w:t>
      </w:r>
      <w:r w:rsidRPr="00DA27E6">
        <w:rPr>
          <w:rFonts w:cs="Arial"/>
          <w:color w:val="auto"/>
          <w:szCs w:val="20"/>
        </w:rPr>
        <w:lastRenderedPageBreak/>
        <w:t>new revenue sources. Furthermore, other significant obstacles include the high cost of 5G infrastructure deployment and regulations imposed to boost rural coverage. As a result, the industry must work sustainably to reduce environment</w:t>
      </w:r>
      <w:r w:rsidR="00E942AA" w:rsidRPr="00DA27E6">
        <w:rPr>
          <w:rFonts w:cs="Arial"/>
          <w:color w:val="auto"/>
          <w:szCs w:val="20"/>
        </w:rPr>
        <w:t>al effects (Hoory and Bottorff, 2022)</w:t>
      </w:r>
      <w:r w:rsidRPr="00DA27E6">
        <w:rPr>
          <w:rFonts w:cs="Arial"/>
          <w:color w:val="auto"/>
          <w:szCs w:val="20"/>
        </w:rPr>
        <w:t>. To that end, operators have made it a top priority, promising to minimise the impact by employing programs to recycle devices and employ sustainable energy sources, among other methods.</w:t>
      </w:r>
    </w:p>
    <w:p w14:paraId="33A68AC0" w14:textId="77777777" w:rsidR="00572AD9" w:rsidRPr="00DA27E6" w:rsidRDefault="00000000" w:rsidP="00D302BB">
      <w:pPr>
        <w:pStyle w:val="Heading1"/>
        <w:rPr>
          <w:rFonts w:cs="Arial"/>
        </w:rPr>
      </w:pPr>
      <w:bookmarkStart w:id="5" w:name="_Toc179725949"/>
      <w:r w:rsidRPr="00DA27E6">
        <w:rPr>
          <w:rFonts w:cs="Arial"/>
        </w:rPr>
        <w:t>Profit Maximisation Theory in the UK Mobile Network Industry</w:t>
      </w:r>
      <w:bookmarkEnd w:id="5"/>
    </w:p>
    <w:p w14:paraId="1725BB00" w14:textId="77777777" w:rsidR="002A3A32" w:rsidRPr="00DA27E6" w:rsidRDefault="00000000" w:rsidP="00D302BB">
      <w:pPr>
        <w:pStyle w:val="Heading2"/>
        <w:spacing w:before="0"/>
        <w:rPr>
          <w:rFonts w:cs="Arial"/>
        </w:rPr>
      </w:pPr>
      <w:bookmarkStart w:id="6" w:name="_Toc179725950"/>
      <w:r w:rsidRPr="00DA27E6">
        <w:rPr>
          <w:rFonts w:cs="Arial"/>
        </w:rPr>
        <w:t>Concept of profit Maximisation theory:</w:t>
      </w:r>
      <w:bookmarkEnd w:id="6"/>
    </w:p>
    <w:p w14:paraId="1D839AE9" w14:textId="77777777" w:rsidR="006278F0" w:rsidRPr="00DA27E6" w:rsidRDefault="00000000" w:rsidP="00D302BB">
      <w:pPr>
        <w:rPr>
          <w:rFonts w:cs="Arial"/>
          <w:color w:val="auto"/>
          <w:lang w:eastAsia="zh-CN"/>
        </w:rPr>
      </w:pPr>
      <w:r w:rsidRPr="00DA27E6">
        <w:rPr>
          <w:rFonts w:cs="Arial"/>
          <w:color w:val="auto"/>
          <w:lang w:eastAsia="zh-CN"/>
        </w:rPr>
        <w:t>According to profit maximisation theory, businesses balance expenses and revenues to maximise profits. When marginal revenue (MR) and marginal cost (MC) are equal, this happens economically</w:t>
      </w:r>
      <w:r w:rsidR="00E942AA" w:rsidRPr="00DA27E6">
        <w:rPr>
          <w:rFonts w:cs="Arial"/>
          <w:color w:val="auto"/>
          <w:lang w:eastAsia="zh-CN"/>
        </w:rPr>
        <w:t xml:space="preserve"> (Lowe, Nama, and Preda, 2020)</w:t>
      </w:r>
      <w:r w:rsidRPr="00DA27E6">
        <w:rPr>
          <w:rFonts w:cs="Arial"/>
          <w:color w:val="auto"/>
          <w:lang w:eastAsia="zh-CN"/>
        </w:rPr>
        <w:t>. The underlying premise of this idea is that businesses are logical entities driven chiefly by profit. The following figure represents profit maximisation theory:</w:t>
      </w:r>
    </w:p>
    <w:p w14:paraId="5CDAA10D" w14:textId="77777777" w:rsidR="006278F0" w:rsidRPr="00DA27E6" w:rsidRDefault="00000000" w:rsidP="00D302BB">
      <w:pPr>
        <w:keepNext/>
        <w:jc w:val="center"/>
        <w:rPr>
          <w:rFonts w:cs="Arial"/>
          <w:color w:val="auto"/>
        </w:rPr>
      </w:pPr>
      <w:r w:rsidRPr="00DA27E6">
        <w:rPr>
          <w:rFonts w:cs="Arial"/>
          <w:noProof/>
          <w:color w:val="auto"/>
        </w:rPr>
        <w:drawing>
          <wp:inline distT="0" distB="0" distL="0" distR="0" wp14:anchorId="575E22DF" wp14:editId="3737B072">
            <wp:extent cx="4083050" cy="2607886"/>
            <wp:effectExtent l="0" t="0" r="0" b="2540"/>
            <wp:docPr id="1916326266" name="Picture 1" descr="Profit Maximization Theory of the Firm- Profit Maximization Goal of a Fi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26266" name="Picture 1" descr="Profit Maximization Theory of the Firm- Profit Maximization Goal of a Firm"/>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086325" cy="2609977"/>
                    </a:xfrm>
                    <a:prstGeom prst="rect">
                      <a:avLst/>
                    </a:prstGeom>
                    <a:noFill/>
                    <a:ln>
                      <a:noFill/>
                    </a:ln>
                  </pic:spPr>
                </pic:pic>
              </a:graphicData>
            </a:graphic>
          </wp:inline>
        </w:drawing>
      </w:r>
    </w:p>
    <w:p w14:paraId="4A6169B5" w14:textId="77777777" w:rsidR="006278F0" w:rsidRPr="00DA27E6" w:rsidRDefault="00000000" w:rsidP="00D302BB">
      <w:pPr>
        <w:pStyle w:val="Caption"/>
        <w:spacing w:after="0" w:line="360" w:lineRule="auto"/>
        <w:jc w:val="center"/>
        <w:rPr>
          <w:rFonts w:cs="Arial"/>
          <w:b/>
          <w:bCs/>
          <w:i w:val="0"/>
          <w:iCs w:val="0"/>
          <w:color w:val="auto"/>
          <w:sz w:val="20"/>
          <w:szCs w:val="20"/>
        </w:rPr>
      </w:pPr>
      <w:bookmarkStart w:id="7" w:name="_Toc179718656"/>
      <w:r w:rsidRPr="00DA27E6">
        <w:rPr>
          <w:rFonts w:cs="Arial"/>
          <w:b/>
          <w:bCs/>
          <w:i w:val="0"/>
          <w:iCs w:val="0"/>
          <w:color w:val="auto"/>
          <w:sz w:val="20"/>
          <w:szCs w:val="20"/>
        </w:rPr>
        <w:t xml:space="preserve">Figure </w:t>
      </w:r>
      <w:r w:rsidRPr="00DA27E6">
        <w:rPr>
          <w:rFonts w:cs="Arial"/>
          <w:b/>
          <w:bCs/>
          <w:i w:val="0"/>
          <w:iCs w:val="0"/>
          <w:color w:val="auto"/>
          <w:sz w:val="20"/>
          <w:szCs w:val="20"/>
        </w:rPr>
        <w:fldChar w:fldCharType="begin"/>
      </w:r>
      <w:r w:rsidRPr="00DA27E6">
        <w:rPr>
          <w:rFonts w:cs="Arial"/>
          <w:b/>
          <w:bCs/>
          <w:i w:val="0"/>
          <w:iCs w:val="0"/>
          <w:color w:val="auto"/>
          <w:sz w:val="20"/>
          <w:szCs w:val="20"/>
        </w:rPr>
        <w:instrText xml:space="preserve"> SEQ Figure \* ARABIC </w:instrText>
      </w:r>
      <w:r w:rsidRPr="00DA27E6">
        <w:rPr>
          <w:rFonts w:cs="Arial"/>
          <w:b/>
          <w:bCs/>
          <w:i w:val="0"/>
          <w:iCs w:val="0"/>
          <w:color w:val="auto"/>
          <w:sz w:val="20"/>
          <w:szCs w:val="20"/>
        </w:rPr>
        <w:fldChar w:fldCharType="separate"/>
      </w:r>
      <w:r w:rsidR="00F63630" w:rsidRPr="00DA27E6">
        <w:rPr>
          <w:rFonts w:cs="Arial"/>
          <w:b/>
          <w:bCs/>
          <w:i w:val="0"/>
          <w:iCs w:val="0"/>
          <w:noProof/>
          <w:color w:val="auto"/>
          <w:sz w:val="20"/>
          <w:szCs w:val="20"/>
        </w:rPr>
        <w:t>1</w:t>
      </w:r>
      <w:r w:rsidRPr="00DA27E6">
        <w:rPr>
          <w:rFonts w:cs="Arial"/>
          <w:b/>
          <w:bCs/>
          <w:i w:val="0"/>
          <w:iCs w:val="0"/>
          <w:color w:val="auto"/>
          <w:sz w:val="20"/>
          <w:szCs w:val="20"/>
        </w:rPr>
        <w:fldChar w:fldCharType="end"/>
      </w:r>
      <w:r w:rsidRPr="00DA27E6">
        <w:rPr>
          <w:rFonts w:cs="Arial"/>
          <w:b/>
          <w:bCs/>
          <w:i w:val="0"/>
          <w:iCs w:val="0"/>
          <w:color w:val="auto"/>
          <w:sz w:val="20"/>
          <w:szCs w:val="20"/>
        </w:rPr>
        <w:t>: Profit maximisation theory</w:t>
      </w:r>
      <w:bookmarkEnd w:id="7"/>
    </w:p>
    <w:p w14:paraId="16211382" w14:textId="77777777" w:rsidR="006278F0" w:rsidRPr="00DA27E6" w:rsidRDefault="00000000" w:rsidP="00D302BB">
      <w:pPr>
        <w:jc w:val="center"/>
        <w:rPr>
          <w:rFonts w:cs="Arial"/>
          <w:b/>
          <w:bCs/>
          <w:color w:val="auto"/>
          <w:sz w:val="20"/>
          <w:szCs w:val="20"/>
        </w:rPr>
      </w:pPr>
      <w:r w:rsidRPr="00DA27E6">
        <w:rPr>
          <w:rFonts w:cs="Arial"/>
          <w:b/>
          <w:bCs/>
          <w:color w:val="auto"/>
          <w:sz w:val="20"/>
          <w:szCs w:val="20"/>
        </w:rPr>
        <w:t>Source:</w:t>
      </w:r>
      <w:r w:rsidR="00E942AA" w:rsidRPr="00DA27E6">
        <w:rPr>
          <w:rFonts w:cs="Arial"/>
          <w:b/>
          <w:bCs/>
          <w:color w:val="auto"/>
          <w:sz w:val="20"/>
          <w:szCs w:val="20"/>
        </w:rPr>
        <w:t xml:space="preserve"> </w:t>
      </w:r>
      <w:r w:rsidR="00E942AA" w:rsidRPr="00DA27E6">
        <w:rPr>
          <w:rFonts w:cs="Arial"/>
          <w:b/>
          <w:bCs/>
          <w:color w:val="auto"/>
          <w:sz w:val="20"/>
          <w:szCs w:val="22"/>
          <w:lang w:eastAsia="zh-CN"/>
        </w:rPr>
        <w:t>(Lowe, Nama, and Preda, 2020)</w:t>
      </w:r>
    </w:p>
    <w:p w14:paraId="0DF61209" w14:textId="77777777" w:rsidR="00BA5ABA" w:rsidRPr="00DA27E6" w:rsidRDefault="00000000" w:rsidP="00D302BB">
      <w:pPr>
        <w:pStyle w:val="Header2"/>
        <w:rPr>
          <w:rFonts w:cs="Arial"/>
        </w:rPr>
      </w:pPr>
      <w:bookmarkStart w:id="8" w:name="_Toc179725951"/>
      <w:r w:rsidRPr="00DA27E6">
        <w:rPr>
          <w:rFonts w:cs="Arial"/>
        </w:rPr>
        <w:t>Application to the UK Mobile Network Industry:</w:t>
      </w:r>
      <w:bookmarkEnd w:id="8"/>
    </w:p>
    <w:p w14:paraId="341E9267" w14:textId="77777777" w:rsidR="00BA5ABA" w:rsidRPr="00DA27E6" w:rsidRDefault="00000000" w:rsidP="00D302BB">
      <w:pPr>
        <w:rPr>
          <w:rFonts w:cs="Arial"/>
          <w:color w:val="auto"/>
        </w:rPr>
      </w:pPr>
      <w:r w:rsidRPr="00DA27E6">
        <w:rPr>
          <w:rFonts w:cs="Arial"/>
          <w:color w:val="auto"/>
        </w:rPr>
        <w:t>There are many ways in which profit maximisation appears in the UK mobile network industry:</w:t>
      </w:r>
    </w:p>
    <w:p w14:paraId="13E33690" w14:textId="77777777" w:rsidR="00BA5ABA" w:rsidRPr="00DA27E6" w:rsidRDefault="00000000" w:rsidP="00D302BB">
      <w:pPr>
        <w:rPr>
          <w:rFonts w:cs="Arial"/>
          <w:color w:val="auto"/>
        </w:rPr>
      </w:pPr>
      <w:r w:rsidRPr="00DA27E6">
        <w:rPr>
          <w:rFonts w:cs="Arial"/>
          <w:b/>
          <w:bCs/>
          <w:color w:val="auto"/>
        </w:rPr>
        <w:t>Pricing strategies:</w:t>
      </w:r>
      <w:r w:rsidRPr="00DA27E6">
        <w:rPr>
          <w:rFonts w:cs="Arial"/>
          <w:color w:val="auto"/>
        </w:rPr>
        <w:t xml:space="preserve"> To optimise revenue and maintain competitiveness, operators modify rates and data plans. </w:t>
      </w:r>
      <w:r w:rsidRPr="00DA27E6">
        <w:rPr>
          <w:rFonts w:cs="Arial"/>
          <w:b/>
          <w:bCs/>
          <w:color w:val="auto"/>
        </w:rPr>
        <w:t>Investment choices:</w:t>
      </w:r>
      <w:r w:rsidRPr="00DA27E6">
        <w:rPr>
          <w:rFonts w:cs="Arial"/>
          <w:color w:val="auto"/>
        </w:rPr>
        <w:t xml:space="preserve"> Weighing the expenses of the 5G infrastructure against prospective earnings in the future</w:t>
      </w:r>
      <w:r w:rsidR="00E942AA" w:rsidRPr="00DA27E6">
        <w:rPr>
          <w:rFonts w:cs="Arial"/>
          <w:color w:val="auto"/>
        </w:rPr>
        <w:t xml:space="preserve"> (Paul, 2021)</w:t>
      </w:r>
      <w:r w:rsidRPr="00DA27E6">
        <w:rPr>
          <w:rFonts w:cs="Arial"/>
          <w:color w:val="auto"/>
        </w:rPr>
        <w:t xml:space="preserve">. </w:t>
      </w:r>
      <w:r w:rsidRPr="00DA27E6">
        <w:rPr>
          <w:rFonts w:cs="Arial"/>
          <w:b/>
          <w:bCs/>
          <w:color w:val="auto"/>
        </w:rPr>
        <w:t>Market expansion:</w:t>
      </w:r>
      <w:r w:rsidRPr="00DA27E6">
        <w:rPr>
          <w:rFonts w:cs="Arial"/>
          <w:color w:val="auto"/>
        </w:rPr>
        <w:t xml:space="preserve"> Pursuing mergers to obtain economies of scale, such as the Vodafone-Three combination</w:t>
      </w:r>
      <w:r w:rsidR="005065CF" w:rsidRPr="00DA27E6">
        <w:rPr>
          <w:rFonts w:cs="Arial"/>
          <w:color w:val="auto"/>
        </w:rPr>
        <w:t xml:space="preserve">. </w:t>
      </w:r>
      <w:r w:rsidRPr="00DA27E6">
        <w:rPr>
          <w:rFonts w:cs="Arial"/>
          <w:b/>
          <w:bCs/>
          <w:color w:val="auto"/>
        </w:rPr>
        <w:t>Offering extra services</w:t>
      </w:r>
      <w:r w:rsidRPr="00DA27E6">
        <w:rPr>
          <w:rFonts w:cs="Arial"/>
          <w:color w:val="auto"/>
        </w:rPr>
        <w:t xml:space="preserve"> like IoT solutions or video streaming to diversify income sources is known as service diversification.</w:t>
      </w:r>
    </w:p>
    <w:p w14:paraId="0EB0EE2F" w14:textId="77777777" w:rsidR="00BA5ABA" w:rsidRPr="00DA27E6" w:rsidRDefault="00000000" w:rsidP="00D302BB">
      <w:pPr>
        <w:pStyle w:val="Header2"/>
        <w:rPr>
          <w:rFonts w:cs="Arial"/>
        </w:rPr>
      </w:pPr>
      <w:bookmarkStart w:id="9" w:name="_Toc179725952"/>
      <w:r w:rsidRPr="00DA27E6">
        <w:rPr>
          <w:rFonts w:cs="Arial"/>
        </w:rPr>
        <w:t>Limitations and considerations:</w:t>
      </w:r>
      <w:bookmarkEnd w:id="9"/>
    </w:p>
    <w:p w14:paraId="34AE3992" w14:textId="77777777" w:rsidR="00BA5ABA" w:rsidRPr="00DA27E6" w:rsidRDefault="00000000" w:rsidP="00D302BB">
      <w:pPr>
        <w:rPr>
          <w:rFonts w:cs="Arial"/>
          <w:color w:val="auto"/>
        </w:rPr>
      </w:pPr>
      <w:r w:rsidRPr="00DA27E6">
        <w:rPr>
          <w:rFonts w:cs="Arial"/>
          <w:color w:val="auto"/>
        </w:rPr>
        <w:t>Profit maximisation is essential; however, the UK mobile network industry has certain limitations and things to remember.</w:t>
      </w:r>
    </w:p>
    <w:p w14:paraId="1AE36E3B" w14:textId="77777777" w:rsidR="00BA5ABA" w:rsidRPr="00DA27E6" w:rsidRDefault="00000000" w:rsidP="00D302BB">
      <w:pPr>
        <w:rPr>
          <w:rFonts w:cs="Arial"/>
          <w:color w:val="auto"/>
        </w:rPr>
      </w:pPr>
      <w:r w:rsidRPr="00DA27E6">
        <w:rPr>
          <w:rFonts w:cs="Arial"/>
          <w:b/>
          <w:bCs/>
          <w:color w:val="auto"/>
        </w:rPr>
        <w:lastRenderedPageBreak/>
        <w:t>Regulatory framework:</w:t>
      </w:r>
      <w:r w:rsidRPr="00DA27E6">
        <w:rPr>
          <w:rFonts w:cs="Arial"/>
          <w:color w:val="auto"/>
        </w:rPr>
        <w:t xml:space="preserve"> Profit-maximisingOfcom's spectrum allotment and pricing rules impact profit-maximising tactics. </w:t>
      </w:r>
      <w:r w:rsidRPr="00DA27E6">
        <w:rPr>
          <w:rFonts w:cs="Arial"/>
          <w:b/>
          <w:bCs/>
          <w:color w:val="auto"/>
        </w:rPr>
        <w:t>Long-term investments:</w:t>
      </w:r>
      <w:r w:rsidRPr="00DA27E6">
        <w:rPr>
          <w:rFonts w:cs="Arial"/>
          <w:color w:val="auto"/>
        </w:rPr>
        <w:t xml:space="preserve"> The deployment of 5G infrastructure will challenge the short-term profit maximisation strategy due to its significant upfront expenses and delayed returns</w:t>
      </w:r>
      <w:r w:rsidR="00E942AA" w:rsidRPr="00DA27E6">
        <w:rPr>
          <w:rFonts w:cs="Arial"/>
          <w:color w:val="auto"/>
        </w:rPr>
        <w:t xml:space="preserve"> (Forge and Vu, 2020)</w:t>
      </w:r>
      <w:r w:rsidRPr="00DA27E6">
        <w:rPr>
          <w:rFonts w:cs="Arial"/>
          <w:color w:val="auto"/>
        </w:rPr>
        <w:t xml:space="preserve">. </w:t>
      </w:r>
      <w:r w:rsidRPr="00DA27E6">
        <w:rPr>
          <w:rFonts w:cs="Arial"/>
          <w:b/>
          <w:bCs/>
          <w:color w:val="auto"/>
        </w:rPr>
        <w:t>Market saturation:</w:t>
      </w:r>
      <w:r w:rsidRPr="00DA27E6">
        <w:rPr>
          <w:rFonts w:cs="Arial"/>
          <w:color w:val="auto"/>
        </w:rPr>
        <w:t xml:space="preserve"> When penetration rates are high, growth sometimes occurs at the expense of rivals, escalating rivalry on </w:t>
      </w:r>
      <w:r w:rsidR="005065CF" w:rsidRPr="00DA27E6">
        <w:rPr>
          <w:rFonts w:cs="Arial"/>
          <w:color w:val="auto"/>
        </w:rPr>
        <w:t>prices (store. Mintel, 2022)</w:t>
      </w:r>
      <w:r w:rsidRPr="00DA27E6">
        <w:rPr>
          <w:rFonts w:cs="Arial"/>
          <w:color w:val="auto"/>
        </w:rPr>
        <w:t xml:space="preserve">. </w:t>
      </w:r>
      <w:r w:rsidRPr="00DA27E6">
        <w:rPr>
          <w:rFonts w:cs="Arial"/>
          <w:b/>
          <w:bCs/>
          <w:color w:val="auto"/>
        </w:rPr>
        <w:t>Social obligations:</w:t>
      </w:r>
      <w:r w:rsidRPr="00DA27E6">
        <w:rPr>
          <w:rFonts w:cs="Arial"/>
          <w:color w:val="auto"/>
        </w:rPr>
        <w:t xml:space="preserve"> Pursuing only profit maximisation may clash with demands for universal coverage and bridging the digital divide. </w:t>
      </w:r>
      <w:r w:rsidRPr="00DA27E6">
        <w:rPr>
          <w:rFonts w:cs="Arial"/>
          <w:b/>
          <w:bCs/>
          <w:color w:val="auto"/>
        </w:rPr>
        <w:t xml:space="preserve">Technological evolution: </w:t>
      </w:r>
      <w:r w:rsidRPr="00DA27E6">
        <w:rPr>
          <w:rFonts w:cs="Arial"/>
          <w:color w:val="auto"/>
        </w:rPr>
        <w:t xml:space="preserve">The quick technological changes necessitate constant investment, which affects profitability in the near run. </w:t>
      </w:r>
      <w:r w:rsidRPr="00DA27E6">
        <w:rPr>
          <w:rFonts w:cs="Arial"/>
          <w:b/>
          <w:bCs/>
          <w:color w:val="auto"/>
        </w:rPr>
        <w:t>Customer retention:</w:t>
      </w:r>
      <w:r w:rsidRPr="00DA27E6">
        <w:rPr>
          <w:rFonts w:cs="Arial"/>
          <w:color w:val="auto"/>
        </w:rPr>
        <w:t xml:space="preserve"> In a market where there is competition, putting the needs of the client first occasionally takes precedence over maximising profits right away</w:t>
      </w:r>
      <w:r w:rsidR="00E942AA" w:rsidRPr="00DA27E6">
        <w:rPr>
          <w:rFonts w:cs="Arial"/>
          <w:color w:val="auto"/>
        </w:rPr>
        <w:t xml:space="preserve"> (Forge and Vu, 2020)</w:t>
      </w:r>
      <w:r w:rsidRPr="00DA27E6">
        <w:rPr>
          <w:rFonts w:cs="Arial"/>
          <w:color w:val="auto"/>
        </w:rPr>
        <w:t>.</w:t>
      </w:r>
    </w:p>
    <w:p w14:paraId="22089F42" w14:textId="77777777" w:rsidR="00BA5ABA" w:rsidRPr="00DA27E6" w:rsidRDefault="00000000" w:rsidP="00D302BB">
      <w:pPr>
        <w:rPr>
          <w:rFonts w:cs="Arial"/>
          <w:color w:val="auto"/>
        </w:rPr>
      </w:pPr>
      <w:r w:rsidRPr="00DA27E6">
        <w:rPr>
          <w:rFonts w:cs="Arial"/>
          <w:color w:val="auto"/>
        </w:rPr>
        <w:t>These elements require a more sophisticated strategy for profit maximisation in the UK mobile network sector that balances immediate financial objectives, long-term viability, and social expectations.</w:t>
      </w:r>
    </w:p>
    <w:p w14:paraId="3FD267F1" w14:textId="77777777" w:rsidR="0053151E" w:rsidRPr="00DA27E6" w:rsidRDefault="00000000" w:rsidP="00D302BB">
      <w:pPr>
        <w:pStyle w:val="Heading1"/>
        <w:rPr>
          <w:rFonts w:cs="Arial"/>
        </w:rPr>
      </w:pPr>
      <w:bookmarkStart w:id="10" w:name="_Toc179725953"/>
      <w:r w:rsidRPr="00DA27E6">
        <w:rPr>
          <w:rFonts w:cs="Arial"/>
        </w:rPr>
        <w:t>Challenges and Opportunities:</w:t>
      </w:r>
      <w:bookmarkEnd w:id="10"/>
    </w:p>
    <w:p w14:paraId="05EA4E8A" w14:textId="77777777" w:rsidR="00BA5ABA" w:rsidRPr="00DA27E6" w:rsidRDefault="00000000" w:rsidP="00D302BB">
      <w:pPr>
        <w:pStyle w:val="Heading2"/>
        <w:spacing w:before="0"/>
        <w:rPr>
          <w:rFonts w:cs="Arial"/>
        </w:rPr>
      </w:pPr>
      <w:bookmarkStart w:id="11" w:name="_Toc179725954"/>
      <w:r w:rsidRPr="00DA27E6">
        <w:rPr>
          <w:rFonts w:cs="Arial"/>
        </w:rPr>
        <w:t>Challenges:</w:t>
      </w:r>
      <w:bookmarkEnd w:id="11"/>
    </w:p>
    <w:p w14:paraId="08D3AA46" w14:textId="77777777" w:rsidR="0053151E" w:rsidRPr="00DA27E6" w:rsidRDefault="00000000" w:rsidP="00D302BB">
      <w:pPr>
        <w:rPr>
          <w:rFonts w:cs="Arial"/>
          <w:color w:val="auto"/>
          <w:lang w:eastAsia="zh-CN"/>
        </w:rPr>
      </w:pPr>
      <w:r w:rsidRPr="00DA27E6">
        <w:rPr>
          <w:rFonts w:cs="Arial"/>
          <w:color w:val="auto"/>
          <w:lang w:eastAsia="zh-CN"/>
        </w:rPr>
        <w:t xml:space="preserve">Several notable barriers shape the following state and potential of the UK mobile network industry. To begin with, there are the </w:t>
      </w:r>
      <w:r w:rsidRPr="00DA27E6">
        <w:rPr>
          <w:rFonts w:cs="Arial"/>
          <w:b/>
          <w:bCs/>
          <w:color w:val="auto"/>
          <w:lang w:eastAsia="zh-CN"/>
        </w:rPr>
        <w:t>vast infrastructure costs</w:t>
      </w:r>
      <w:r w:rsidRPr="00DA27E6">
        <w:rPr>
          <w:rFonts w:cs="Arial"/>
          <w:color w:val="auto"/>
          <w:lang w:eastAsia="zh-CN"/>
        </w:rPr>
        <w:t xml:space="preserve"> associated with the rollout of 5G, amounting to as much as £30 billion</w:t>
      </w:r>
      <w:r w:rsidR="00E942AA" w:rsidRPr="00DA27E6">
        <w:rPr>
          <w:rFonts w:cs="Arial"/>
          <w:color w:val="auto"/>
          <w:lang w:eastAsia="zh-CN"/>
        </w:rPr>
        <w:t xml:space="preserve"> (Mourt</w:t>
      </w:r>
      <w:r w:rsidR="001654F7" w:rsidRPr="00DA27E6">
        <w:rPr>
          <w:rFonts w:cs="Arial"/>
          <w:color w:val="auto"/>
          <w:lang w:eastAsia="zh-CN"/>
        </w:rPr>
        <w:t>zis, Angelopoulos, and Panopoulos, 2021)</w:t>
      </w:r>
      <w:r w:rsidRPr="00DA27E6">
        <w:rPr>
          <w:rFonts w:cs="Arial"/>
          <w:color w:val="auto"/>
          <w:lang w:eastAsia="zh-CN"/>
        </w:rPr>
        <w:t xml:space="preserve">. While this expense is necessary to enable new technologies and meet the surging demand for data, it is also somewhat risky. It has tenuous short-term returns, particularly in less profitable rural areas. At the same time, the sector faces considerable </w:t>
      </w:r>
      <w:r w:rsidRPr="00DA27E6">
        <w:rPr>
          <w:rFonts w:cs="Arial"/>
          <w:b/>
          <w:bCs/>
          <w:color w:val="auto"/>
          <w:lang w:eastAsia="zh-CN"/>
        </w:rPr>
        <w:t>regulatory pressures</w:t>
      </w:r>
      <w:r w:rsidRPr="00DA27E6">
        <w:rPr>
          <w:rFonts w:cs="Arial"/>
          <w:color w:val="auto"/>
          <w:lang w:eastAsia="zh-CN"/>
        </w:rPr>
        <w:t xml:space="preserve"> from Ofcom in the form of complex rules for spectrum auctions, stringent coverage obligations, and potential involvement in mergers, such as the one between Vodafone and Three. These regulatory requirements can significantly disrupt the operators' business plans and profits. Another obstacle is </w:t>
      </w:r>
      <w:r w:rsidRPr="00DA27E6">
        <w:rPr>
          <w:rFonts w:cs="Arial"/>
          <w:b/>
          <w:bCs/>
          <w:color w:val="auto"/>
          <w:lang w:eastAsia="zh-CN"/>
        </w:rPr>
        <w:t>market saturation</w:t>
      </w:r>
      <w:r w:rsidRPr="00DA27E6">
        <w:rPr>
          <w:rFonts w:cs="Arial"/>
          <w:color w:val="auto"/>
          <w:lang w:eastAsia="zh-CN"/>
        </w:rPr>
        <w:t>, exacerbated by the fact that the UK's mobile phone penetration already exceeds 100%</w:t>
      </w:r>
      <w:r w:rsidR="001654F7" w:rsidRPr="00DA27E6">
        <w:rPr>
          <w:rFonts w:cs="Arial"/>
          <w:color w:val="auto"/>
          <w:lang w:eastAsia="zh-CN"/>
        </w:rPr>
        <w:t xml:space="preserve"> (Mourtzis, Angelopoulos, and Panopoulos, 2021)</w:t>
      </w:r>
      <w:r w:rsidRPr="00DA27E6">
        <w:rPr>
          <w:rFonts w:cs="Arial"/>
          <w:color w:val="auto"/>
          <w:lang w:eastAsia="zh-CN"/>
        </w:rPr>
        <w:t xml:space="preserve">. As a result of this saturation, operators must find new sources of revenue by offering value-added services and moving into adjacent markets like the IoT, thereby increasing their competition for the same small pool of customers and leading to price competition and lower profit margins. Finally, </w:t>
      </w:r>
      <w:r w:rsidRPr="00DA27E6">
        <w:rPr>
          <w:rFonts w:cs="Arial"/>
          <w:b/>
          <w:bCs/>
          <w:color w:val="auto"/>
          <w:lang w:eastAsia="zh-CN"/>
        </w:rPr>
        <w:t xml:space="preserve">cybersecurity risks </w:t>
      </w:r>
      <w:r w:rsidRPr="00DA27E6">
        <w:rPr>
          <w:rFonts w:cs="Arial"/>
          <w:color w:val="auto"/>
          <w:lang w:eastAsia="zh-CN"/>
        </w:rPr>
        <w:t>have spiked with the advent of 5G. Since operators must shield against various threats, ranging from data breaches and network security flaws to dangers to IoT devices and even state-sponsored attacks, adopting robust security mechanisms is expensive</w:t>
      </w:r>
      <w:r w:rsidR="001654F7" w:rsidRPr="00DA27E6">
        <w:rPr>
          <w:rFonts w:cs="Arial"/>
          <w:color w:val="auto"/>
          <w:lang w:eastAsia="zh-CN"/>
        </w:rPr>
        <w:t xml:space="preserve"> (Gaber et al., 2021)</w:t>
      </w:r>
      <w:r w:rsidRPr="00DA27E6">
        <w:rPr>
          <w:rFonts w:cs="Arial"/>
          <w:color w:val="auto"/>
          <w:lang w:eastAsia="zh-CN"/>
        </w:rPr>
        <w:t>. As such, such measures are vital to preserving consumer and regulatory confidence, and as mobile networks continue to grow more sophisticated and data-</w:t>
      </w:r>
      <w:r w:rsidRPr="00DA27E6">
        <w:rPr>
          <w:rFonts w:cs="Arial"/>
          <w:color w:val="auto"/>
          <w:lang w:eastAsia="zh-CN"/>
        </w:rPr>
        <w:lastRenderedPageBreak/>
        <w:t>oriented, they will only become more critical. Cybersecurity remains a significant concern as 5G networks move closer to SDN and virtualisation, introducing new security challenges.</w:t>
      </w:r>
    </w:p>
    <w:p w14:paraId="3B38045D" w14:textId="77777777" w:rsidR="0053151E" w:rsidRPr="00DA27E6" w:rsidRDefault="00000000" w:rsidP="00D302BB">
      <w:pPr>
        <w:pStyle w:val="Heading2"/>
        <w:spacing w:before="0"/>
        <w:rPr>
          <w:rFonts w:cs="Arial"/>
        </w:rPr>
      </w:pPr>
      <w:bookmarkStart w:id="12" w:name="_Toc179725955"/>
      <w:r w:rsidRPr="00DA27E6">
        <w:rPr>
          <w:rFonts w:cs="Arial"/>
        </w:rPr>
        <w:t>Opportunities:</w:t>
      </w:r>
      <w:bookmarkEnd w:id="12"/>
    </w:p>
    <w:p w14:paraId="6F0C41D1" w14:textId="77777777" w:rsidR="0053151E" w:rsidRPr="00DA27E6" w:rsidRDefault="00000000" w:rsidP="00D302BB">
      <w:pPr>
        <w:rPr>
          <w:rFonts w:cs="Arial"/>
          <w:color w:val="auto"/>
          <w:lang w:eastAsia="zh-CN"/>
        </w:rPr>
      </w:pPr>
      <w:r w:rsidRPr="00DA27E6">
        <w:rPr>
          <w:rFonts w:cs="Arial"/>
          <w:color w:val="auto"/>
          <w:lang w:eastAsia="zh-CN"/>
        </w:rPr>
        <w:t>Numerous prospects drive the UK mobile network industry's potential for significant development and innovation. With its unparalleled speeds and low latency, 5G technology is poised to revolutionise several industries and open new opportunities</w:t>
      </w:r>
      <w:r w:rsidR="001654F7" w:rsidRPr="00DA27E6">
        <w:rPr>
          <w:rFonts w:cs="Arial"/>
          <w:color w:val="auto"/>
          <w:lang w:eastAsia="zh-CN"/>
        </w:rPr>
        <w:t xml:space="preserve"> (Sobrinho et al., 2023)</w:t>
      </w:r>
      <w:r w:rsidRPr="00DA27E6">
        <w:rPr>
          <w:rFonts w:cs="Arial"/>
          <w:color w:val="auto"/>
          <w:lang w:eastAsia="zh-CN"/>
        </w:rPr>
        <w:t>. An enormous ecosystem of interconnected devices is being created by the Internet of Things (IoT), which is growing thanks to this cutting-edge network architecture. 5G and IoT are opening new markets and use cases for mobile carriers, from smart cities and driverless cars to industrial automation and remote healthcare.</w:t>
      </w:r>
    </w:p>
    <w:p w14:paraId="4445ED8E" w14:textId="77777777" w:rsidR="0053151E" w:rsidRPr="00DA27E6" w:rsidRDefault="00000000" w:rsidP="00D302BB">
      <w:pPr>
        <w:rPr>
          <w:rFonts w:cs="Arial"/>
          <w:color w:val="auto"/>
          <w:lang w:eastAsia="zh-CN"/>
        </w:rPr>
      </w:pPr>
      <w:r w:rsidRPr="00DA27E6">
        <w:rPr>
          <w:rFonts w:cs="Arial"/>
          <w:color w:val="auto"/>
          <w:lang w:eastAsia="zh-CN"/>
        </w:rPr>
        <w:t xml:space="preserve">Partnerships for digital transformation provide an additional development path. To support businesses' digital transformation, mobile carriers are working with businesses in various industries more and more. </w:t>
      </w:r>
      <w:r w:rsidR="001654F7" w:rsidRPr="00DA27E6">
        <w:rPr>
          <w:rFonts w:cs="Arial"/>
          <w:color w:val="auto"/>
          <w:lang w:eastAsia="zh-CN"/>
        </w:rPr>
        <w:t>According to McClellan, Cervello-Pastor, and Sallent</w:t>
      </w:r>
      <w:r w:rsidRPr="00DA27E6">
        <w:rPr>
          <w:rFonts w:cs="Arial"/>
          <w:color w:val="auto"/>
          <w:lang w:eastAsia="zh-CN"/>
        </w:rPr>
        <w:t xml:space="preserve"> (2020), to provide customised solutions, such as private 5G networks for industrial facilities or intelligent logistics systems for supply chain management, these collaborations take advantage of the operators' network capabilities and knowledge. Mobile operators may build valuable, long-lasting partnerships with business clients by establishing themselves as significant facilitators of digital change.</w:t>
      </w:r>
    </w:p>
    <w:p w14:paraId="49B73987" w14:textId="77777777" w:rsidR="0053151E" w:rsidRPr="00DA27E6" w:rsidRDefault="00000000" w:rsidP="00D302BB">
      <w:pPr>
        <w:rPr>
          <w:rFonts w:cs="Arial"/>
          <w:color w:val="auto"/>
          <w:lang w:eastAsia="zh-CN"/>
        </w:rPr>
      </w:pPr>
      <w:r w:rsidRPr="00DA27E6">
        <w:rPr>
          <w:rFonts w:cs="Arial"/>
          <w:color w:val="auto"/>
          <w:lang w:eastAsia="zh-CN"/>
        </w:rPr>
        <w:t xml:space="preserve">The sector is also exploring new revenue sources to expand beyond conventional phone and data services. Since operators can provide digital wallets, mobile payments, and microloans with their large customer base and secure infrastructure, the mobile financial services sector is new. Augmented reality applications, cloud gaming platforms, and video streaming services are other new business opportunities that may quickly be implemented due to the 5G network's enhanced capabilities </w:t>
      </w:r>
      <w:r w:rsidR="001654F7" w:rsidRPr="00DA27E6">
        <w:rPr>
          <w:rFonts w:cs="Arial"/>
          <w:color w:val="auto"/>
          <w:lang w:eastAsia="zh-CN"/>
        </w:rPr>
        <w:t>(Tang et al., 2021)</w:t>
      </w:r>
      <w:r w:rsidRPr="00DA27E6">
        <w:rPr>
          <w:rFonts w:cs="Arial"/>
          <w:color w:val="auto"/>
          <w:lang w:eastAsia="zh-CN"/>
        </w:rPr>
        <w:t>.</w:t>
      </w:r>
    </w:p>
    <w:p w14:paraId="1526BAD3" w14:textId="77777777" w:rsidR="0053151E" w:rsidRPr="00DA27E6" w:rsidRDefault="00000000" w:rsidP="00D302BB">
      <w:pPr>
        <w:pStyle w:val="Heading1"/>
        <w:rPr>
          <w:rFonts w:cs="Arial"/>
        </w:rPr>
      </w:pPr>
      <w:bookmarkStart w:id="13" w:name="_Toc179725956"/>
      <w:r w:rsidRPr="00DA27E6">
        <w:rPr>
          <w:rFonts w:cs="Arial"/>
        </w:rPr>
        <w:t>Economic theories and business environment analysis:</w:t>
      </w:r>
      <w:bookmarkEnd w:id="13"/>
    </w:p>
    <w:p w14:paraId="09D9EEC6" w14:textId="77777777" w:rsidR="0053151E" w:rsidRPr="00DA27E6" w:rsidRDefault="00000000" w:rsidP="00D302BB">
      <w:pPr>
        <w:pStyle w:val="Heading2"/>
        <w:spacing w:before="0"/>
        <w:rPr>
          <w:rFonts w:cs="Arial"/>
        </w:rPr>
      </w:pPr>
      <w:bookmarkStart w:id="14" w:name="_Toc179725957"/>
      <w:r w:rsidRPr="00DA27E6">
        <w:rPr>
          <w:rFonts w:cs="Arial"/>
        </w:rPr>
        <w:t>Demand and Supply Chain Analysis:</w:t>
      </w:r>
      <w:bookmarkEnd w:id="14"/>
    </w:p>
    <w:p w14:paraId="08A9C54D" w14:textId="77777777" w:rsidR="00376C4E" w:rsidRPr="00DA27E6" w:rsidRDefault="00000000" w:rsidP="00D302BB">
      <w:pPr>
        <w:pStyle w:val="Heading3"/>
        <w:rPr>
          <w:rFonts w:cs="Arial"/>
        </w:rPr>
      </w:pPr>
      <w:bookmarkStart w:id="15" w:name="_Toc179725958"/>
      <w:r w:rsidRPr="00DA27E6">
        <w:rPr>
          <w:rFonts w:cs="Arial"/>
        </w:rPr>
        <w:t>Demand side analysis:</w:t>
      </w:r>
      <w:bookmarkEnd w:id="15"/>
    </w:p>
    <w:p w14:paraId="7402C441" w14:textId="77777777" w:rsidR="00E042A5" w:rsidRPr="00DA27E6" w:rsidRDefault="00000000" w:rsidP="00D302BB">
      <w:pPr>
        <w:rPr>
          <w:rFonts w:cs="Arial"/>
          <w:color w:val="auto"/>
          <w:lang w:eastAsia="zh-CN"/>
        </w:rPr>
      </w:pPr>
      <w:r w:rsidRPr="00DA27E6">
        <w:rPr>
          <w:rFonts w:cs="Arial"/>
          <w:color w:val="auto"/>
          <w:lang w:eastAsia="zh-CN"/>
        </w:rPr>
        <w:t xml:space="preserve">Demand for mobile services in the UK is influenced by numerous variables affecting market trends and consumer behaviour. Cost sensitivity is essential since all else is constant, and lower service costs usually generate elevated demands. According to Golmohamadi (2022), "income levels have a considerable effect on the consumption pattern for conventional goods and services", and people, on average, seem to adopt premium services at a greater rate. This pattern is reinforced by altering consumer tastes, specifically the surge in popularity of data-heavy phone applications such as games or streaming. Introduction and adoption rate of other products Cisco's annual report 2022 or smartphones that utilise the 5G network follows the same pattern and considerably impacts the demand for 5G-related services. </w:t>
      </w:r>
      <w:r w:rsidR="001654F7" w:rsidRPr="00DA27E6">
        <w:rPr>
          <w:rFonts w:cs="Arial"/>
          <w:color w:val="auto"/>
          <w:lang w:eastAsia="zh-CN"/>
        </w:rPr>
        <w:t xml:space="preserve">According to </w:t>
      </w:r>
      <w:r w:rsidR="001654F7" w:rsidRPr="00DA27E6">
        <w:rPr>
          <w:rFonts w:cs="Arial"/>
          <w:color w:val="auto"/>
          <w:lang w:eastAsia="zh-CN"/>
        </w:rPr>
        <w:lastRenderedPageBreak/>
        <w:t>Kanakadhurga and Prabaharan (2022), these factors determine c</w:t>
      </w:r>
      <w:r w:rsidRPr="00DA27E6">
        <w:rPr>
          <w:rFonts w:cs="Arial"/>
          <w:color w:val="auto"/>
          <w:lang w:eastAsia="zh-CN"/>
        </w:rPr>
        <w:t>onsumers' willingness to pay for mobile services and the amount requested at different price points.</w:t>
      </w:r>
    </w:p>
    <w:p w14:paraId="292FF50A" w14:textId="77777777" w:rsidR="00E042A5" w:rsidRPr="00DA27E6" w:rsidRDefault="00000000" w:rsidP="00D302BB">
      <w:pPr>
        <w:pStyle w:val="Heading3"/>
        <w:rPr>
          <w:rFonts w:cs="Arial"/>
        </w:rPr>
      </w:pPr>
      <w:bookmarkStart w:id="16" w:name="_Toc179725959"/>
      <w:r w:rsidRPr="00DA27E6">
        <w:rPr>
          <w:rFonts w:cs="Arial"/>
        </w:rPr>
        <w:t>Supply-side analysis:</w:t>
      </w:r>
      <w:bookmarkEnd w:id="16"/>
    </w:p>
    <w:p w14:paraId="2FD84B30" w14:textId="77777777" w:rsidR="00E042A5" w:rsidRPr="00DA27E6" w:rsidRDefault="00000000" w:rsidP="00D302BB">
      <w:pPr>
        <w:rPr>
          <w:rFonts w:cs="Arial"/>
          <w:color w:val="auto"/>
          <w:lang w:eastAsia="zh-CN"/>
        </w:rPr>
      </w:pPr>
      <w:r w:rsidRPr="00DA27E6">
        <w:rPr>
          <w:rFonts w:cs="Arial"/>
          <w:color w:val="auto"/>
          <w:lang w:eastAsia="zh-CN"/>
        </w:rPr>
        <w:t xml:space="preserve">UK mobile network suppliers face several supply-side constraints and issues that restrict their ability to provide services. For example, concerning spectrum, the need for high spectrum fees makes it difficult to achieve sufficient availability. At the same time, the limits of technical possibilities mean it is impossible to maximise the growth of supply. Furthermore, natural scarcity restricts the supply of spectrum, with regulatory allocation as a result. Alongside this, the significant infrastructure costs limit the operators' theoretical potential to improve coverage and service quality, including with the current 5G deployment. </w:t>
      </w:r>
      <w:r w:rsidR="001654F7" w:rsidRPr="00DA27E6">
        <w:rPr>
          <w:rFonts w:cs="Arial"/>
          <w:color w:val="auto"/>
          <w:lang w:eastAsia="zh-CN"/>
        </w:rPr>
        <w:t>Kanakadhurga and Prabaharan (2022) stated that n</w:t>
      </w:r>
      <w:r w:rsidRPr="00DA27E6">
        <w:rPr>
          <w:rFonts w:cs="Arial"/>
          <w:color w:val="auto"/>
          <w:lang w:eastAsia="zh-CN"/>
        </w:rPr>
        <w:t xml:space="preserve">etwork equipment's technological capabilities directly impact the kind and volume of services that may be provided. The regulatory environment significantly impacts operators' capacity to grow and modernise their networks in rural or underserved regions. </w:t>
      </w:r>
    </w:p>
    <w:p w14:paraId="17C94004" w14:textId="77777777" w:rsidR="00E042A5" w:rsidRPr="00DA27E6" w:rsidRDefault="00000000" w:rsidP="00D302BB">
      <w:pPr>
        <w:pStyle w:val="Heading2"/>
        <w:spacing w:before="0"/>
        <w:rPr>
          <w:rFonts w:cs="Arial"/>
        </w:rPr>
      </w:pPr>
      <w:bookmarkStart w:id="17" w:name="_Toc179725960"/>
      <w:r w:rsidRPr="00DA27E6">
        <w:rPr>
          <w:rFonts w:cs="Arial"/>
        </w:rPr>
        <w:t>Market Structure:</w:t>
      </w:r>
      <w:bookmarkEnd w:id="17"/>
    </w:p>
    <w:p w14:paraId="1EA9892F" w14:textId="77777777" w:rsidR="00E042A5" w:rsidRPr="00DA27E6" w:rsidRDefault="00000000" w:rsidP="00D302BB">
      <w:pPr>
        <w:rPr>
          <w:rFonts w:cs="Arial"/>
          <w:color w:val="auto"/>
          <w:lang w:eastAsia="zh-CN"/>
        </w:rPr>
      </w:pPr>
      <w:r w:rsidRPr="00DA27E6">
        <w:rPr>
          <w:rFonts w:cs="Arial"/>
          <w:color w:val="auto"/>
          <w:lang w:eastAsia="zh-CN"/>
        </w:rPr>
        <w:t>According to Moller, Nenonen, and Storbacka (2020), the UK mobile network industry can be considered a typical example of an oligopolistic market structure. An oligopoly is observed when "a small number of firms have the large majority of market share". The market is appropriate to be defined as an oligopoly because only four leading companies – EE, O2, Vodafone, and Three – dominate the sector and possess almost 90% of the market share. Moreover, the industry is oligopolistic because there are significant barriers to entry. They include the large capital requirements needed to establish a network and the limited supply of spectrum licenses. These two crucial factors determine the market's oligopolistic nature.</w:t>
      </w:r>
    </w:p>
    <w:p w14:paraId="69009E99" w14:textId="77777777" w:rsidR="00E042A5" w:rsidRPr="00DA27E6" w:rsidRDefault="00000000" w:rsidP="00D302BB">
      <w:pPr>
        <w:rPr>
          <w:rFonts w:cs="Arial"/>
          <w:color w:val="auto"/>
          <w:lang w:eastAsia="zh-CN"/>
        </w:rPr>
      </w:pPr>
      <w:r w:rsidRPr="00DA27E6">
        <w:rPr>
          <w:rFonts w:cs="Arial"/>
          <w:color w:val="auto"/>
          <w:lang w:eastAsia="zh-CN"/>
        </w:rPr>
        <w:t>This market structure highly conditions the industry's pricing and the overall level of competition. Because there are only a few significant players in the market, they cannot survive without each other; these companies are interdependent</w:t>
      </w:r>
      <w:r w:rsidR="001654F7" w:rsidRPr="00DA27E6">
        <w:rPr>
          <w:rFonts w:cs="Arial"/>
          <w:color w:val="auto"/>
          <w:lang w:eastAsia="zh-CN"/>
        </w:rPr>
        <w:t xml:space="preserve"> (Kim, Wang, and Roh, 2021)</w:t>
      </w:r>
      <w:r w:rsidRPr="00DA27E6">
        <w:rPr>
          <w:rFonts w:cs="Arial"/>
          <w:color w:val="auto"/>
          <w:lang w:eastAsia="zh-CN"/>
        </w:rPr>
        <w:t>. Therefore, they follow a general strategy whereby each operator considers the possible reaction of its competitors to a specific price or investment decision. Thus, the businesses involved in the industry are frequently restricted in their willingness to change prices independently because this move can trigger a "price war". Moreover, there are periodic "price wars" in this sector, which can take place, for example, as a reaction to new technology or changes in the regulatory environment</w:t>
      </w:r>
      <w:r w:rsidR="001654F7" w:rsidRPr="00DA27E6">
        <w:rPr>
          <w:rFonts w:cs="Arial"/>
          <w:color w:val="auto"/>
          <w:lang w:eastAsia="zh-CN"/>
        </w:rPr>
        <w:t xml:space="preserve"> (Kim, Wang, and Roh, 2021)</w:t>
      </w:r>
      <w:r w:rsidRPr="00DA27E6">
        <w:rPr>
          <w:rFonts w:cs="Arial"/>
          <w:color w:val="auto"/>
          <w:lang w:eastAsia="zh-CN"/>
        </w:rPr>
        <w:t xml:space="preserve">. </w:t>
      </w:r>
    </w:p>
    <w:p w14:paraId="57D13B35" w14:textId="77777777" w:rsidR="00E042A5" w:rsidRPr="00DA27E6" w:rsidRDefault="00000000" w:rsidP="00D302BB">
      <w:pPr>
        <w:pStyle w:val="Heading2"/>
        <w:spacing w:before="0"/>
        <w:rPr>
          <w:rFonts w:cs="Arial"/>
        </w:rPr>
      </w:pPr>
      <w:bookmarkStart w:id="18" w:name="_Toc179725961"/>
      <w:r w:rsidRPr="00DA27E6">
        <w:rPr>
          <w:rFonts w:cs="Arial"/>
        </w:rPr>
        <w:t>Business Objectives:</w:t>
      </w:r>
      <w:bookmarkEnd w:id="18"/>
    </w:p>
    <w:p w14:paraId="10D9421D" w14:textId="77777777" w:rsidR="0065071C" w:rsidRPr="00DA27E6" w:rsidRDefault="00000000" w:rsidP="00D302BB">
      <w:pPr>
        <w:rPr>
          <w:rFonts w:cs="Arial"/>
          <w:color w:val="auto"/>
          <w:lang w:eastAsia="zh-CN"/>
        </w:rPr>
      </w:pPr>
      <w:r w:rsidRPr="00DA27E6">
        <w:rPr>
          <w:rFonts w:cs="Arial"/>
          <w:color w:val="auto"/>
          <w:lang w:eastAsia="zh-CN"/>
        </w:rPr>
        <w:t>While profit maximisation remains the primary concern, UK mobile network operators increasingly follow various other goals to ensure sustainability and long-term success. These include:</w:t>
      </w:r>
    </w:p>
    <w:p w14:paraId="79CA0E8D" w14:textId="77777777" w:rsidR="0065071C" w:rsidRPr="00DA27E6" w:rsidRDefault="00000000" w:rsidP="00D302BB">
      <w:pPr>
        <w:pStyle w:val="ListParagraph"/>
        <w:numPr>
          <w:ilvl w:val="0"/>
          <w:numId w:val="3"/>
        </w:numPr>
        <w:rPr>
          <w:rFonts w:cs="Arial"/>
          <w:color w:val="auto"/>
          <w:lang w:eastAsia="zh-CN"/>
        </w:rPr>
      </w:pPr>
      <w:r w:rsidRPr="00DA27E6">
        <w:rPr>
          <w:rFonts w:cs="Arial"/>
          <w:b/>
          <w:bCs/>
          <w:color w:val="auto"/>
          <w:lang w:eastAsia="zh-CN"/>
        </w:rPr>
        <w:lastRenderedPageBreak/>
        <w:t>Market Share:</w:t>
      </w:r>
      <w:r w:rsidRPr="00DA27E6">
        <w:rPr>
          <w:rFonts w:cs="Arial"/>
          <w:color w:val="auto"/>
          <w:lang w:eastAsia="zh-CN"/>
        </w:rPr>
        <w:t xml:space="preserve"> Operators want to expand their customer base, as they consider market share an essential indicator of their competitiveness and profit potential.</w:t>
      </w:r>
    </w:p>
    <w:p w14:paraId="579D2404" w14:textId="77777777" w:rsidR="0065071C" w:rsidRPr="00DA27E6" w:rsidRDefault="00000000" w:rsidP="00D302BB">
      <w:pPr>
        <w:pStyle w:val="ListParagraph"/>
        <w:numPr>
          <w:ilvl w:val="0"/>
          <w:numId w:val="3"/>
        </w:numPr>
        <w:rPr>
          <w:rFonts w:cs="Arial"/>
          <w:color w:val="auto"/>
          <w:lang w:eastAsia="zh-CN"/>
        </w:rPr>
      </w:pPr>
      <w:r w:rsidRPr="00DA27E6">
        <w:rPr>
          <w:rFonts w:cs="Arial"/>
          <w:b/>
          <w:bCs/>
          <w:color w:val="auto"/>
          <w:lang w:eastAsia="zh-CN"/>
        </w:rPr>
        <w:t>Customer satisfaction:</w:t>
      </w:r>
      <w:r w:rsidRPr="00DA27E6">
        <w:rPr>
          <w:rFonts w:cs="Arial"/>
          <w:color w:val="auto"/>
          <w:lang w:eastAsia="zh-CN"/>
        </w:rPr>
        <w:t xml:space="preserve"> The main goals are customer assistance productivity, the introduction of new goods, and service quality improvements, which would help to enhance the operator's retention or even make a customer a fan.</w:t>
      </w:r>
    </w:p>
    <w:p w14:paraId="427BA3C4" w14:textId="77777777" w:rsidR="0065071C" w:rsidRPr="00DA27E6" w:rsidRDefault="00000000" w:rsidP="00D302BB">
      <w:pPr>
        <w:pStyle w:val="ListParagraph"/>
        <w:numPr>
          <w:ilvl w:val="0"/>
          <w:numId w:val="3"/>
        </w:numPr>
        <w:rPr>
          <w:rFonts w:cs="Arial"/>
          <w:color w:val="auto"/>
          <w:lang w:eastAsia="zh-CN"/>
        </w:rPr>
      </w:pPr>
      <w:r w:rsidRPr="00DA27E6">
        <w:rPr>
          <w:rFonts w:cs="Arial"/>
          <w:b/>
          <w:bCs/>
          <w:color w:val="auto"/>
          <w:lang w:eastAsia="zh-CN"/>
        </w:rPr>
        <w:t xml:space="preserve">Sustainability: </w:t>
      </w:r>
      <w:r w:rsidRPr="00DA27E6">
        <w:rPr>
          <w:rFonts w:cs="Arial"/>
          <w:color w:val="auto"/>
          <w:lang w:eastAsia="zh-CN"/>
        </w:rPr>
        <w:t>A robust environmental agenda, including emission reduction and recycling campaigns, that respond to market and other legal requirements</w:t>
      </w:r>
    </w:p>
    <w:p w14:paraId="1C4668C7" w14:textId="77777777" w:rsidR="0065071C" w:rsidRPr="00DA27E6" w:rsidRDefault="00000000" w:rsidP="00D302BB">
      <w:pPr>
        <w:pStyle w:val="ListParagraph"/>
        <w:numPr>
          <w:ilvl w:val="0"/>
          <w:numId w:val="3"/>
        </w:numPr>
        <w:rPr>
          <w:rFonts w:cs="Arial"/>
          <w:color w:val="auto"/>
          <w:lang w:eastAsia="zh-CN"/>
        </w:rPr>
      </w:pPr>
      <w:r w:rsidRPr="00DA27E6">
        <w:rPr>
          <w:rFonts w:cs="Arial"/>
          <w:b/>
          <w:bCs/>
          <w:color w:val="auto"/>
          <w:lang w:eastAsia="zh-CN"/>
        </w:rPr>
        <w:t>Technological Leadership:</w:t>
      </w:r>
      <w:r w:rsidRPr="00DA27E6">
        <w:rPr>
          <w:rFonts w:cs="Arial"/>
          <w:color w:val="auto"/>
          <w:lang w:eastAsia="zh-CN"/>
        </w:rPr>
        <w:t xml:space="preserve"> Investments in emerging technologies such as IoT and 5g to outpace contenders and dictate trends in the market</w:t>
      </w:r>
    </w:p>
    <w:p w14:paraId="542E5436" w14:textId="77777777" w:rsidR="0065071C" w:rsidRPr="00DA27E6" w:rsidRDefault="00000000" w:rsidP="00D302BB">
      <w:pPr>
        <w:pStyle w:val="ListParagraph"/>
        <w:numPr>
          <w:ilvl w:val="0"/>
          <w:numId w:val="3"/>
        </w:numPr>
        <w:rPr>
          <w:rFonts w:cs="Arial"/>
          <w:color w:val="auto"/>
          <w:lang w:eastAsia="zh-CN"/>
        </w:rPr>
      </w:pPr>
      <w:r w:rsidRPr="00DA27E6">
        <w:rPr>
          <w:rFonts w:cs="Arial"/>
          <w:b/>
          <w:bCs/>
          <w:color w:val="auto"/>
          <w:lang w:eastAsia="zh-CN"/>
        </w:rPr>
        <w:t>Social responsibility:</w:t>
      </w:r>
      <w:r w:rsidRPr="00DA27E6">
        <w:rPr>
          <w:rFonts w:cs="Arial"/>
          <w:color w:val="auto"/>
          <w:lang w:eastAsia="zh-CN"/>
        </w:rPr>
        <w:t xml:space="preserve"> Digital gap reduction by “giving free internet in rural areas and cheap services to tribes in Amazonia.”</w:t>
      </w:r>
    </w:p>
    <w:p w14:paraId="1061851F" w14:textId="77777777" w:rsidR="0065071C" w:rsidRPr="00DA27E6" w:rsidRDefault="00000000" w:rsidP="00D302BB">
      <w:pPr>
        <w:pStyle w:val="Heading2"/>
        <w:spacing w:before="0"/>
        <w:rPr>
          <w:rFonts w:cs="Arial"/>
        </w:rPr>
      </w:pPr>
      <w:bookmarkStart w:id="19" w:name="_Toc179725962"/>
      <w:r w:rsidRPr="00DA27E6">
        <w:rPr>
          <w:rFonts w:cs="Arial"/>
        </w:rPr>
        <w:t>Stakeholder Analysis</w:t>
      </w:r>
      <w:r w:rsidR="00F63630" w:rsidRPr="00DA27E6">
        <w:rPr>
          <w:rFonts w:cs="Arial"/>
        </w:rPr>
        <w:t>:</w:t>
      </w:r>
      <w:bookmarkEnd w:id="19"/>
    </w:p>
    <w:p w14:paraId="083CA026" w14:textId="77777777" w:rsidR="00F63630" w:rsidRPr="00DA27E6" w:rsidRDefault="00000000" w:rsidP="00D302BB">
      <w:pPr>
        <w:rPr>
          <w:rFonts w:cs="Arial"/>
          <w:color w:val="auto"/>
          <w:lang w:eastAsia="zh-CN"/>
        </w:rPr>
      </w:pPr>
      <w:r w:rsidRPr="00DA27E6">
        <w:rPr>
          <w:rFonts w:cs="Arial"/>
          <w:color w:val="auto"/>
          <w:lang w:eastAsia="zh-CN"/>
        </w:rPr>
        <w:t xml:space="preserve">According to Bakhtiari et al. (2024), stakeholder analysis is a strategic process that involves determining and assessing the interests and influence of important people, groups, or organisations that may impact or be impacted by a firm's decisions. </w:t>
      </w:r>
    </w:p>
    <w:p w14:paraId="18D899E3" w14:textId="77777777" w:rsidR="00F63630" w:rsidRPr="00DA27E6" w:rsidRDefault="00000000" w:rsidP="00D302BB">
      <w:pPr>
        <w:jc w:val="center"/>
        <w:rPr>
          <w:rFonts w:cs="Arial"/>
          <w:color w:val="auto"/>
          <w:lang w:eastAsia="zh-CN"/>
        </w:rPr>
      </w:pPr>
      <w:r w:rsidRPr="00DA27E6">
        <w:rPr>
          <w:rFonts w:cs="Arial"/>
          <w:noProof/>
          <w:color w:val="auto"/>
        </w:rPr>
        <w:drawing>
          <wp:inline distT="0" distB="0" distL="0" distR="0" wp14:anchorId="514D2964" wp14:editId="36B78F66">
            <wp:extent cx="4286250" cy="2817832"/>
            <wp:effectExtent l="0" t="0" r="0" b="1905"/>
            <wp:docPr id="993369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69793" name="Picture 3"/>
                    <pic:cNvPicPr>
                      <a:picLocks noChangeAspect="1" noChangeArrowheads="1"/>
                    </pic:cNvPicPr>
                  </pic:nvPicPr>
                  <pic:blipFill>
                    <a:blip r:embed="rId9" cstate="print">
                      <a:clrChange>
                        <a:clrFrom>
                          <a:srgbClr val="F8F8F8"/>
                        </a:clrFrom>
                        <a:clrTo>
                          <a:srgbClr val="F8F8F8">
                            <a:alpha val="0"/>
                          </a:srgbClr>
                        </a:clrTo>
                      </a:clrChange>
                      <a:extLst>
                        <a:ext uri="{28A0092B-C50C-407E-A947-70E740481C1C}">
                          <a14:useLocalDpi xmlns:a14="http://schemas.microsoft.com/office/drawing/2010/main" val="0"/>
                        </a:ext>
                      </a:extLst>
                    </a:blip>
                    <a:srcRect t="2996" b="10782"/>
                    <a:stretch>
                      <a:fillRect/>
                    </a:stretch>
                  </pic:blipFill>
                  <pic:spPr bwMode="auto">
                    <a:xfrm>
                      <a:off x="0" y="0"/>
                      <a:ext cx="4296085" cy="2824298"/>
                    </a:xfrm>
                    <a:prstGeom prst="rect">
                      <a:avLst/>
                    </a:prstGeom>
                    <a:noFill/>
                    <a:ln>
                      <a:noFill/>
                    </a:ln>
                    <a:extLst>
                      <a:ext uri="{53640926-AAD7-44D8-BBD7-CCE9431645EC}">
                        <a14:shadowObscured xmlns:a14="http://schemas.microsoft.com/office/drawing/2010/main"/>
                      </a:ext>
                    </a:extLst>
                  </pic:spPr>
                </pic:pic>
              </a:graphicData>
            </a:graphic>
          </wp:inline>
        </w:drawing>
      </w:r>
    </w:p>
    <w:p w14:paraId="48946943" w14:textId="77777777" w:rsidR="00F63630" w:rsidRPr="00DA27E6" w:rsidRDefault="00000000" w:rsidP="00D302BB">
      <w:pPr>
        <w:pStyle w:val="Caption"/>
        <w:spacing w:after="0" w:line="360" w:lineRule="auto"/>
        <w:jc w:val="center"/>
        <w:rPr>
          <w:rFonts w:cs="Arial"/>
          <w:b/>
          <w:bCs/>
          <w:i w:val="0"/>
          <w:iCs w:val="0"/>
          <w:color w:val="auto"/>
        </w:rPr>
      </w:pPr>
      <w:bookmarkStart w:id="20" w:name="_Toc179718657"/>
      <w:r w:rsidRPr="00DA27E6">
        <w:rPr>
          <w:rFonts w:cs="Arial"/>
          <w:b/>
          <w:bCs/>
          <w:i w:val="0"/>
          <w:iCs w:val="0"/>
          <w:color w:val="auto"/>
        </w:rPr>
        <w:t xml:space="preserve">Figure </w:t>
      </w:r>
      <w:r w:rsidRPr="00DA27E6">
        <w:rPr>
          <w:rFonts w:cs="Arial"/>
          <w:b/>
          <w:bCs/>
          <w:i w:val="0"/>
          <w:iCs w:val="0"/>
          <w:color w:val="auto"/>
        </w:rPr>
        <w:fldChar w:fldCharType="begin"/>
      </w:r>
      <w:r w:rsidRPr="00DA27E6">
        <w:rPr>
          <w:rFonts w:cs="Arial"/>
          <w:b/>
          <w:bCs/>
          <w:i w:val="0"/>
          <w:iCs w:val="0"/>
          <w:color w:val="auto"/>
        </w:rPr>
        <w:instrText xml:space="preserve"> SEQ Figure \* ARABIC </w:instrText>
      </w:r>
      <w:r w:rsidRPr="00DA27E6">
        <w:rPr>
          <w:rFonts w:cs="Arial"/>
          <w:b/>
          <w:bCs/>
          <w:i w:val="0"/>
          <w:iCs w:val="0"/>
          <w:color w:val="auto"/>
        </w:rPr>
        <w:fldChar w:fldCharType="separate"/>
      </w:r>
      <w:r w:rsidRPr="00DA27E6">
        <w:rPr>
          <w:rFonts w:cs="Arial"/>
          <w:b/>
          <w:bCs/>
          <w:i w:val="0"/>
          <w:iCs w:val="0"/>
          <w:noProof/>
          <w:color w:val="auto"/>
        </w:rPr>
        <w:t>2</w:t>
      </w:r>
      <w:r w:rsidRPr="00DA27E6">
        <w:rPr>
          <w:rFonts w:cs="Arial"/>
          <w:b/>
          <w:bCs/>
          <w:i w:val="0"/>
          <w:iCs w:val="0"/>
          <w:color w:val="auto"/>
        </w:rPr>
        <w:fldChar w:fldCharType="end"/>
      </w:r>
      <w:r w:rsidRPr="00DA27E6">
        <w:rPr>
          <w:rFonts w:cs="Arial"/>
          <w:b/>
          <w:bCs/>
          <w:i w:val="0"/>
          <w:iCs w:val="0"/>
          <w:color w:val="auto"/>
        </w:rPr>
        <w:t>:Stakeholders Analysis</w:t>
      </w:r>
      <w:bookmarkEnd w:id="20"/>
    </w:p>
    <w:p w14:paraId="00971A57" w14:textId="77777777" w:rsidR="00CB1004" w:rsidRPr="00DA27E6" w:rsidRDefault="00000000" w:rsidP="00D302BB">
      <w:pPr>
        <w:jc w:val="center"/>
        <w:rPr>
          <w:rFonts w:cs="Arial"/>
          <w:b/>
          <w:bCs/>
          <w:color w:val="auto"/>
          <w:sz w:val="18"/>
          <w:szCs w:val="18"/>
        </w:rPr>
      </w:pPr>
      <w:r w:rsidRPr="00DA27E6">
        <w:rPr>
          <w:rFonts w:cs="Arial"/>
          <w:b/>
          <w:bCs/>
          <w:color w:val="auto"/>
          <w:sz w:val="18"/>
          <w:szCs w:val="18"/>
        </w:rPr>
        <w:t>Source: (Hoory and Bottorff, 2022)</w:t>
      </w:r>
    </w:p>
    <w:p w14:paraId="3FDA3DC4" w14:textId="77777777" w:rsidR="00CB1004" w:rsidRPr="00DA27E6" w:rsidRDefault="00000000" w:rsidP="00D302BB">
      <w:pPr>
        <w:rPr>
          <w:rFonts w:cs="Arial"/>
          <w:color w:val="auto"/>
          <w:lang w:eastAsia="zh-CN"/>
        </w:rPr>
      </w:pPr>
      <w:r w:rsidRPr="00DA27E6">
        <w:rPr>
          <w:rFonts w:cs="Arial"/>
          <w:color w:val="auto"/>
          <w:lang w:eastAsia="zh-CN"/>
        </w:rPr>
        <w:t xml:space="preserve">According to Mendelow's Power-Interest Matrix, the UK mobile network industry players are divided into four groups based on their power and level of interest. In the high power, high interest "Key Players" category are the consumers, who are looking for a reliable and affordable service covering most places; governments and regulators, who are ensuring fair competition, efficient spectrum management, and the protection of the customers; and stockholders, who are expecting expansion of the business and financial returns. Suppliers and partners interested in fair contracts and stable commercial relationships operate in the high-power, </w:t>
      </w:r>
      <w:proofErr w:type="gramStart"/>
      <w:r w:rsidRPr="00DA27E6">
        <w:rPr>
          <w:rFonts w:cs="Arial"/>
          <w:color w:val="auto"/>
          <w:lang w:eastAsia="zh-CN"/>
        </w:rPr>
        <w:t>low-interest</w:t>
      </w:r>
      <w:proofErr w:type="gramEnd"/>
      <w:r w:rsidRPr="00DA27E6">
        <w:rPr>
          <w:rFonts w:cs="Arial"/>
          <w:color w:val="auto"/>
          <w:lang w:eastAsia="zh-CN"/>
        </w:rPr>
        <w:t xml:space="preserve"> "Keep Satisfied" section. Meanwhile, employees and environmental </w:t>
      </w:r>
      <w:r w:rsidRPr="00DA27E6">
        <w:rPr>
          <w:rFonts w:cs="Arial"/>
          <w:color w:val="auto"/>
          <w:lang w:eastAsia="zh-CN"/>
        </w:rPr>
        <w:lastRenderedPageBreak/>
        <w:t xml:space="preserve">groups are assigned to the low power, high interest "Keep Informed" category: on the one hand, the former seek promotions, consistent pay, and job safety, while on the other hand, the latter are interested in the preservation of the environment and reduction in emissions. </w:t>
      </w:r>
    </w:p>
    <w:p w14:paraId="328070F5" w14:textId="77777777" w:rsidR="00CB1004" w:rsidRPr="00DA27E6" w:rsidRDefault="00000000" w:rsidP="00D302BB">
      <w:pPr>
        <w:pStyle w:val="Heading3"/>
        <w:rPr>
          <w:rFonts w:cs="Arial"/>
        </w:rPr>
      </w:pPr>
      <w:bookmarkStart w:id="21" w:name="_Toc179725963"/>
      <w:r w:rsidRPr="00DA27E6">
        <w:rPr>
          <w:rFonts w:cs="Arial"/>
        </w:rPr>
        <w:t>Balancing these stakeholders' interests involves:</w:t>
      </w:r>
      <w:bookmarkEnd w:id="21"/>
    </w:p>
    <w:p w14:paraId="047A2366" w14:textId="77777777" w:rsidR="00791706" w:rsidRPr="00DA27E6" w:rsidRDefault="00000000" w:rsidP="00D302BB">
      <w:pPr>
        <w:rPr>
          <w:rFonts w:cs="Arial"/>
          <w:color w:val="auto"/>
          <w:lang w:eastAsia="zh-CN"/>
        </w:rPr>
      </w:pPr>
      <w:r w:rsidRPr="00DA27E6">
        <w:rPr>
          <w:rFonts w:cs="Arial"/>
          <w:color w:val="auto"/>
          <w:lang w:eastAsia="zh-CN"/>
        </w:rPr>
        <w:t>Long-term viability and sustainability in the UK mobile network industry depend on striking a balance between the interests of many stakeholders. Preserving market position and operational legitimacy entails prioritising regulatory compliance and consumer satisfaction</w:t>
      </w:r>
      <w:r w:rsidR="00FF2C0E" w:rsidRPr="00DA27E6">
        <w:rPr>
          <w:rFonts w:cs="Arial"/>
          <w:color w:val="auto"/>
          <w:lang w:eastAsia="zh-CN"/>
        </w:rPr>
        <w:t xml:space="preserve"> (Mourtzis, Angelopoulos, and Panopoulos, 2021)</w:t>
      </w:r>
      <w:r w:rsidRPr="00DA27E6">
        <w:rPr>
          <w:rFonts w:cs="Arial"/>
          <w:color w:val="auto"/>
          <w:lang w:eastAsia="zh-CN"/>
        </w:rPr>
        <w:t>. To satisfy shareholder expectations, corporations must simultaneously assure profitability. Engaging with local communities promotes easier infrastructure development while implementing fair labour practices and sustainable operations and answers concerns about employees and the environment. Working with suppliers on moral business practices supports the sector's sustainability. In a complex and changing industry landscape, this strategic approach to stakeholder management supports long-term survival and growth by fostering a balanced ecosystem</w:t>
      </w:r>
      <w:r w:rsidR="00FF2C0E" w:rsidRPr="00DA27E6">
        <w:rPr>
          <w:rFonts w:cs="Arial"/>
          <w:color w:val="auto"/>
          <w:lang w:eastAsia="zh-CN"/>
        </w:rPr>
        <w:t xml:space="preserve"> </w:t>
      </w:r>
      <w:r w:rsidR="00FF2C0E" w:rsidRPr="00DA27E6">
        <w:rPr>
          <w:rFonts w:cs="Arial"/>
          <w:color w:val="auto"/>
        </w:rPr>
        <w:t>(Paul, 2021)</w:t>
      </w:r>
      <w:r w:rsidRPr="00DA27E6">
        <w:rPr>
          <w:rFonts w:cs="Arial"/>
          <w:color w:val="auto"/>
          <w:lang w:eastAsia="zh-CN"/>
        </w:rPr>
        <w:t xml:space="preserve">. </w:t>
      </w:r>
    </w:p>
    <w:p w14:paraId="5CACC2F7" w14:textId="77777777" w:rsidR="006A0391" w:rsidRPr="00DA27E6" w:rsidRDefault="00000000" w:rsidP="00D302BB">
      <w:pPr>
        <w:pStyle w:val="Heading2"/>
        <w:spacing w:before="0"/>
        <w:rPr>
          <w:rFonts w:cs="Arial"/>
        </w:rPr>
      </w:pPr>
      <w:bookmarkStart w:id="22" w:name="_Toc179725964"/>
      <w:r w:rsidRPr="00DA27E6">
        <w:rPr>
          <w:rFonts w:cs="Arial"/>
        </w:rPr>
        <w:t>Sustainable growth strategies:</w:t>
      </w:r>
      <w:bookmarkEnd w:id="22"/>
    </w:p>
    <w:p w14:paraId="6AC05F6F" w14:textId="77777777" w:rsidR="006A0391" w:rsidRPr="00DA27E6" w:rsidRDefault="00000000" w:rsidP="00D302BB">
      <w:pPr>
        <w:rPr>
          <w:rFonts w:cs="Arial"/>
          <w:color w:val="auto"/>
          <w:lang w:eastAsia="zh-CN"/>
        </w:rPr>
      </w:pPr>
      <w:r w:rsidRPr="00DA27E6">
        <w:rPr>
          <w:rFonts w:cs="Arial"/>
          <w:color w:val="auto"/>
          <w:lang w:eastAsia="zh-CN"/>
        </w:rPr>
        <w:t>The mobile network industry in the United Kingdom is employing many approaches to guarantee long-term development. Businesses are investing significantly in edge computing, creating AI tools for network optimisation, and establishing 5G infrastructure, among other innovative projects. Customer-centric strategies emphasise omnichannel customer assistance, service personalisation, and raising QOE (quality of experience) indicators</w:t>
      </w:r>
      <w:r w:rsidR="00FF2C0E" w:rsidRPr="00DA27E6">
        <w:rPr>
          <w:rFonts w:cs="Arial"/>
          <w:color w:val="auto"/>
          <w:lang w:eastAsia="zh-CN"/>
        </w:rPr>
        <w:t xml:space="preserve"> </w:t>
      </w:r>
      <w:r w:rsidR="00FF2C0E" w:rsidRPr="00DA27E6">
        <w:rPr>
          <w:rFonts w:cs="Arial"/>
          <w:color w:val="auto"/>
          <w:szCs w:val="20"/>
        </w:rPr>
        <w:t>(Hoory and Bottorff, 2022)</w:t>
      </w:r>
      <w:r w:rsidRPr="00DA27E6">
        <w:rPr>
          <w:rFonts w:cs="Arial"/>
          <w:color w:val="auto"/>
          <w:lang w:eastAsia="zh-CN"/>
        </w:rPr>
        <w:t>. The promotion of e-waste recycling initiatives, the use of energy-efficient technology, and the use of renewable energy sources all contribute to environmental sustainability. Operator collaborations with tech startups, academic institutions, and industry consortiums are critical in driving innovation and creating industry standards. Together, these tactics seek to strike a balance between customer happiness, environmental responsibility, and technical advancement</w:t>
      </w:r>
      <w:r w:rsidR="00FF2C0E" w:rsidRPr="00DA27E6">
        <w:rPr>
          <w:rFonts w:cs="Arial"/>
          <w:color w:val="auto"/>
          <w:lang w:eastAsia="zh-CN"/>
        </w:rPr>
        <w:t xml:space="preserve"> </w:t>
      </w:r>
      <w:r w:rsidR="00FF2C0E" w:rsidRPr="00DA27E6">
        <w:rPr>
          <w:rFonts w:cs="Arial"/>
          <w:color w:val="auto"/>
          <w:szCs w:val="20"/>
        </w:rPr>
        <w:t>(Samdanis and Taleb, 2020)</w:t>
      </w:r>
      <w:r w:rsidRPr="00DA27E6">
        <w:rPr>
          <w:rFonts w:cs="Arial"/>
          <w:color w:val="auto"/>
          <w:lang w:eastAsia="zh-CN"/>
        </w:rPr>
        <w:t xml:space="preserve">. </w:t>
      </w:r>
    </w:p>
    <w:p w14:paraId="711A2021" w14:textId="77777777" w:rsidR="00CB1004" w:rsidRPr="00DA27E6" w:rsidRDefault="00000000" w:rsidP="00D302BB">
      <w:pPr>
        <w:pStyle w:val="Heading1"/>
        <w:rPr>
          <w:rFonts w:cs="Arial"/>
        </w:rPr>
      </w:pPr>
      <w:bookmarkStart w:id="23" w:name="_Toc179725965"/>
      <w:r w:rsidRPr="00DA27E6">
        <w:rPr>
          <w:rFonts w:cs="Arial"/>
        </w:rPr>
        <w:t>Recommendations:</w:t>
      </w:r>
      <w:bookmarkEnd w:id="23"/>
    </w:p>
    <w:p w14:paraId="124F8708" w14:textId="77777777" w:rsidR="006A0391" w:rsidRPr="00DA27E6" w:rsidRDefault="00000000" w:rsidP="00D302BB">
      <w:pPr>
        <w:pStyle w:val="ListParagraph"/>
        <w:numPr>
          <w:ilvl w:val="0"/>
          <w:numId w:val="4"/>
        </w:numPr>
        <w:rPr>
          <w:rFonts w:cs="Arial"/>
          <w:color w:val="auto"/>
          <w:lang w:eastAsia="zh-CN"/>
        </w:rPr>
      </w:pPr>
      <w:r w:rsidRPr="00DA27E6">
        <w:rPr>
          <w:rFonts w:cs="Arial"/>
          <w:b/>
          <w:bCs/>
          <w:color w:val="auto"/>
          <w:lang w:eastAsia="zh-CN"/>
        </w:rPr>
        <w:t>5G Infrastructure Acceleration:</w:t>
      </w:r>
      <w:r w:rsidRPr="00DA27E6">
        <w:rPr>
          <w:rFonts w:cs="Arial"/>
          <w:color w:val="auto"/>
          <w:lang w:eastAsia="zh-CN"/>
        </w:rPr>
        <w:t xml:space="preserve"> Plan for nationwide coverage while prioritising urban rollout. Regulators should encourage rural growth and simplify the distribution of spectrum.</w:t>
      </w:r>
    </w:p>
    <w:p w14:paraId="0FFBE6E5" w14:textId="77777777" w:rsidR="006A0391" w:rsidRPr="00DA27E6" w:rsidRDefault="00000000" w:rsidP="00CB53E4">
      <w:pPr>
        <w:pStyle w:val="ListParagraph"/>
        <w:numPr>
          <w:ilvl w:val="0"/>
          <w:numId w:val="4"/>
        </w:numPr>
        <w:rPr>
          <w:rFonts w:cs="Arial"/>
          <w:color w:val="auto"/>
          <w:szCs w:val="22"/>
          <w:lang w:eastAsia="zh-CN"/>
        </w:rPr>
      </w:pPr>
      <w:r w:rsidRPr="00DA27E6">
        <w:rPr>
          <w:rFonts w:cs="Arial"/>
          <w:b/>
          <w:bCs/>
          <w:color w:val="auto"/>
          <w:lang w:eastAsia="zh-CN"/>
        </w:rPr>
        <w:t>Encourage Innovation Partnerships:</w:t>
      </w:r>
      <w:r w:rsidRPr="00DA27E6">
        <w:rPr>
          <w:rFonts w:cs="Arial"/>
          <w:color w:val="auto"/>
          <w:lang w:eastAsia="zh-CN"/>
        </w:rPr>
        <w:t xml:space="preserve"> Work with startups, tech companies, and </w:t>
      </w:r>
      <w:r w:rsidRPr="00DA27E6">
        <w:rPr>
          <w:rFonts w:cs="Arial"/>
          <w:color w:val="auto"/>
          <w:szCs w:val="22"/>
          <w:lang w:eastAsia="zh-CN"/>
        </w:rPr>
        <w:t>academic institutions to promote developments in edge computing, AI, and IoT.</w:t>
      </w:r>
    </w:p>
    <w:p w14:paraId="4DD5A061" w14:textId="77777777" w:rsidR="00CB53E4" w:rsidRPr="00DA27E6" w:rsidRDefault="00000000" w:rsidP="00CB53E4">
      <w:pPr>
        <w:pStyle w:val="NormalWeb"/>
        <w:numPr>
          <w:ilvl w:val="0"/>
          <w:numId w:val="6"/>
        </w:numPr>
        <w:spacing w:before="0" w:beforeAutospacing="0" w:after="0" w:afterAutospacing="0" w:line="360" w:lineRule="auto"/>
        <w:jc w:val="both"/>
        <w:rPr>
          <w:rFonts w:ascii="Arial" w:hAnsi="Arial" w:cs="Arial"/>
          <w:sz w:val="22"/>
          <w:szCs w:val="22"/>
        </w:rPr>
      </w:pPr>
      <w:r w:rsidRPr="00DA27E6">
        <w:rPr>
          <w:rFonts w:ascii="Arial" w:hAnsi="Arial" w:cs="Arial"/>
          <w:b/>
          <w:bCs/>
          <w:sz w:val="22"/>
          <w:szCs w:val="22"/>
        </w:rPr>
        <w:t>Enhance cybersecurity and network resilience</w:t>
      </w:r>
      <w:r w:rsidRPr="00DA27E6">
        <w:rPr>
          <w:rFonts w:ascii="Arial" w:hAnsi="Arial" w:cs="Arial"/>
          <w:sz w:val="22"/>
          <w:szCs w:val="22"/>
        </w:rPr>
        <w:t>: Implement robust measures against cyberattacks and disruptions. Adopt stringent cybersecurity regulations for the entire sector.</w:t>
      </w:r>
    </w:p>
    <w:p w14:paraId="17768421" w14:textId="77777777" w:rsidR="00CB53E4" w:rsidRPr="00DA27E6" w:rsidRDefault="00000000" w:rsidP="00CB53E4">
      <w:pPr>
        <w:pStyle w:val="NormalWeb"/>
        <w:numPr>
          <w:ilvl w:val="0"/>
          <w:numId w:val="6"/>
        </w:numPr>
        <w:spacing w:before="0" w:beforeAutospacing="0" w:after="0" w:afterAutospacing="0" w:line="360" w:lineRule="auto"/>
        <w:jc w:val="both"/>
        <w:rPr>
          <w:rFonts w:ascii="Arial" w:hAnsi="Arial" w:cs="Arial"/>
          <w:sz w:val="22"/>
          <w:szCs w:val="22"/>
        </w:rPr>
      </w:pPr>
      <w:r w:rsidRPr="00DA27E6">
        <w:rPr>
          <w:rFonts w:ascii="Arial" w:hAnsi="Arial" w:cs="Arial"/>
          <w:b/>
          <w:bCs/>
          <w:sz w:val="22"/>
          <w:szCs w:val="22"/>
        </w:rPr>
        <w:lastRenderedPageBreak/>
        <w:t>Implement the circular economy and renewable energy</w:t>
      </w:r>
      <w:r w:rsidRPr="00DA27E6">
        <w:rPr>
          <w:rFonts w:ascii="Arial" w:hAnsi="Arial" w:cs="Arial"/>
          <w:sz w:val="22"/>
          <w:szCs w:val="22"/>
        </w:rPr>
        <w:t xml:space="preserve"> strategies to support Sustainable Development. Regulators must incentivise sustainable initiatives.</w:t>
      </w:r>
    </w:p>
    <w:p w14:paraId="38B7A621" w14:textId="77777777" w:rsidR="00CB53E4" w:rsidRPr="00DA27E6" w:rsidRDefault="00000000" w:rsidP="00CB53E4">
      <w:pPr>
        <w:pStyle w:val="NormalWeb"/>
        <w:numPr>
          <w:ilvl w:val="0"/>
          <w:numId w:val="6"/>
        </w:numPr>
        <w:spacing w:before="0" w:beforeAutospacing="0" w:after="0" w:afterAutospacing="0" w:line="360" w:lineRule="auto"/>
        <w:jc w:val="both"/>
        <w:rPr>
          <w:rFonts w:ascii="Arial" w:hAnsi="Arial" w:cs="Arial"/>
          <w:sz w:val="22"/>
          <w:szCs w:val="22"/>
        </w:rPr>
      </w:pPr>
      <w:r w:rsidRPr="00DA27E6">
        <w:rPr>
          <w:rFonts w:ascii="Arial" w:hAnsi="Arial" w:cs="Arial"/>
          <w:b/>
          <w:bCs/>
          <w:sz w:val="22"/>
          <w:szCs w:val="22"/>
        </w:rPr>
        <w:t>Resolve the ‘Digital Divide’</w:t>
      </w:r>
      <w:r w:rsidRPr="00DA27E6">
        <w:rPr>
          <w:rFonts w:ascii="Arial" w:hAnsi="Arial" w:cs="Arial"/>
          <w:sz w:val="22"/>
          <w:szCs w:val="22"/>
        </w:rPr>
        <w:t xml:space="preserve"> by delivering equal access to cutting-edge mobile services across all terrains and human settlements. Support the options and initiatives on digital literacy and cheap access.</w:t>
      </w:r>
    </w:p>
    <w:p w14:paraId="786D060B" w14:textId="77777777" w:rsidR="006A0391" w:rsidRPr="00DA27E6" w:rsidRDefault="00000000" w:rsidP="00D302BB">
      <w:pPr>
        <w:rPr>
          <w:rFonts w:cs="Arial"/>
          <w:color w:val="auto"/>
          <w:lang w:eastAsia="zh-CN"/>
        </w:rPr>
      </w:pPr>
      <w:r w:rsidRPr="00DA27E6">
        <w:rPr>
          <w:rFonts w:cs="Arial"/>
          <w:color w:val="auto"/>
          <w:lang w:eastAsia="zh-CN"/>
        </w:rPr>
        <w:t>These ideas seek to establish a robust, creative, and inclusive mobile network industry in the UK by combining expansion with social demands.</w:t>
      </w:r>
    </w:p>
    <w:p w14:paraId="098DCDD5" w14:textId="77777777" w:rsidR="006A0391" w:rsidRPr="00DA27E6" w:rsidRDefault="00000000" w:rsidP="00D302BB">
      <w:pPr>
        <w:pStyle w:val="Heading1"/>
        <w:rPr>
          <w:rFonts w:cs="Arial"/>
        </w:rPr>
      </w:pPr>
      <w:bookmarkStart w:id="24" w:name="_Toc179725966"/>
      <w:r w:rsidRPr="00DA27E6">
        <w:rPr>
          <w:rFonts w:cs="Arial"/>
        </w:rPr>
        <w:t>Conclusion:</w:t>
      </w:r>
      <w:bookmarkEnd w:id="24"/>
    </w:p>
    <w:p w14:paraId="201E2558" w14:textId="77777777" w:rsidR="00D44981" w:rsidRPr="00DA27E6" w:rsidRDefault="00000000" w:rsidP="00D44981">
      <w:pPr>
        <w:rPr>
          <w:rFonts w:cs="Arial"/>
          <w:color w:val="auto"/>
          <w:lang w:eastAsia="zh-CN"/>
        </w:rPr>
      </w:pPr>
      <w:r w:rsidRPr="00DA27E6">
        <w:rPr>
          <w:rFonts w:cs="Arial"/>
          <w:color w:val="auto"/>
          <w:lang w:eastAsia="zh-CN"/>
        </w:rPr>
        <w:t>The UK mobile network industry is currently at a tipping point, with an oligopolistic market structure based on four great competitors. As for the sector's development and innovation, 5G is increasingly transforming the way the industry is developing. Due to the complex stakeholder landscape requiring strategic management, the sector focuses more on sustainability and digital divide reduction. Additionally, cybersecurity and networking resilience have become critical factors as the technological world develops. There is room for optimism about the sector's future, although some uncertainties will define the market. For example, numerous economic sectors are anticipated to change because the 5G technology's full potential is unlocked, in addition to the impact of the IoT and AI discoveries. For operators, the key challenges to overcome are regulatory pressures, market saturation, and high infrastructure costs.</w:t>
      </w:r>
    </w:p>
    <w:p w14:paraId="3F8B66F4" w14:textId="77777777" w:rsidR="006A0391" w:rsidRPr="00DA27E6" w:rsidRDefault="006A0391" w:rsidP="00D302BB">
      <w:pPr>
        <w:rPr>
          <w:rFonts w:cs="Arial"/>
          <w:color w:val="auto"/>
          <w:lang w:eastAsia="zh-CN"/>
        </w:rPr>
      </w:pPr>
    </w:p>
    <w:p w14:paraId="61F96B24" w14:textId="77777777" w:rsidR="006A0391" w:rsidRPr="00DA27E6" w:rsidRDefault="00000000" w:rsidP="00D302BB">
      <w:pPr>
        <w:spacing w:line="259" w:lineRule="auto"/>
        <w:jc w:val="left"/>
        <w:rPr>
          <w:rFonts w:cs="Arial"/>
          <w:color w:val="auto"/>
          <w:lang w:eastAsia="zh-CN"/>
        </w:rPr>
      </w:pPr>
      <w:r w:rsidRPr="00DA27E6">
        <w:rPr>
          <w:rFonts w:cs="Arial"/>
          <w:color w:val="auto"/>
          <w:lang w:eastAsia="zh-CN"/>
        </w:rPr>
        <w:br w:type="page"/>
      </w:r>
    </w:p>
    <w:p w14:paraId="38902F60" w14:textId="77777777" w:rsidR="00CB1004" w:rsidRPr="00DA27E6" w:rsidRDefault="00000000" w:rsidP="00D302BB">
      <w:pPr>
        <w:pStyle w:val="Heading1"/>
        <w:rPr>
          <w:rFonts w:cs="Arial"/>
        </w:rPr>
      </w:pPr>
      <w:bookmarkStart w:id="25" w:name="_Toc179725967"/>
      <w:r w:rsidRPr="00DA27E6">
        <w:rPr>
          <w:rFonts w:cs="Arial"/>
        </w:rPr>
        <w:lastRenderedPageBreak/>
        <w:t>References:</w:t>
      </w:r>
      <w:bookmarkEnd w:id="25"/>
    </w:p>
    <w:p w14:paraId="0E7653EA" w14:textId="77777777" w:rsidR="005065CF" w:rsidRPr="00DA27E6" w:rsidRDefault="00000000" w:rsidP="005065CF">
      <w:pPr>
        <w:rPr>
          <w:color w:val="auto"/>
        </w:rPr>
      </w:pPr>
      <w:r w:rsidRPr="00DA27E6">
        <w:rPr>
          <w:color w:val="auto"/>
        </w:rPr>
        <w:t xml:space="preserve">Alsop, T. (2022). </w:t>
      </w:r>
      <w:r w:rsidRPr="00DA27E6">
        <w:rPr>
          <w:i/>
          <w:iCs/>
          <w:color w:val="auto"/>
        </w:rPr>
        <w:t>Vodafone mobile/fixed Market Share by Country in 2020</w:t>
      </w:r>
      <w:r w:rsidRPr="00DA27E6">
        <w:rPr>
          <w:color w:val="auto"/>
        </w:rPr>
        <w:t>. [online] Statista. Available at: https://www.statista.com/statistics/261003/vodafones-market-share-by-country/ [Accessed 13th October 2024].</w:t>
      </w:r>
    </w:p>
    <w:p w14:paraId="6C7DE9E8" w14:textId="77777777" w:rsidR="005065CF" w:rsidRPr="00DA27E6" w:rsidRDefault="00000000" w:rsidP="00D302BB">
      <w:pPr>
        <w:rPr>
          <w:rFonts w:cs="Arial"/>
          <w:color w:val="auto"/>
          <w:lang w:eastAsia="zh-CN"/>
        </w:rPr>
      </w:pPr>
      <w:r w:rsidRPr="00DA27E6">
        <w:rPr>
          <w:rFonts w:cs="Arial"/>
          <w:color w:val="auto"/>
          <w:lang w:eastAsia="zh-CN"/>
        </w:rPr>
        <w:t xml:space="preserve">Attaran, M. (2023). The impact of 5G on the evolution of intelligent automation and industry digitisation. </w:t>
      </w:r>
      <w:r w:rsidRPr="00DA27E6">
        <w:rPr>
          <w:rFonts w:cs="Arial"/>
          <w:i/>
          <w:iCs/>
          <w:color w:val="auto"/>
          <w:lang w:eastAsia="zh-CN"/>
        </w:rPr>
        <w:t>Journal of ambient intelligence and humanised computing</w:t>
      </w:r>
      <w:r w:rsidRPr="00DA27E6">
        <w:rPr>
          <w:rFonts w:cs="Arial"/>
          <w:color w:val="auto"/>
          <w:lang w:eastAsia="zh-CN"/>
        </w:rPr>
        <w:t>, </w:t>
      </w:r>
      <w:r w:rsidRPr="00DA27E6">
        <w:rPr>
          <w:rFonts w:cs="Arial"/>
          <w:i/>
          <w:iCs/>
          <w:color w:val="auto"/>
          <w:lang w:eastAsia="zh-CN"/>
        </w:rPr>
        <w:t>14</w:t>
      </w:r>
      <w:r w:rsidRPr="00DA27E6">
        <w:rPr>
          <w:rFonts w:cs="Arial"/>
          <w:color w:val="auto"/>
          <w:lang w:eastAsia="zh-CN"/>
        </w:rPr>
        <w:t xml:space="preserve">(5), 5977–5993. </w:t>
      </w:r>
    </w:p>
    <w:p w14:paraId="3583686F" w14:textId="77777777" w:rsidR="005065CF" w:rsidRPr="00DA27E6" w:rsidRDefault="00000000" w:rsidP="00D302BB">
      <w:pPr>
        <w:rPr>
          <w:rFonts w:cs="Arial"/>
          <w:color w:val="auto"/>
          <w:lang w:eastAsia="zh-CN"/>
        </w:rPr>
      </w:pPr>
      <w:r w:rsidRPr="00DA27E6">
        <w:rPr>
          <w:rFonts w:cs="Arial"/>
          <w:color w:val="auto"/>
          <w:lang w:eastAsia="zh-CN"/>
        </w:rPr>
        <w:t xml:space="preserve">Bakhtiari, V., Piadeh, F., Chen, A.S. and Behzadian, K. (2024). Stakeholder analysis in applying cutting-edge digital visualisation technologies for urban flood risk management: A critical review. </w:t>
      </w:r>
      <w:r w:rsidRPr="00DA27E6">
        <w:rPr>
          <w:rFonts w:cs="Arial"/>
          <w:i/>
          <w:iCs/>
          <w:color w:val="auto"/>
          <w:lang w:eastAsia="zh-CN"/>
        </w:rPr>
        <w:t>Expert Systems with Applications</w:t>
      </w:r>
      <w:r w:rsidRPr="00DA27E6">
        <w:rPr>
          <w:rFonts w:cs="Arial"/>
          <w:color w:val="auto"/>
          <w:lang w:eastAsia="zh-CN"/>
        </w:rPr>
        <w:t>, </w:t>
      </w:r>
      <w:r w:rsidRPr="00DA27E6">
        <w:rPr>
          <w:rFonts w:cs="Arial"/>
          <w:i/>
          <w:iCs/>
          <w:color w:val="auto"/>
          <w:lang w:eastAsia="zh-CN"/>
        </w:rPr>
        <w:t>236</w:t>
      </w:r>
      <w:r w:rsidRPr="00DA27E6">
        <w:rPr>
          <w:rFonts w:cs="Arial"/>
          <w:color w:val="auto"/>
          <w:lang w:eastAsia="zh-CN"/>
        </w:rPr>
        <w:t xml:space="preserve">, p.121426. </w:t>
      </w:r>
    </w:p>
    <w:p w14:paraId="0D4A4D9C" w14:textId="77777777" w:rsidR="005065CF" w:rsidRPr="00DA27E6" w:rsidRDefault="00000000" w:rsidP="00D302BB">
      <w:pPr>
        <w:rPr>
          <w:rFonts w:cs="Arial"/>
          <w:color w:val="auto"/>
          <w:lang w:eastAsia="zh-CN"/>
        </w:rPr>
      </w:pPr>
      <w:r w:rsidRPr="00DA27E6">
        <w:rPr>
          <w:rFonts w:cs="Arial"/>
          <w:color w:val="auto"/>
          <w:lang w:eastAsia="zh-CN"/>
        </w:rPr>
        <w:t>Banchs, A., Gutierrez-Estevez, D.M., Fuentes, M., Boldi, M. and Provvedi, S. (2019). A 5G mobile network architecture to support vertical industries. </w:t>
      </w:r>
      <w:r w:rsidRPr="00DA27E6">
        <w:rPr>
          <w:rFonts w:cs="Arial"/>
          <w:i/>
          <w:iCs/>
          <w:color w:val="auto"/>
          <w:lang w:eastAsia="zh-CN"/>
        </w:rPr>
        <w:t>IEEE Communications Magazine</w:t>
      </w:r>
      <w:r w:rsidRPr="00DA27E6">
        <w:rPr>
          <w:rFonts w:cs="Arial"/>
          <w:color w:val="auto"/>
          <w:lang w:eastAsia="zh-CN"/>
        </w:rPr>
        <w:t>, </w:t>
      </w:r>
      <w:r w:rsidRPr="00DA27E6">
        <w:rPr>
          <w:rFonts w:cs="Arial"/>
          <w:i/>
          <w:iCs/>
          <w:color w:val="auto"/>
          <w:lang w:eastAsia="zh-CN"/>
        </w:rPr>
        <w:t>57</w:t>
      </w:r>
      <w:r w:rsidRPr="00DA27E6">
        <w:rPr>
          <w:rFonts w:cs="Arial"/>
          <w:color w:val="auto"/>
          <w:lang w:eastAsia="zh-CN"/>
        </w:rPr>
        <w:t xml:space="preserve">(12), pp.38-44. </w:t>
      </w:r>
    </w:p>
    <w:p w14:paraId="769000A2" w14:textId="77777777" w:rsidR="005065CF" w:rsidRPr="00DA27E6" w:rsidRDefault="00000000" w:rsidP="00D302BB">
      <w:pPr>
        <w:rPr>
          <w:rFonts w:cs="Arial"/>
          <w:color w:val="auto"/>
          <w:lang w:eastAsia="zh-CN"/>
        </w:rPr>
      </w:pPr>
      <w:r w:rsidRPr="00DA27E6">
        <w:rPr>
          <w:rFonts w:cs="Arial"/>
          <w:color w:val="auto"/>
          <w:lang w:eastAsia="zh-CN"/>
        </w:rPr>
        <w:t>Dhasan, D. and Kowathanakul, S. (2021). The impact of service quality, promotions and customer engagement in determining customer loyalty in the Thai mobile network industry. </w:t>
      </w:r>
      <w:r w:rsidRPr="00DA27E6">
        <w:rPr>
          <w:rFonts w:cs="Arial"/>
          <w:i/>
          <w:iCs/>
          <w:color w:val="auto"/>
          <w:lang w:eastAsia="zh-CN"/>
        </w:rPr>
        <w:t>Abac Journal</w:t>
      </w:r>
      <w:r w:rsidRPr="00DA27E6">
        <w:rPr>
          <w:rFonts w:cs="Arial"/>
          <w:color w:val="auto"/>
          <w:lang w:eastAsia="zh-CN"/>
        </w:rPr>
        <w:t>, </w:t>
      </w:r>
      <w:r w:rsidRPr="00DA27E6">
        <w:rPr>
          <w:rFonts w:cs="Arial"/>
          <w:i/>
          <w:iCs/>
          <w:color w:val="auto"/>
          <w:lang w:eastAsia="zh-CN"/>
        </w:rPr>
        <w:t>41</w:t>
      </w:r>
      <w:r w:rsidRPr="00DA27E6">
        <w:rPr>
          <w:rFonts w:cs="Arial"/>
          <w:color w:val="auto"/>
          <w:lang w:eastAsia="zh-CN"/>
        </w:rPr>
        <w:t xml:space="preserve">(1), pp.209-240. </w:t>
      </w:r>
    </w:p>
    <w:p w14:paraId="0D753214" w14:textId="77777777" w:rsidR="005065CF" w:rsidRPr="00DA27E6" w:rsidRDefault="00000000" w:rsidP="00D302BB">
      <w:pPr>
        <w:rPr>
          <w:rFonts w:cs="Arial"/>
          <w:color w:val="auto"/>
          <w:lang w:eastAsia="zh-CN"/>
        </w:rPr>
      </w:pPr>
      <w:r w:rsidRPr="00DA27E6">
        <w:rPr>
          <w:rFonts w:cs="Arial"/>
          <w:color w:val="auto"/>
          <w:lang w:eastAsia="zh-CN"/>
        </w:rPr>
        <w:t xml:space="preserve">Forge, S. and Vu, K. (2020). Forming a 5G strategy for developing countries: A note for policymakers. </w:t>
      </w:r>
      <w:r w:rsidRPr="00DA27E6">
        <w:rPr>
          <w:rFonts w:cs="Arial"/>
          <w:i/>
          <w:iCs/>
          <w:color w:val="auto"/>
          <w:lang w:eastAsia="zh-CN"/>
        </w:rPr>
        <w:t>Telecommunications Policy</w:t>
      </w:r>
      <w:r w:rsidRPr="00DA27E6">
        <w:rPr>
          <w:rFonts w:cs="Arial"/>
          <w:color w:val="auto"/>
          <w:lang w:eastAsia="zh-CN"/>
        </w:rPr>
        <w:t>, </w:t>
      </w:r>
      <w:r w:rsidRPr="00DA27E6">
        <w:rPr>
          <w:rFonts w:cs="Arial"/>
          <w:i/>
          <w:iCs/>
          <w:color w:val="auto"/>
          <w:lang w:eastAsia="zh-CN"/>
        </w:rPr>
        <w:t>44</w:t>
      </w:r>
      <w:r w:rsidRPr="00DA27E6">
        <w:rPr>
          <w:rFonts w:cs="Arial"/>
          <w:color w:val="auto"/>
          <w:lang w:eastAsia="zh-CN"/>
        </w:rPr>
        <w:t xml:space="preserve">(7), 101975. </w:t>
      </w:r>
    </w:p>
    <w:p w14:paraId="640EDA0B" w14:textId="77777777" w:rsidR="005065CF" w:rsidRPr="00DA27E6" w:rsidRDefault="00000000" w:rsidP="00D302BB">
      <w:pPr>
        <w:rPr>
          <w:rFonts w:cs="Arial"/>
          <w:color w:val="auto"/>
          <w:lang w:eastAsia="zh-CN"/>
        </w:rPr>
      </w:pPr>
      <w:r w:rsidRPr="00DA27E6">
        <w:rPr>
          <w:rFonts w:cs="Arial"/>
          <w:color w:val="auto"/>
          <w:lang w:eastAsia="zh-CN"/>
        </w:rPr>
        <w:t>Gaber, T., El Jazouli, Y., Eldesouky, E. and Ali, A. (2021). Autonomous haulage systems in the mining industry: cybersecurity, communication and safety issues and challenges. </w:t>
      </w:r>
      <w:r w:rsidRPr="00DA27E6">
        <w:rPr>
          <w:rFonts w:cs="Arial"/>
          <w:i/>
          <w:iCs/>
          <w:color w:val="auto"/>
          <w:lang w:eastAsia="zh-CN"/>
        </w:rPr>
        <w:t>Electronics</w:t>
      </w:r>
      <w:r w:rsidRPr="00DA27E6">
        <w:rPr>
          <w:rFonts w:cs="Arial"/>
          <w:color w:val="auto"/>
          <w:lang w:eastAsia="zh-CN"/>
        </w:rPr>
        <w:t>, </w:t>
      </w:r>
      <w:r w:rsidRPr="00DA27E6">
        <w:rPr>
          <w:rFonts w:cs="Arial"/>
          <w:i/>
          <w:iCs/>
          <w:color w:val="auto"/>
          <w:lang w:eastAsia="zh-CN"/>
        </w:rPr>
        <w:t>10</w:t>
      </w:r>
      <w:r w:rsidRPr="00DA27E6">
        <w:rPr>
          <w:rFonts w:cs="Arial"/>
          <w:color w:val="auto"/>
          <w:lang w:eastAsia="zh-CN"/>
        </w:rPr>
        <w:t xml:space="preserve">(11), 1357. </w:t>
      </w:r>
    </w:p>
    <w:p w14:paraId="28CFBB5A" w14:textId="77777777" w:rsidR="005065CF" w:rsidRPr="00DA27E6" w:rsidRDefault="00000000" w:rsidP="00D302BB">
      <w:pPr>
        <w:rPr>
          <w:rFonts w:cs="Arial"/>
          <w:color w:val="auto"/>
          <w:lang w:eastAsia="zh-CN"/>
        </w:rPr>
      </w:pPr>
      <w:r w:rsidRPr="00DA27E6">
        <w:rPr>
          <w:rFonts w:cs="Arial"/>
          <w:color w:val="auto"/>
          <w:lang w:eastAsia="zh-CN"/>
        </w:rPr>
        <w:t xml:space="preserve">Golmohamadi, H. (2022). Demand-side management in the industrial sector: A review of heavy industries. </w:t>
      </w:r>
      <w:r w:rsidRPr="00DA27E6">
        <w:rPr>
          <w:rFonts w:cs="Arial"/>
          <w:i/>
          <w:iCs/>
          <w:color w:val="auto"/>
          <w:lang w:eastAsia="zh-CN"/>
        </w:rPr>
        <w:t>Renewable and Sustainable Energy Reviews</w:t>
      </w:r>
      <w:r w:rsidRPr="00DA27E6">
        <w:rPr>
          <w:rFonts w:cs="Arial"/>
          <w:color w:val="auto"/>
          <w:lang w:eastAsia="zh-CN"/>
        </w:rPr>
        <w:t>, </w:t>
      </w:r>
      <w:r w:rsidRPr="00DA27E6">
        <w:rPr>
          <w:rFonts w:cs="Arial"/>
          <w:i/>
          <w:iCs/>
          <w:color w:val="auto"/>
          <w:lang w:eastAsia="zh-CN"/>
        </w:rPr>
        <w:t>156</w:t>
      </w:r>
      <w:r w:rsidRPr="00DA27E6">
        <w:rPr>
          <w:rFonts w:cs="Arial"/>
          <w:color w:val="auto"/>
          <w:lang w:eastAsia="zh-CN"/>
        </w:rPr>
        <w:t xml:space="preserve">, p.111963. </w:t>
      </w:r>
    </w:p>
    <w:p w14:paraId="44533FFD" w14:textId="77777777" w:rsidR="005065CF" w:rsidRPr="00DA27E6" w:rsidRDefault="00000000" w:rsidP="00D302BB">
      <w:pPr>
        <w:rPr>
          <w:rFonts w:cs="Arial"/>
          <w:color w:val="auto"/>
          <w:lang w:eastAsia="zh-CN"/>
        </w:rPr>
      </w:pPr>
      <w:r w:rsidRPr="00DA27E6">
        <w:rPr>
          <w:rFonts w:cs="Arial"/>
          <w:color w:val="auto"/>
          <w:lang w:eastAsia="zh-CN"/>
        </w:rPr>
        <w:t xml:space="preserve">Hoory, L. and Bottorff, C. (2022). </w:t>
      </w:r>
      <w:r w:rsidRPr="00DA27E6">
        <w:rPr>
          <w:rFonts w:cs="Arial"/>
          <w:i/>
          <w:iCs/>
          <w:color w:val="auto"/>
          <w:lang w:eastAsia="zh-CN"/>
        </w:rPr>
        <w:t>What Is a Stakeholder Analysis? Everything You Need to Know</w:t>
      </w:r>
      <w:r w:rsidRPr="00DA27E6">
        <w:rPr>
          <w:rFonts w:cs="Arial"/>
          <w:color w:val="auto"/>
          <w:lang w:eastAsia="zh-CN"/>
        </w:rPr>
        <w:t>. [online] Forbes. Available at: https://www.forbes.com/advisor/business/what-is-stakeholder-analysis/ [Accessed 13th October 2024].</w:t>
      </w:r>
    </w:p>
    <w:p w14:paraId="48CAB403" w14:textId="77777777" w:rsidR="005065CF" w:rsidRPr="00DA27E6" w:rsidRDefault="00000000" w:rsidP="00D302BB">
      <w:pPr>
        <w:rPr>
          <w:rFonts w:cs="Arial"/>
          <w:color w:val="auto"/>
          <w:lang w:eastAsia="zh-CN"/>
        </w:rPr>
      </w:pPr>
      <w:r w:rsidRPr="00DA27E6">
        <w:rPr>
          <w:rFonts w:cs="Arial"/>
          <w:color w:val="auto"/>
          <w:lang w:eastAsia="zh-CN"/>
        </w:rPr>
        <w:t>Kanakadhurga, D. and Prabaharan, N. (2022). Demand side management in microgrid: A critical review of key issues and recent trends. </w:t>
      </w:r>
      <w:r w:rsidRPr="00DA27E6">
        <w:rPr>
          <w:rFonts w:cs="Arial"/>
          <w:i/>
          <w:iCs/>
          <w:color w:val="auto"/>
          <w:lang w:eastAsia="zh-CN"/>
        </w:rPr>
        <w:t>Renewable and Sustainable Energy Reviews</w:t>
      </w:r>
      <w:r w:rsidRPr="00DA27E6">
        <w:rPr>
          <w:rFonts w:cs="Arial"/>
          <w:color w:val="auto"/>
          <w:lang w:eastAsia="zh-CN"/>
        </w:rPr>
        <w:t>, </w:t>
      </w:r>
      <w:r w:rsidRPr="00DA27E6">
        <w:rPr>
          <w:rFonts w:cs="Arial"/>
          <w:i/>
          <w:iCs/>
          <w:color w:val="auto"/>
          <w:lang w:eastAsia="zh-CN"/>
        </w:rPr>
        <w:t>156</w:t>
      </w:r>
      <w:r w:rsidRPr="00DA27E6">
        <w:rPr>
          <w:rFonts w:cs="Arial"/>
          <w:color w:val="auto"/>
          <w:lang w:eastAsia="zh-CN"/>
        </w:rPr>
        <w:t xml:space="preserve">, p.111915. </w:t>
      </w:r>
    </w:p>
    <w:p w14:paraId="2368AE89" w14:textId="77777777" w:rsidR="005065CF" w:rsidRPr="00DA27E6" w:rsidRDefault="00000000" w:rsidP="00D302BB">
      <w:pPr>
        <w:rPr>
          <w:rFonts w:cs="Arial"/>
          <w:color w:val="auto"/>
          <w:lang w:eastAsia="zh-CN"/>
        </w:rPr>
      </w:pPr>
      <w:r w:rsidRPr="00DA27E6">
        <w:rPr>
          <w:rFonts w:cs="Arial"/>
          <w:color w:val="auto"/>
          <w:lang w:eastAsia="zh-CN"/>
        </w:rPr>
        <w:t>Kim, Y., Wang, Q. and Roh, T. (2021). Do information and service quality affect perceived privacy protection, satisfaction, and loyalty? Evidence from a Chinese O2O-based mobile shopping application. </w:t>
      </w:r>
      <w:r w:rsidRPr="00DA27E6">
        <w:rPr>
          <w:rFonts w:cs="Arial"/>
          <w:i/>
          <w:iCs/>
          <w:color w:val="auto"/>
          <w:lang w:eastAsia="zh-CN"/>
        </w:rPr>
        <w:t>Telematics and informatics</w:t>
      </w:r>
      <w:r w:rsidRPr="00DA27E6">
        <w:rPr>
          <w:rFonts w:cs="Arial"/>
          <w:color w:val="auto"/>
          <w:lang w:eastAsia="zh-CN"/>
        </w:rPr>
        <w:t>, </w:t>
      </w:r>
      <w:r w:rsidRPr="00DA27E6">
        <w:rPr>
          <w:rFonts w:cs="Arial"/>
          <w:i/>
          <w:iCs/>
          <w:color w:val="auto"/>
          <w:lang w:eastAsia="zh-CN"/>
        </w:rPr>
        <w:t>56</w:t>
      </w:r>
      <w:r w:rsidRPr="00DA27E6">
        <w:rPr>
          <w:rFonts w:cs="Arial"/>
          <w:color w:val="auto"/>
          <w:lang w:eastAsia="zh-CN"/>
        </w:rPr>
        <w:t xml:space="preserve">, p.101483. </w:t>
      </w:r>
    </w:p>
    <w:p w14:paraId="01FC7046" w14:textId="77777777" w:rsidR="005065CF" w:rsidRPr="00DA27E6" w:rsidRDefault="00000000" w:rsidP="00D302BB">
      <w:pPr>
        <w:rPr>
          <w:rFonts w:cs="Arial"/>
          <w:color w:val="auto"/>
          <w:lang w:eastAsia="zh-CN"/>
        </w:rPr>
      </w:pPr>
      <w:r w:rsidRPr="00DA27E6">
        <w:rPr>
          <w:rFonts w:cs="Arial"/>
          <w:color w:val="auto"/>
          <w:lang w:eastAsia="zh-CN"/>
        </w:rPr>
        <w:t>Liu, G., Huang, Y., Li, N., Dong, J., Jin, J., Wang, Q. and Li, N. (2020). Vision, requirements and network architecture of 6G mobile network beyond 2030. </w:t>
      </w:r>
      <w:r w:rsidRPr="00DA27E6">
        <w:rPr>
          <w:rFonts w:cs="Arial"/>
          <w:i/>
          <w:iCs/>
          <w:color w:val="auto"/>
          <w:lang w:eastAsia="zh-CN"/>
        </w:rPr>
        <w:t>China Communications</w:t>
      </w:r>
      <w:r w:rsidRPr="00DA27E6">
        <w:rPr>
          <w:rFonts w:cs="Arial"/>
          <w:color w:val="auto"/>
          <w:lang w:eastAsia="zh-CN"/>
        </w:rPr>
        <w:t>, </w:t>
      </w:r>
      <w:r w:rsidRPr="00DA27E6">
        <w:rPr>
          <w:rFonts w:cs="Arial"/>
          <w:i/>
          <w:iCs/>
          <w:color w:val="auto"/>
          <w:lang w:eastAsia="zh-CN"/>
        </w:rPr>
        <w:t>17</w:t>
      </w:r>
      <w:r w:rsidRPr="00DA27E6">
        <w:rPr>
          <w:rFonts w:cs="Arial"/>
          <w:color w:val="auto"/>
          <w:lang w:eastAsia="zh-CN"/>
        </w:rPr>
        <w:t xml:space="preserve">(9), pp.92-104. </w:t>
      </w:r>
    </w:p>
    <w:p w14:paraId="4C6BF13D" w14:textId="77777777" w:rsidR="005065CF" w:rsidRPr="00DA27E6" w:rsidRDefault="00000000" w:rsidP="00D302BB">
      <w:pPr>
        <w:rPr>
          <w:rFonts w:cs="Arial"/>
          <w:color w:val="auto"/>
          <w:lang w:eastAsia="zh-CN"/>
        </w:rPr>
      </w:pPr>
      <w:r w:rsidRPr="00DA27E6">
        <w:rPr>
          <w:rFonts w:cs="Arial"/>
          <w:color w:val="auto"/>
          <w:lang w:eastAsia="zh-CN"/>
        </w:rPr>
        <w:t>Lowe, A., Nama, Y. and Preda, A. (2020). A research agenda for problematising profit and profitability. </w:t>
      </w:r>
      <w:r w:rsidRPr="00DA27E6">
        <w:rPr>
          <w:rFonts w:cs="Arial"/>
          <w:i/>
          <w:iCs/>
          <w:color w:val="auto"/>
          <w:lang w:eastAsia="zh-CN"/>
        </w:rPr>
        <w:t>Accounting, Auditing &amp; Accountability Journal</w:t>
      </w:r>
      <w:r w:rsidRPr="00DA27E6">
        <w:rPr>
          <w:rFonts w:cs="Arial"/>
          <w:color w:val="auto"/>
          <w:lang w:eastAsia="zh-CN"/>
        </w:rPr>
        <w:t>, </w:t>
      </w:r>
      <w:r w:rsidRPr="00DA27E6">
        <w:rPr>
          <w:rFonts w:cs="Arial"/>
          <w:i/>
          <w:iCs/>
          <w:color w:val="auto"/>
          <w:lang w:eastAsia="zh-CN"/>
        </w:rPr>
        <w:t>33</w:t>
      </w:r>
      <w:r w:rsidRPr="00DA27E6">
        <w:rPr>
          <w:rFonts w:cs="Arial"/>
          <w:color w:val="auto"/>
          <w:lang w:eastAsia="zh-CN"/>
        </w:rPr>
        <w:t xml:space="preserve">(4), pp.681-698. </w:t>
      </w:r>
    </w:p>
    <w:p w14:paraId="641299C3" w14:textId="77777777" w:rsidR="005065CF" w:rsidRPr="00DA27E6" w:rsidRDefault="00000000" w:rsidP="00D302BB">
      <w:pPr>
        <w:rPr>
          <w:rFonts w:cs="Arial"/>
          <w:color w:val="auto"/>
          <w:lang w:eastAsia="zh-CN"/>
        </w:rPr>
      </w:pPr>
      <w:r w:rsidRPr="00DA27E6">
        <w:rPr>
          <w:rFonts w:cs="Arial"/>
          <w:color w:val="auto"/>
          <w:lang w:eastAsia="zh-CN"/>
        </w:rPr>
        <w:lastRenderedPageBreak/>
        <w:t xml:space="preserve">Lutu, A., Perino, D., Bagnulo, M., Frias-Martinez, E. and Khangosstar, J. (2020), October. A characterisation of the COVID-19 pandemic impact on mobile network operator traffic. In </w:t>
      </w:r>
      <w:r w:rsidRPr="00DA27E6">
        <w:rPr>
          <w:rFonts w:cs="Arial"/>
          <w:i/>
          <w:iCs/>
          <w:color w:val="auto"/>
          <w:lang w:eastAsia="zh-CN"/>
        </w:rPr>
        <w:t>Proceedings of the ACM internet measurement conference</w:t>
      </w:r>
      <w:r w:rsidRPr="00DA27E6">
        <w:rPr>
          <w:rFonts w:cs="Arial"/>
          <w:color w:val="auto"/>
          <w:lang w:eastAsia="zh-CN"/>
        </w:rPr>
        <w:t xml:space="preserve"> (pp. 19–33).</w:t>
      </w:r>
    </w:p>
    <w:p w14:paraId="38A1AE33" w14:textId="77777777" w:rsidR="005065CF" w:rsidRPr="00DA27E6" w:rsidRDefault="00000000" w:rsidP="00D302BB">
      <w:pPr>
        <w:rPr>
          <w:rFonts w:cs="Arial"/>
          <w:color w:val="auto"/>
          <w:lang w:eastAsia="zh-CN"/>
        </w:rPr>
      </w:pPr>
      <w:r w:rsidRPr="00DA27E6">
        <w:rPr>
          <w:rFonts w:cs="Arial"/>
          <w:color w:val="auto"/>
          <w:lang w:eastAsia="zh-CN"/>
        </w:rPr>
        <w:t>McClellan, M., Cervelló-Pastor, C. and Sallent, S. (2020). Deep learning at the mobile edge: Opportunities for 5G networks. </w:t>
      </w:r>
      <w:r w:rsidRPr="00DA27E6">
        <w:rPr>
          <w:rFonts w:cs="Arial"/>
          <w:i/>
          <w:iCs/>
          <w:color w:val="auto"/>
          <w:lang w:eastAsia="zh-CN"/>
        </w:rPr>
        <w:t>Applied Sciences</w:t>
      </w:r>
      <w:r w:rsidRPr="00DA27E6">
        <w:rPr>
          <w:rFonts w:cs="Arial"/>
          <w:color w:val="auto"/>
          <w:lang w:eastAsia="zh-CN"/>
        </w:rPr>
        <w:t>, </w:t>
      </w:r>
      <w:r w:rsidRPr="00DA27E6">
        <w:rPr>
          <w:rFonts w:cs="Arial"/>
          <w:i/>
          <w:iCs/>
          <w:color w:val="auto"/>
          <w:lang w:eastAsia="zh-CN"/>
        </w:rPr>
        <w:t>10</w:t>
      </w:r>
      <w:r w:rsidRPr="00DA27E6">
        <w:rPr>
          <w:rFonts w:cs="Arial"/>
          <w:color w:val="auto"/>
          <w:lang w:eastAsia="zh-CN"/>
        </w:rPr>
        <w:t xml:space="preserve">(14), p.4735. </w:t>
      </w:r>
    </w:p>
    <w:p w14:paraId="2DA4A4A2" w14:textId="77777777" w:rsidR="005065CF" w:rsidRPr="00DA27E6" w:rsidRDefault="00000000" w:rsidP="00D302BB">
      <w:pPr>
        <w:rPr>
          <w:rFonts w:cs="Arial"/>
          <w:color w:val="auto"/>
          <w:lang w:eastAsia="zh-CN"/>
        </w:rPr>
      </w:pPr>
      <w:r w:rsidRPr="00DA27E6">
        <w:rPr>
          <w:rFonts w:cs="Arial"/>
          <w:color w:val="auto"/>
          <w:lang w:eastAsia="zh-CN"/>
        </w:rPr>
        <w:t>Möller, K., Nenonen, S. and Storbacka, K. (2020). Networks, ecosystems, fields, market systems? Making sense of the business environment. </w:t>
      </w:r>
      <w:r w:rsidRPr="00DA27E6">
        <w:rPr>
          <w:rFonts w:cs="Arial"/>
          <w:i/>
          <w:iCs/>
          <w:color w:val="auto"/>
          <w:lang w:eastAsia="zh-CN"/>
        </w:rPr>
        <w:t>Industrial Marketing Management</w:t>
      </w:r>
      <w:r w:rsidRPr="00DA27E6">
        <w:rPr>
          <w:rFonts w:cs="Arial"/>
          <w:color w:val="auto"/>
          <w:lang w:eastAsia="zh-CN"/>
        </w:rPr>
        <w:t>, </w:t>
      </w:r>
      <w:r w:rsidRPr="00DA27E6">
        <w:rPr>
          <w:rFonts w:cs="Arial"/>
          <w:i/>
          <w:iCs/>
          <w:color w:val="auto"/>
          <w:lang w:eastAsia="zh-CN"/>
        </w:rPr>
        <w:t>90</w:t>
      </w:r>
      <w:r w:rsidRPr="00DA27E6">
        <w:rPr>
          <w:rFonts w:cs="Arial"/>
          <w:color w:val="auto"/>
          <w:lang w:eastAsia="zh-CN"/>
        </w:rPr>
        <w:t xml:space="preserve">, pp.380-399. </w:t>
      </w:r>
    </w:p>
    <w:p w14:paraId="204CA6FB" w14:textId="77777777" w:rsidR="005065CF" w:rsidRPr="00DA27E6" w:rsidRDefault="00000000" w:rsidP="00D302BB">
      <w:pPr>
        <w:rPr>
          <w:rFonts w:cs="Arial"/>
          <w:color w:val="auto"/>
          <w:lang w:eastAsia="zh-CN"/>
        </w:rPr>
      </w:pPr>
      <w:r w:rsidRPr="00DA27E6">
        <w:rPr>
          <w:rFonts w:cs="Arial"/>
          <w:color w:val="auto"/>
          <w:lang w:val="fr-FR" w:eastAsia="zh-CN"/>
        </w:rPr>
        <w:t xml:space="preserve">Mourtzis, D., Angelopoulos, J. and Panopoulos, N. (2021). </w:t>
      </w:r>
      <w:r w:rsidRPr="00DA27E6">
        <w:rPr>
          <w:rFonts w:cs="Arial"/>
          <w:color w:val="auto"/>
          <w:lang w:eastAsia="zh-CN"/>
        </w:rPr>
        <w:t>Smart manufacturing and tactile internet based on 5G in industry 4.0: Challenges, applications and new trends. </w:t>
      </w:r>
      <w:r w:rsidRPr="00DA27E6">
        <w:rPr>
          <w:rFonts w:cs="Arial"/>
          <w:i/>
          <w:iCs/>
          <w:color w:val="auto"/>
          <w:lang w:eastAsia="zh-CN"/>
        </w:rPr>
        <w:t>Electronics</w:t>
      </w:r>
      <w:r w:rsidRPr="00DA27E6">
        <w:rPr>
          <w:rFonts w:cs="Arial"/>
          <w:color w:val="auto"/>
          <w:lang w:eastAsia="zh-CN"/>
        </w:rPr>
        <w:t>, </w:t>
      </w:r>
      <w:r w:rsidRPr="00DA27E6">
        <w:rPr>
          <w:rFonts w:cs="Arial"/>
          <w:i/>
          <w:iCs/>
          <w:color w:val="auto"/>
          <w:lang w:eastAsia="zh-CN"/>
        </w:rPr>
        <w:t>10</w:t>
      </w:r>
      <w:r w:rsidRPr="00DA27E6">
        <w:rPr>
          <w:rFonts w:cs="Arial"/>
          <w:color w:val="auto"/>
          <w:lang w:eastAsia="zh-CN"/>
        </w:rPr>
        <w:t xml:space="preserve">(24), 3175. </w:t>
      </w:r>
    </w:p>
    <w:p w14:paraId="37AEB3A4" w14:textId="77777777" w:rsidR="005065CF" w:rsidRPr="00DA27E6" w:rsidRDefault="00000000" w:rsidP="00D302BB">
      <w:pPr>
        <w:rPr>
          <w:rFonts w:cs="Arial"/>
          <w:color w:val="auto"/>
          <w:lang w:eastAsia="zh-CN"/>
        </w:rPr>
      </w:pPr>
      <w:r w:rsidRPr="00DA27E6">
        <w:rPr>
          <w:rFonts w:cs="Arial"/>
          <w:color w:val="auto"/>
          <w:lang w:eastAsia="zh-CN"/>
        </w:rPr>
        <w:t>Paul, G. (2021). Huawei's ability to eavesdrop on Dutch mobile users is a wake-up call for the telecoms industry</w:t>
      </w:r>
      <w:r w:rsidRPr="00DA27E6">
        <w:rPr>
          <w:rFonts w:cs="Arial"/>
          <w:i/>
          <w:iCs/>
          <w:color w:val="auto"/>
          <w:lang w:eastAsia="zh-CN"/>
        </w:rPr>
        <w:t>—the Conversation</w:t>
      </w:r>
      <w:r w:rsidRPr="00DA27E6">
        <w:rPr>
          <w:rFonts w:cs="Arial"/>
          <w:color w:val="auto"/>
          <w:lang w:eastAsia="zh-CN"/>
        </w:rPr>
        <w:t xml:space="preserve">. </w:t>
      </w:r>
    </w:p>
    <w:p w14:paraId="442E66DB" w14:textId="77777777" w:rsidR="005065CF" w:rsidRPr="00DA27E6" w:rsidRDefault="00000000" w:rsidP="00D302BB">
      <w:pPr>
        <w:rPr>
          <w:rFonts w:cs="Arial"/>
          <w:color w:val="auto"/>
          <w:lang w:val="pt-BR" w:eastAsia="zh-CN"/>
        </w:rPr>
      </w:pPr>
      <w:r w:rsidRPr="00DA27E6">
        <w:rPr>
          <w:rFonts w:cs="Arial"/>
          <w:color w:val="auto"/>
          <w:lang w:eastAsia="zh-CN"/>
        </w:rPr>
        <w:t xml:space="preserve">Samdanis, K. and Taleb, T. (2020). The road beyond 5G: A vision and insight of the critical technologies. </w:t>
      </w:r>
      <w:r w:rsidRPr="00DA27E6">
        <w:rPr>
          <w:rFonts w:cs="Arial"/>
          <w:i/>
          <w:iCs/>
          <w:color w:val="auto"/>
          <w:lang w:val="pt-BR" w:eastAsia="zh-CN"/>
        </w:rPr>
        <w:t>IEEE Network</w:t>
      </w:r>
      <w:r w:rsidRPr="00DA27E6">
        <w:rPr>
          <w:rFonts w:cs="Arial"/>
          <w:color w:val="auto"/>
          <w:lang w:val="pt-BR" w:eastAsia="zh-CN"/>
        </w:rPr>
        <w:t>, </w:t>
      </w:r>
      <w:r w:rsidRPr="00DA27E6">
        <w:rPr>
          <w:rFonts w:cs="Arial"/>
          <w:i/>
          <w:iCs/>
          <w:color w:val="auto"/>
          <w:lang w:val="pt-BR" w:eastAsia="zh-CN"/>
        </w:rPr>
        <w:t>34</w:t>
      </w:r>
      <w:r w:rsidRPr="00DA27E6">
        <w:rPr>
          <w:rFonts w:cs="Arial"/>
          <w:color w:val="auto"/>
          <w:lang w:val="pt-BR" w:eastAsia="zh-CN"/>
        </w:rPr>
        <w:t>(2), pp.135-141.</w:t>
      </w:r>
    </w:p>
    <w:p w14:paraId="432CB5F3" w14:textId="77777777" w:rsidR="005065CF" w:rsidRPr="00DA27E6" w:rsidRDefault="00000000" w:rsidP="00D302BB">
      <w:pPr>
        <w:rPr>
          <w:rFonts w:cs="Arial"/>
          <w:color w:val="auto"/>
          <w:lang w:eastAsia="zh-CN"/>
        </w:rPr>
      </w:pPr>
      <w:r w:rsidRPr="00DA27E6">
        <w:rPr>
          <w:rFonts w:cs="Arial"/>
          <w:color w:val="auto"/>
          <w:lang w:val="pt-BR" w:eastAsia="zh-CN"/>
        </w:rPr>
        <w:t xml:space="preserve">Sobrinho, Á., Vilarim, M., Barbosa, A., Candeia Gurjão, E., FS Santos, D., Valadares, D. and Dias da Silva, L. (2023). </w:t>
      </w:r>
      <w:r w:rsidRPr="00DA27E6">
        <w:rPr>
          <w:rFonts w:cs="Arial"/>
          <w:color w:val="auto"/>
          <w:lang w:eastAsia="zh-CN"/>
        </w:rPr>
        <w:t>Challenges and Opportunities in Mobile Network Security for Vertical Applications: A Survey. </w:t>
      </w:r>
      <w:r w:rsidRPr="00DA27E6">
        <w:rPr>
          <w:rFonts w:cs="Arial"/>
          <w:i/>
          <w:iCs/>
          <w:color w:val="auto"/>
          <w:lang w:eastAsia="zh-CN"/>
        </w:rPr>
        <w:t>ACM Computing Surveys</w:t>
      </w:r>
      <w:r w:rsidRPr="00DA27E6">
        <w:rPr>
          <w:rFonts w:cs="Arial"/>
          <w:color w:val="auto"/>
          <w:lang w:eastAsia="zh-CN"/>
        </w:rPr>
        <w:t xml:space="preserve">. </w:t>
      </w:r>
    </w:p>
    <w:p w14:paraId="254D15AD" w14:textId="77777777" w:rsidR="005065CF" w:rsidRPr="00DA27E6" w:rsidRDefault="00000000" w:rsidP="005065CF">
      <w:pPr>
        <w:rPr>
          <w:color w:val="auto"/>
        </w:rPr>
      </w:pPr>
      <w:r w:rsidRPr="00DA27E6">
        <w:rPr>
          <w:color w:val="auto"/>
        </w:rPr>
        <w:t xml:space="preserve">Store. Mintel (2022). </w:t>
      </w:r>
      <w:r w:rsidRPr="00DA27E6">
        <w:rPr>
          <w:i/>
          <w:iCs/>
          <w:color w:val="auto"/>
        </w:rPr>
        <w:t>UK Mobile Network Providers Market Report 2021</w:t>
      </w:r>
      <w:r w:rsidRPr="00DA27E6">
        <w:rPr>
          <w:color w:val="auto"/>
        </w:rPr>
        <w:t>. [online] store.mintel.com. Available at: https://store.mintel.com/report/uk-mobile-network-providers-market-report [Accessed 13th October 2024].</w:t>
      </w:r>
    </w:p>
    <w:p w14:paraId="194564FE" w14:textId="77777777" w:rsidR="005065CF" w:rsidRPr="00DA27E6" w:rsidRDefault="00000000" w:rsidP="00D302BB">
      <w:pPr>
        <w:rPr>
          <w:rFonts w:cs="Arial"/>
          <w:color w:val="auto"/>
          <w:lang w:eastAsia="zh-CN"/>
        </w:rPr>
      </w:pPr>
      <w:r w:rsidRPr="00DA27E6">
        <w:rPr>
          <w:rFonts w:cs="Arial"/>
          <w:color w:val="auto"/>
          <w:lang w:eastAsia="zh-CN"/>
        </w:rPr>
        <w:t>Tang, Y., Dananjayan, S., Hou, C., Guo, Q., Luo, S. and He, Y. (2021). A survey on the 5G network and its impact on agriculture: Challenges and opportunities. </w:t>
      </w:r>
      <w:r w:rsidRPr="00DA27E6">
        <w:rPr>
          <w:rFonts w:cs="Arial"/>
          <w:i/>
          <w:iCs/>
          <w:color w:val="auto"/>
          <w:lang w:eastAsia="zh-CN"/>
        </w:rPr>
        <w:t>Computers and Electronics in Agriculture</w:t>
      </w:r>
      <w:r w:rsidRPr="00DA27E6">
        <w:rPr>
          <w:rFonts w:cs="Arial"/>
          <w:color w:val="auto"/>
          <w:lang w:eastAsia="zh-CN"/>
        </w:rPr>
        <w:t>, </w:t>
      </w:r>
      <w:r w:rsidRPr="00DA27E6">
        <w:rPr>
          <w:rFonts w:cs="Arial"/>
          <w:i/>
          <w:iCs/>
          <w:color w:val="auto"/>
          <w:lang w:eastAsia="zh-CN"/>
        </w:rPr>
        <w:t>180</w:t>
      </w:r>
      <w:r w:rsidRPr="00DA27E6">
        <w:rPr>
          <w:rFonts w:cs="Arial"/>
          <w:color w:val="auto"/>
          <w:lang w:eastAsia="zh-CN"/>
        </w:rPr>
        <w:t xml:space="preserve">, p.105895. </w:t>
      </w:r>
    </w:p>
    <w:p w14:paraId="16402145" w14:textId="77777777" w:rsidR="005065CF" w:rsidRPr="00DA27E6" w:rsidRDefault="00000000" w:rsidP="00D302BB">
      <w:pPr>
        <w:rPr>
          <w:rFonts w:cs="Arial"/>
          <w:color w:val="auto"/>
          <w:lang w:eastAsia="zh-CN"/>
        </w:rPr>
      </w:pPr>
      <w:r w:rsidRPr="00DA27E6">
        <w:rPr>
          <w:rFonts w:cs="Arial"/>
          <w:color w:val="auto"/>
          <w:lang w:eastAsia="zh-CN"/>
        </w:rPr>
        <w:t>Zebari, G.M., Zebari, D.A. and Al-zebari, A. (2021). Fundamentals of 5G cellular networks: A review. </w:t>
      </w:r>
      <w:r w:rsidRPr="00DA27E6">
        <w:rPr>
          <w:rFonts w:cs="Arial"/>
          <w:i/>
          <w:iCs/>
          <w:color w:val="auto"/>
          <w:lang w:eastAsia="zh-CN"/>
        </w:rPr>
        <w:t>Journal of Information Technology and Informatics</w:t>
      </w:r>
      <w:r w:rsidRPr="00DA27E6">
        <w:rPr>
          <w:rFonts w:cs="Arial"/>
          <w:color w:val="auto"/>
          <w:lang w:eastAsia="zh-CN"/>
        </w:rPr>
        <w:t>, </w:t>
      </w:r>
      <w:r w:rsidRPr="00DA27E6">
        <w:rPr>
          <w:rFonts w:cs="Arial"/>
          <w:i/>
          <w:iCs/>
          <w:color w:val="auto"/>
          <w:lang w:eastAsia="zh-CN"/>
        </w:rPr>
        <w:t>1</w:t>
      </w:r>
      <w:r w:rsidRPr="00DA27E6">
        <w:rPr>
          <w:rFonts w:cs="Arial"/>
          <w:color w:val="auto"/>
          <w:lang w:eastAsia="zh-CN"/>
        </w:rPr>
        <w:t>(1), pp.1-5.</w:t>
      </w:r>
    </w:p>
    <w:p w14:paraId="35490200" w14:textId="77777777" w:rsidR="00F63630" w:rsidRPr="00DA27E6" w:rsidRDefault="00F63630" w:rsidP="00D302BB">
      <w:pPr>
        <w:rPr>
          <w:color w:val="auto"/>
        </w:rPr>
      </w:pPr>
    </w:p>
    <w:p w14:paraId="4CDE7ABD" w14:textId="77777777" w:rsidR="00F63630" w:rsidRPr="00DA27E6" w:rsidRDefault="00F63630" w:rsidP="00D302BB">
      <w:pPr>
        <w:rPr>
          <w:rFonts w:cs="Arial"/>
          <w:color w:val="auto"/>
          <w:lang w:eastAsia="zh-CN"/>
        </w:rPr>
      </w:pPr>
    </w:p>
    <w:p w14:paraId="0E177C1B" w14:textId="77777777" w:rsidR="006278F0" w:rsidRPr="00DA27E6" w:rsidRDefault="006278F0" w:rsidP="00D302BB">
      <w:pPr>
        <w:jc w:val="center"/>
        <w:rPr>
          <w:rFonts w:cs="Arial"/>
          <w:color w:val="auto"/>
          <w:lang w:eastAsia="zh-CN"/>
        </w:rPr>
      </w:pPr>
    </w:p>
    <w:p w14:paraId="3600CA50" w14:textId="77777777" w:rsidR="006278F0" w:rsidRPr="00DA27E6" w:rsidRDefault="006278F0" w:rsidP="00D302BB">
      <w:pPr>
        <w:rPr>
          <w:rFonts w:cs="Arial"/>
          <w:color w:val="auto"/>
          <w:lang w:eastAsia="zh-CN"/>
        </w:rPr>
      </w:pPr>
    </w:p>
    <w:sectPr w:rsidR="006278F0" w:rsidRPr="00DA27E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F0B18" w14:textId="77777777" w:rsidR="00FB2407" w:rsidRDefault="00FB2407">
      <w:pPr>
        <w:spacing w:line="240" w:lineRule="auto"/>
      </w:pPr>
      <w:r>
        <w:separator/>
      </w:r>
    </w:p>
  </w:endnote>
  <w:endnote w:type="continuationSeparator" w:id="0">
    <w:p w14:paraId="0BDA0518" w14:textId="77777777" w:rsidR="00FB2407" w:rsidRDefault="00FB24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36421"/>
      <w:docPartObj>
        <w:docPartGallery w:val="Page Numbers (Bottom of Page)"/>
        <w:docPartUnique/>
      </w:docPartObj>
    </w:sdtPr>
    <w:sdtEndPr>
      <w:rPr>
        <w:noProof/>
      </w:rPr>
    </w:sdtEndPr>
    <w:sdtContent>
      <w:p w14:paraId="56A8EEED" w14:textId="77777777" w:rsidR="00AF15D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2DC55" w14:textId="77777777" w:rsidR="00AF15DF" w:rsidRDefault="00AF1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7CBF0" w14:textId="77777777" w:rsidR="00FB2407" w:rsidRDefault="00FB2407">
      <w:pPr>
        <w:spacing w:line="240" w:lineRule="auto"/>
      </w:pPr>
      <w:r>
        <w:separator/>
      </w:r>
    </w:p>
  </w:footnote>
  <w:footnote w:type="continuationSeparator" w:id="0">
    <w:p w14:paraId="006DEAEA" w14:textId="77777777" w:rsidR="00FB2407" w:rsidRDefault="00FB24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21467"/>
    <w:multiLevelType w:val="hybridMultilevel"/>
    <w:tmpl w:val="CB02822C"/>
    <w:lvl w:ilvl="0" w:tplc="99BEA176">
      <w:start w:val="1"/>
      <w:numFmt w:val="bullet"/>
      <w:lvlText w:val=""/>
      <w:lvlJc w:val="left"/>
      <w:pPr>
        <w:ind w:left="360" w:hanging="360"/>
      </w:pPr>
      <w:rPr>
        <w:rFonts w:ascii="Wingdings" w:hAnsi="Wingdings" w:hint="default"/>
      </w:rPr>
    </w:lvl>
    <w:lvl w:ilvl="1" w:tplc="962233E4" w:tentative="1">
      <w:start w:val="1"/>
      <w:numFmt w:val="bullet"/>
      <w:lvlText w:val="o"/>
      <w:lvlJc w:val="left"/>
      <w:pPr>
        <w:ind w:left="1440" w:hanging="360"/>
      </w:pPr>
      <w:rPr>
        <w:rFonts w:ascii="Courier New" w:hAnsi="Courier New" w:cs="Courier New" w:hint="default"/>
      </w:rPr>
    </w:lvl>
    <w:lvl w:ilvl="2" w:tplc="001EB634" w:tentative="1">
      <w:start w:val="1"/>
      <w:numFmt w:val="bullet"/>
      <w:lvlText w:val=""/>
      <w:lvlJc w:val="left"/>
      <w:pPr>
        <w:ind w:left="2160" w:hanging="360"/>
      </w:pPr>
      <w:rPr>
        <w:rFonts w:ascii="Wingdings" w:hAnsi="Wingdings" w:hint="default"/>
      </w:rPr>
    </w:lvl>
    <w:lvl w:ilvl="3" w:tplc="778A545E" w:tentative="1">
      <w:start w:val="1"/>
      <w:numFmt w:val="bullet"/>
      <w:lvlText w:val=""/>
      <w:lvlJc w:val="left"/>
      <w:pPr>
        <w:ind w:left="2880" w:hanging="360"/>
      </w:pPr>
      <w:rPr>
        <w:rFonts w:ascii="Symbol" w:hAnsi="Symbol" w:hint="default"/>
      </w:rPr>
    </w:lvl>
    <w:lvl w:ilvl="4" w:tplc="20081846" w:tentative="1">
      <w:start w:val="1"/>
      <w:numFmt w:val="bullet"/>
      <w:lvlText w:val="o"/>
      <w:lvlJc w:val="left"/>
      <w:pPr>
        <w:ind w:left="3600" w:hanging="360"/>
      </w:pPr>
      <w:rPr>
        <w:rFonts w:ascii="Courier New" w:hAnsi="Courier New" w:cs="Courier New" w:hint="default"/>
      </w:rPr>
    </w:lvl>
    <w:lvl w:ilvl="5" w:tplc="8A9E4DE4" w:tentative="1">
      <w:start w:val="1"/>
      <w:numFmt w:val="bullet"/>
      <w:lvlText w:val=""/>
      <w:lvlJc w:val="left"/>
      <w:pPr>
        <w:ind w:left="4320" w:hanging="360"/>
      </w:pPr>
      <w:rPr>
        <w:rFonts w:ascii="Wingdings" w:hAnsi="Wingdings" w:hint="default"/>
      </w:rPr>
    </w:lvl>
    <w:lvl w:ilvl="6" w:tplc="A69073CE" w:tentative="1">
      <w:start w:val="1"/>
      <w:numFmt w:val="bullet"/>
      <w:lvlText w:val=""/>
      <w:lvlJc w:val="left"/>
      <w:pPr>
        <w:ind w:left="5040" w:hanging="360"/>
      </w:pPr>
      <w:rPr>
        <w:rFonts w:ascii="Symbol" w:hAnsi="Symbol" w:hint="default"/>
      </w:rPr>
    </w:lvl>
    <w:lvl w:ilvl="7" w:tplc="16ECC8E4" w:tentative="1">
      <w:start w:val="1"/>
      <w:numFmt w:val="bullet"/>
      <w:lvlText w:val="o"/>
      <w:lvlJc w:val="left"/>
      <w:pPr>
        <w:ind w:left="5760" w:hanging="360"/>
      </w:pPr>
      <w:rPr>
        <w:rFonts w:ascii="Courier New" w:hAnsi="Courier New" w:cs="Courier New" w:hint="default"/>
      </w:rPr>
    </w:lvl>
    <w:lvl w:ilvl="8" w:tplc="713C91A2" w:tentative="1">
      <w:start w:val="1"/>
      <w:numFmt w:val="bullet"/>
      <w:lvlText w:val=""/>
      <w:lvlJc w:val="left"/>
      <w:pPr>
        <w:ind w:left="6480" w:hanging="360"/>
      </w:pPr>
      <w:rPr>
        <w:rFonts w:ascii="Wingdings" w:hAnsi="Wingdings" w:hint="default"/>
      </w:rPr>
    </w:lvl>
  </w:abstractNum>
  <w:abstractNum w:abstractNumId="1" w15:restartNumberingAfterBreak="0">
    <w:nsid w:val="4FB35B97"/>
    <w:multiLevelType w:val="hybridMultilevel"/>
    <w:tmpl w:val="DAC07138"/>
    <w:lvl w:ilvl="0" w:tplc="8AE62C5E">
      <w:start w:val="1"/>
      <w:numFmt w:val="bullet"/>
      <w:lvlText w:val=""/>
      <w:lvlJc w:val="left"/>
      <w:pPr>
        <w:ind w:left="360" w:hanging="360"/>
      </w:pPr>
      <w:rPr>
        <w:rFonts w:ascii="Wingdings" w:hAnsi="Wingdings" w:hint="default"/>
      </w:rPr>
    </w:lvl>
    <w:lvl w:ilvl="1" w:tplc="55E2322C" w:tentative="1">
      <w:start w:val="1"/>
      <w:numFmt w:val="bullet"/>
      <w:lvlText w:val="o"/>
      <w:lvlJc w:val="left"/>
      <w:pPr>
        <w:ind w:left="1080" w:hanging="360"/>
      </w:pPr>
      <w:rPr>
        <w:rFonts w:ascii="Courier New" w:hAnsi="Courier New" w:cs="Courier New" w:hint="default"/>
      </w:rPr>
    </w:lvl>
    <w:lvl w:ilvl="2" w:tplc="15329B80" w:tentative="1">
      <w:start w:val="1"/>
      <w:numFmt w:val="bullet"/>
      <w:lvlText w:val=""/>
      <w:lvlJc w:val="left"/>
      <w:pPr>
        <w:ind w:left="1800" w:hanging="360"/>
      </w:pPr>
      <w:rPr>
        <w:rFonts w:ascii="Wingdings" w:hAnsi="Wingdings" w:hint="default"/>
      </w:rPr>
    </w:lvl>
    <w:lvl w:ilvl="3" w:tplc="EB2A3024" w:tentative="1">
      <w:start w:val="1"/>
      <w:numFmt w:val="bullet"/>
      <w:lvlText w:val=""/>
      <w:lvlJc w:val="left"/>
      <w:pPr>
        <w:ind w:left="2520" w:hanging="360"/>
      </w:pPr>
      <w:rPr>
        <w:rFonts w:ascii="Symbol" w:hAnsi="Symbol" w:hint="default"/>
      </w:rPr>
    </w:lvl>
    <w:lvl w:ilvl="4" w:tplc="5AEA4C00" w:tentative="1">
      <w:start w:val="1"/>
      <w:numFmt w:val="bullet"/>
      <w:lvlText w:val="o"/>
      <w:lvlJc w:val="left"/>
      <w:pPr>
        <w:ind w:left="3240" w:hanging="360"/>
      </w:pPr>
      <w:rPr>
        <w:rFonts w:ascii="Courier New" w:hAnsi="Courier New" w:cs="Courier New" w:hint="default"/>
      </w:rPr>
    </w:lvl>
    <w:lvl w:ilvl="5" w:tplc="313ACA3C" w:tentative="1">
      <w:start w:val="1"/>
      <w:numFmt w:val="bullet"/>
      <w:lvlText w:val=""/>
      <w:lvlJc w:val="left"/>
      <w:pPr>
        <w:ind w:left="3960" w:hanging="360"/>
      </w:pPr>
      <w:rPr>
        <w:rFonts w:ascii="Wingdings" w:hAnsi="Wingdings" w:hint="default"/>
      </w:rPr>
    </w:lvl>
    <w:lvl w:ilvl="6" w:tplc="EDEC36B0" w:tentative="1">
      <w:start w:val="1"/>
      <w:numFmt w:val="bullet"/>
      <w:lvlText w:val=""/>
      <w:lvlJc w:val="left"/>
      <w:pPr>
        <w:ind w:left="4680" w:hanging="360"/>
      </w:pPr>
      <w:rPr>
        <w:rFonts w:ascii="Symbol" w:hAnsi="Symbol" w:hint="default"/>
      </w:rPr>
    </w:lvl>
    <w:lvl w:ilvl="7" w:tplc="451CD2CC" w:tentative="1">
      <w:start w:val="1"/>
      <w:numFmt w:val="bullet"/>
      <w:lvlText w:val="o"/>
      <w:lvlJc w:val="left"/>
      <w:pPr>
        <w:ind w:left="5400" w:hanging="360"/>
      </w:pPr>
      <w:rPr>
        <w:rFonts w:ascii="Courier New" w:hAnsi="Courier New" w:cs="Courier New" w:hint="default"/>
      </w:rPr>
    </w:lvl>
    <w:lvl w:ilvl="8" w:tplc="75E08708" w:tentative="1">
      <w:start w:val="1"/>
      <w:numFmt w:val="bullet"/>
      <w:lvlText w:val=""/>
      <w:lvlJc w:val="left"/>
      <w:pPr>
        <w:ind w:left="6120" w:hanging="360"/>
      </w:pPr>
      <w:rPr>
        <w:rFonts w:ascii="Wingdings" w:hAnsi="Wingdings" w:hint="default"/>
      </w:rPr>
    </w:lvl>
  </w:abstractNum>
  <w:abstractNum w:abstractNumId="2" w15:restartNumberingAfterBreak="0">
    <w:nsid w:val="52E97980"/>
    <w:multiLevelType w:val="hybridMultilevel"/>
    <w:tmpl w:val="E970261E"/>
    <w:lvl w:ilvl="0" w:tplc="68AAA410">
      <w:start w:val="1"/>
      <w:numFmt w:val="bullet"/>
      <w:lvlText w:val=""/>
      <w:lvlJc w:val="left"/>
      <w:pPr>
        <w:ind w:left="360" w:hanging="360"/>
      </w:pPr>
      <w:rPr>
        <w:rFonts w:ascii="Wingdings" w:hAnsi="Wingdings" w:hint="default"/>
      </w:rPr>
    </w:lvl>
    <w:lvl w:ilvl="1" w:tplc="901629C4" w:tentative="1">
      <w:start w:val="1"/>
      <w:numFmt w:val="bullet"/>
      <w:lvlText w:val="o"/>
      <w:lvlJc w:val="left"/>
      <w:pPr>
        <w:ind w:left="1440" w:hanging="360"/>
      </w:pPr>
      <w:rPr>
        <w:rFonts w:ascii="Courier New" w:hAnsi="Courier New" w:cs="Courier New" w:hint="default"/>
      </w:rPr>
    </w:lvl>
    <w:lvl w:ilvl="2" w:tplc="D19E4F66" w:tentative="1">
      <w:start w:val="1"/>
      <w:numFmt w:val="bullet"/>
      <w:lvlText w:val=""/>
      <w:lvlJc w:val="left"/>
      <w:pPr>
        <w:ind w:left="2160" w:hanging="360"/>
      </w:pPr>
      <w:rPr>
        <w:rFonts w:ascii="Wingdings" w:hAnsi="Wingdings" w:hint="default"/>
      </w:rPr>
    </w:lvl>
    <w:lvl w:ilvl="3" w:tplc="94B2EE0C" w:tentative="1">
      <w:start w:val="1"/>
      <w:numFmt w:val="bullet"/>
      <w:lvlText w:val=""/>
      <w:lvlJc w:val="left"/>
      <w:pPr>
        <w:ind w:left="2880" w:hanging="360"/>
      </w:pPr>
      <w:rPr>
        <w:rFonts w:ascii="Symbol" w:hAnsi="Symbol" w:hint="default"/>
      </w:rPr>
    </w:lvl>
    <w:lvl w:ilvl="4" w:tplc="C7802106" w:tentative="1">
      <w:start w:val="1"/>
      <w:numFmt w:val="bullet"/>
      <w:lvlText w:val="o"/>
      <w:lvlJc w:val="left"/>
      <w:pPr>
        <w:ind w:left="3600" w:hanging="360"/>
      </w:pPr>
      <w:rPr>
        <w:rFonts w:ascii="Courier New" w:hAnsi="Courier New" w:cs="Courier New" w:hint="default"/>
      </w:rPr>
    </w:lvl>
    <w:lvl w:ilvl="5" w:tplc="5FA01574" w:tentative="1">
      <w:start w:val="1"/>
      <w:numFmt w:val="bullet"/>
      <w:lvlText w:val=""/>
      <w:lvlJc w:val="left"/>
      <w:pPr>
        <w:ind w:left="4320" w:hanging="360"/>
      </w:pPr>
      <w:rPr>
        <w:rFonts w:ascii="Wingdings" w:hAnsi="Wingdings" w:hint="default"/>
      </w:rPr>
    </w:lvl>
    <w:lvl w:ilvl="6" w:tplc="592EB916" w:tentative="1">
      <w:start w:val="1"/>
      <w:numFmt w:val="bullet"/>
      <w:lvlText w:val=""/>
      <w:lvlJc w:val="left"/>
      <w:pPr>
        <w:ind w:left="5040" w:hanging="360"/>
      </w:pPr>
      <w:rPr>
        <w:rFonts w:ascii="Symbol" w:hAnsi="Symbol" w:hint="default"/>
      </w:rPr>
    </w:lvl>
    <w:lvl w:ilvl="7" w:tplc="3B18538E" w:tentative="1">
      <w:start w:val="1"/>
      <w:numFmt w:val="bullet"/>
      <w:lvlText w:val="o"/>
      <w:lvlJc w:val="left"/>
      <w:pPr>
        <w:ind w:left="5760" w:hanging="360"/>
      </w:pPr>
      <w:rPr>
        <w:rFonts w:ascii="Courier New" w:hAnsi="Courier New" w:cs="Courier New" w:hint="default"/>
      </w:rPr>
    </w:lvl>
    <w:lvl w:ilvl="8" w:tplc="F7B0C628" w:tentative="1">
      <w:start w:val="1"/>
      <w:numFmt w:val="bullet"/>
      <w:lvlText w:val=""/>
      <w:lvlJc w:val="left"/>
      <w:pPr>
        <w:ind w:left="6480" w:hanging="360"/>
      </w:pPr>
      <w:rPr>
        <w:rFonts w:ascii="Wingdings" w:hAnsi="Wingdings" w:hint="default"/>
      </w:rPr>
    </w:lvl>
  </w:abstractNum>
  <w:abstractNum w:abstractNumId="3" w15:restartNumberingAfterBreak="0">
    <w:nsid w:val="5717683D"/>
    <w:multiLevelType w:val="hybridMultilevel"/>
    <w:tmpl w:val="4D9848F6"/>
    <w:lvl w:ilvl="0" w:tplc="12942E76">
      <w:start w:val="1"/>
      <w:numFmt w:val="decimal"/>
      <w:lvlText w:val="%1."/>
      <w:lvlJc w:val="left"/>
      <w:pPr>
        <w:ind w:left="720" w:hanging="360"/>
      </w:pPr>
    </w:lvl>
    <w:lvl w:ilvl="1" w:tplc="DA0A5444" w:tentative="1">
      <w:start w:val="1"/>
      <w:numFmt w:val="lowerLetter"/>
      <w:lvlText w:val="%2."/>
      <w:lvlJc w:val="left"/>
      <w:pPr>
        <w:ind w:left="1440" w:hanging="360"/>
      </w:pPr>
    </w:lvl>
    <w:lvl w:ilvl="2" w:tplc="17C6691C" w:tentative="1">
      <w:start w:val="1"/>
      <w:numFmt w:val="lowerRoman"/>
      <w:lvlText w:val="%3."/>
      <w:lvlJc w:val="right"/>
      <w:pPr>
        <w:ind w:left="2160" w:hanging="180"/>
      </w:pPr>
    </w:lvl>
    <w:lvl w:ilvl="3" w:tplc="CA0CA238" w:tentative="1">
      <w:start w:val="1"/>
      <w:numFmt w:val="decimal"/>
      <w:lvlText w:val="%4."/>
      <w:lvlJc w:val="left"/>
      <w:pPr>
        <w:ind w:left="2880" w:hanging="360"/>
      </w:pPr>
    </w:lvl>
    <w:lvl w:ilvl="4" w:tplc="E422942C" w:tentative="1">
      <w:start w:val="1"/>
      <w:numFmt w:val="lowerLetter"/>
      <w:lvlText w:val="%5."/>
      <w:lvlJc w:val="left"/>
      <w:pPr>
        <w:ind w:left="3600" w:hanging="360"/>
      </w:pPr>
    </w:lvl>
    <w:lvl w:ilvl="5" w:tplc="C9C045C6" w:tentative="1">
      <w:start w:val="1"/>
      <w:numFmt w:val="lowerRoman"/>
      <w:lvlText w:val="%6."/>
      <w:lvlJc w:val="right"/>
      <w:pPr>
        <w:ind w:left="4320" w:hanging="180"/>
      </w:pPr>
    </w:lvl>
    <w:lvl w:ilvl="6" w:tplc="0D8E7C88" w:tentative="1">
      <w:start w:val="1"/>
      <w:numFmt w:val="decimal"/>
      <w:lvlText w:val="%7."/>
      <w:lvlJc w:val="left"/>
      <w:pPr>
        <w:ind w:left="5040" w:hanging="360"/>
      </w:pPr>
    </w:lvl>
    <w:lvl w:ilvl="7" w:tplc="F3189FDA" w:tentative="1">
      <w:start w:val="1"/>
      <w:numFmt w:val="lowerLetter"/>
      <w:lvlText w:val="%8."/>
      <w:lvlJc w:val="left"/>
      <w:pPr>
        <w:ind w:left="5760" w:hanging="360"/>
      </w:pPr>
    </w:lvl>
    <w:lvl w:ilvl="8" w:tplc="0786056C" w:tentative="1">
      <w:start w:val="1"/>
      <w:numFmt w:val="lowerRoman"/>
      <w:lvlText w:val="%9."/>
      <w:lvlJc w:val="right"/>
      <w:pPr>
        <w:ind w:left="6480" w:hanging="180"/>
      </w:pPr>
    </w:lvl>
  </w:abstractNum>
  <w:abstractNum w:abstractNumId="4" w15:restartNumberingAfterBreak="0">
    <w:nsid w:val="61704198"/>
    <w:multiLevelType w:val="hybridMultilevel"/>
    <w:tmpl w:val="294C9FA6"/>
    <w:lvl w:ilvl="0" w:tplc="7FA8F138">
      <w:start w:val="1"/>
      <w:numFmt w:val="bullet"/>
      <w:lvlText w:val=""/>
      <w:lvlJc w:val="left"/>
      <w:pPr>
        <w:ind w:left="360" w:hanging="360"/>
      </w:pPr>
      <w:rPr>
        <w:rFonts w:ascii="Wingdings" w:hAnsi="Wingdings" w:hint="default"/>
      </w:rPr>
    </w:lvl>
    <w:lvl w:ilvl="1" w:tplc="9D10DE62" w:tentative="1">
      <w:start w:val="1"/>
      <w:numFmt w:val="bullet"/>
      <w:lvlText w:val="o"/>
      <w:lvlJc w:val="left"/>
      <w:pPr>
        <w:ind w:left="1440" w:hanging="360"/>
      </w:pPr>
      <w:rPr>
        <w:rFonts w:ascii="Courier New" w:hAnsi="Courier New" w:cs="Courier New" w:hint="default"/>
      </w:rPr>
    </w:lvl>
    <w:lvl w:ilvl="2" w:tplc="DF045DF4" w:tentative="1">
      <w:start w:val="1"/>
      <w:numFmt w:val="bullet"/>
      <w:lvlText w:val=""/>
      <w:lvlJc w:val="left"/>
      <w:pPr>
        <w:ind w:left="2160" w:hanging="360"/>
      </w:pPr>
      <w:rPr>
        <w:rFonts w:ascii="Wingdings" w:hAnsi="Wingdings" w:hint="default"/>
      </w:rPr>
    </w:lvl>
    <w:lvl w:ilvl="3" w:tplc="BCE2DFCA" w:tentative="1">
      <w:start w:val="1"/>
      <w:numFmt w:val="bullet"/>
      <w:lvlText w:val=""/>
      <w:lvlJc w:val="left"/>
      <w:pPr>
        <w:ind w:left="2880" w:hanging="360"/>
      </w:pPr>
      <w:rPr>
        <w:rFonts w:ascii="Symbol" w:hAnsi="Symbol" w:hint="default"/>
      </w:rPr>
    </w:lvl>
    <w:lvl w:ilvl="4" w:tplc="ED16E95C" w:tentative="1">
      <w:start w:val="1"/>
      <w:numFmt w:val="bullet"/>
      <w:lvlText w:val="o"/>
      <w:lvlJc w:val="left"/>
      <w:pPr>
        <w:ind w:left="3600" w:hanging="360"/>
      </w:pPr>
      <w:rPr>
        <w:rFonts w:ascii="Courier New" w:hAnsi="Courier New" w:cs="Courier New" w:hint="default"/>
      </w:rPr>
    </w:lvl>
    <w:lvl w:ilvl="5" w:tplc="FF90D0AE" w:tentative="1">
      <w:start w:val="1"/>
      <w:numFmt w:val="bullet"/>
      <w:lvlText w:val=""/>
      <w:lvlJc w:val="left"/>
      <w:pPr>
        <w:ind w:left="4320" w:hanging="360"/>
      </w:pPr>
      <w:rPr>
        <w:rFonts w:ascii="Wingdings" w:hAnsi="Wingdings" w:hint="default"/>
      </w:rPr>
    </w:lvl>
    <w:lvl w:ilvl="6" w:tplc="5490A258" w:tentative="1">
      <w:start w:val="1"/>
      <w:numFmt w:val="bullet"/>
      <w:lvlText w:val=""/>
      <w:lvlJc w:val="left"/>
      <w:pPr>
        <w:ind w:left="5040" w:hanging="360"/>
      </w:pPr>
      <w:rPr>
        <w:rFonts w:ascii="Symbol" w:hAnsi="Symbol" w:hint="default"/>
      </w:rPr>
    </w:lvl>
    <w:lvl w:ilvl="7" w:tplc="73AC0D2E" w:tentative="1">
      <w:start w:val="1"/>
      <w:numFmt w:val="bullet"/>
      <w:lvlText w:val="o"/>
      <w:lvlJc w:val="left"/>
      <w:pPr>
        <w:ind w:left="5760" w:hanging="360"/>
      </w:pPr>
      <w:rPr>
        <w:rFonts w:ascii="Courier New" w:hAnsi="Courier New" w:cs="Courier New" w:hint="default"/>
      </w:rPr>
    </w:lvl>
    <w:lvl w:ilvl="8" w:tplc="0DFAB6BC" w:tentative="1">
      <w:start w:val="1"/>
      <w:numFmt w:val="bullet"/>
      <w:lvlText w:val=""/>
      <w:lvlJc w:val="left"/>
      <w:pPr>
        <w:ind w:left="6480" w:hanging="360"/>
      </w:pPr>
      <w:rPr>
        <w:rFonts w:ascii="Wingdings" w:hAnsi="Wingdings" w:hint="default"/>
      </w:rPr>
    </w:lvl>
  </w:abstractNum>
  <w:abstractNum w:abstractNumId="5" w15:restartNumberingAfterBreak="0">
    <w:nsid w:val="74E539A3"/>
    <w:multiLevelType w:val="hybridMultilevel"/>
    <w:tmpl w:val="039CD944"/>
    <w:lvl w:ilvl="0" w:tplc="C6FC2DDA">
      <w:start w:val="1"/>
      <w:numFmt w:val="bullet"/>
      <w:lvlText w:val=""/>
      <w:lvlJc w:val="left"/>
      <w:pPr>
        <w:ind w:left="720" w:hanging="360"/>
      </w:pPr>
      <w:rPr>
        <w:rFonts w:ascii="Wingdings" w:hAnsi="Wingdings" w:hint="default"/>
      </w:rPr>
    </w:lvl>
    <w:lvl w:ilvl="1" w:tplc="7F64867E" w:tentative="1">
      <w:start w:val="1"/>
      <w:numFmt w:val="bullet"/>
      <w:lvlText w:val="o"/>
      <w:lvlJc w:val="left"/>
      <w:pPr>
        <w:ind w:left="1440" w:hanging="360"/>
      </w:pPr>
      <w:rPr>
        <w:rFonts w:ascii="Courier New" w:hAnsi="Courier New" w:cs="Courier New" w:hint="default"/>
      </w:rPr>
    </w:lvl>
    <w:lvl w:ilvl="2" w:tplc="2A1CBC1A" w:tentative="1">
      <w:start w:val="1"/>
      <w:numFmt w:val="bullet"/>
      <w:lvlText w:val=""/>
      <w:lvlJc w:val="left"/>
      <w:pPr>
        <w:ind w:left="2160" w:hanging="360"/>
      </w:pPr>
      <w:rPr>
        <w:rFonts w:ascii="Wingdings" w:hAnsi="Wingdings" w:hint="default"/>
      </w:rPr>
    </w:lvl>
    <w:lvl w:ilvl="3" w:tplc="AFCCB2C0" w:tentative="1">
      <w:start w:val="1"/>
      <w:numFmt w:val="bullet"/>
      <w:lvlText w:val=""/>
      <w:lvlJc w:val="left"/>
      <w:pPr>
        <w:ind w:left="2880" w:hanging="360"/>
      </w:pPr>
      <w:rPr>
        <w:rFonts w:ascii="Symbol" w:hAnsi="Symbol" w:hint="default"/>
      </w:rPr>
    </w:lvl>
    <w:lvl w:ilvl="4" w:tplc="23944B5A" w:tentative="1">
      <w:start w:val="1"/>
      <w:numFmt w:val="bullet"/>
      <w:lvlText w:val="o"/>
      <w:lvlJc w:val="left"/>
      <w:pPr>
        <w:ind w:left="3600" w:hanging="360"/>
      </w:pPr>
      <w:rPr>
        <w:rFonts w:ascii="Courier New" w:hAnsi="Courier New" w:cs="Courier New" w:hint="default"/>
      </w:rPr>
    </w:lvl>
    <w:lvl w:ilvl="5" w:tplc="316ECE08" w:tentative="1">
      <w:start w:val="1"/>
      <w:numFmt w:val="bullet"/>
      <w:lvlText w:val=""/>
      <w:lvlJc w:val="left"/>
      <w:pPr>
        <w:ind w:left="4320" w:hanging="360"/>
      </w:pPr>
      <w:rPr>
        <w:rFonts w:ascii="Wingdings" w:hAnsi="Wingdings" w:hint="default"/>
      </w:rPr>
    </w:lvl>
    <w:lvl w:ilvl="6" w:tplc="93BC3A42" w:tentative="1">
      <w:start w:val="1"/>
      <w:numFmt w:val="bullet"/>
      <w:lvlText w:val=""/>
      <w:lvlJc w:val="left"/>
      <w:pPr>
        <w:ind w:left="5040" w:hanging="360"/>
      </w:pPr>
      <w:rPr>
        <w:rFonts w:ascii="Symbol" w:hAnsi="Symbol" w:hint="default"/>
      </w:rPr>
    </w:lvl>
    <w:lvl w:ilvl="7" w:tplc="717C3410" w:tentative="1">
      <w:start w:val="1"/>
      <w:numFmt w:val="bullet"/>
      <w:lvlText w:val="o"/>
      <w:lvlJc w:val="left"/>
      <w:pPr>
        <w:ind w:left="5760" w:hanging="360"/>
      </w:pPr>
      <w:rPr>
        <w:rFonts w:ascii="Courier New" w:hAnsi="Courier New" w:cs="Courier New" w:hint="default"/>
      </w:rPr>
    </w:lvl>
    <w:lvl w:ilvl="8" w:tplc="BD7E354E" w:tentative="1">
      <w:start w:val="1"/>
      <w:numFmt w:val="bullet"/>
      <w:lvlText w:val=""/>
      <w:lvlJc w:val="left"/>
      <w:pPr>
        <w:ind w:left="6480" w:hanging="360"/>
      </w:pPr>
      <w:rPr>
        <w:rFonts w:ascii="Wingdings" w:hAnsi="Wingdings" w:hint="default"/>
      </w:rPr>
    </w:lvl>
  </w:abstractNum>
  <w:num w:numId="1" w16cid:durableId="315494438">
    <w:abstractNumId w:val="1"/>
  </w:num>
  <w:num w:numId="2" w16cid:durableId="777069165">
    <w:abstractNumId w:val="5"/>
  </w:num>
  <w:num w:numId="3" w16cid:durableId="2084571545">
    <w:abstractNumId w:val="2"/>
  </w:num>
  <w:num w:numId="4" w16cid:durableId="819033889">
    <w:abstractNumId w:val="0"/>
  </w:num>
  <w:num w:numId="5" w16cid:durableId="1647663445">
    <w:abstractNumId w:val="3"/>
  </w:num>
  <w:num w:numId="6" w16cid:durableId="9248012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9D"/>
    <w:rsid w:val="000031C2"/>
    <w:rsid w:val="00004643"/>
    <w:rsid w:val="000108F0"/>
    <w:rsid w:val="00014DE1"/>
    <w:rsid w:val="00015D17"/>
    <w:rsid w:val="00015E92"/>
    <w:rsid w:val="00021A08"/>
    <w:rsid w:val="00021A26"/>
    <w:rsid w:val="000235F5"/>
    <w:rsid w:val="00024AFA"/>
    <w:rsid w:val="0003030B"/>
    <w:rsid w:val="00030ABA"/>
    <w:rsid w:val="00033012"/>
    <w:rsid w:val="000355B7"/>
    <w:rsid w:val="00040354"/>
    <w:rsid w:val="000421AB"/>
    <w:rsid w:val="0004366C"/>
    <w:rsid w:val="0004664F"/>
    <w:rsid w:val="000507A6"/>
    <w:rsid w:val="00051C81"/>
    <w:rsid w:val="000573A6"/>
    <w:rsid w:val="000600BC"/>
    <w:rsid w:val="00062613"/>
    <w:rsid w:val="000669FF"/>
    <w:rsid w:val="00070F9A"/>
    <w:rsid w:val="0007143A"/>
    <w:rsid w:val="00072151"/>
    <w:rsid w:val="0008098A"/>
    <w:rsid w:val="000A6109"/>
    <w:rsid w:val="000A6459"/>
    <w:rsid w:val="000B19CE"/>
    <w:rsid w:val="000B31C5"/>
    <w:rsid w:val="000C32C8"/>
    <w:rsid w:val="000E1A06"/>
    <w:rsid w:val="000E63EF"/>
    <w:rsid w:val="000E6728"/>
    <w:rsid w:val="000F6BD8"/>
    <w:rsid w:val="0010039D"/>
    <w:rsid w:val="00102E8D"/>
    <w:rsid w:val="00103D2A"/>
    <w:rsid w:val="00106509"/>
    <w:rsid w:val="0011088D"/>
    <w:rsid w:val="00111DDB"/>
    <w:rsid w:val="00112538"/>
    <w:rsid w:val="001208F2"/>
    <w:rsid w:val="00125E51"/>
    <w:rsid w:val="001313B1"/>
    <w:rsid w:val="00132E2B"/>
    <w:rsid w:val="00133A89"/>
    <w:rsid w:val="00137D42"/>
    <w:rsid w:val="00144E1E"/>
    <w:rsid w:val="00150B3B"/>
    <w:rsid w:val="00154A54"/>
    <w:rsid w:val="00163452"/>
    <w:rsid w:val="00163551"/>
    <w:rsid w:val="001654F7"/>
    <w:rsid w:val="00165606"/>
    <w:rsid w:val="0016565A"/>
    <w:rsid w:val="00166785"/>
    <w:rsid w:val="001774F5"/>
    <w:rsid w:val="00181018"/>
    <w:rsid w:val="00183679"/>
    <w:rsid w:val="00186EF2"/>
    <w:rsid w:val="00192C2A"/>
    <w:rsid w:val="001938A3"/>
    <w:rsid w:val="00194474"/>
    <w:rsid w:val="00194FD9"/>
    <w:rsid w:val="001A6777"/>
    <w:rsid w:val="001B3FB8"/>
    <w:rsid w:val="001B7092"/>
    <w:rsid w:val="001B7DF3"/>
    <w:rsid w:val="001C0FEF"/>
    <w:rsid w:val="001C5086"/>
    <w:rsid w:val="001F138C"/>
    <w:rsid w:val="001F27DB"/>
    <w:rsid w:val="002014F1"/>
    <w:rsid w:val="00201626"/>
    <w:rsid w:val="0020278D"/>
    <w:rsid w:val="00202F90"/>
    <w:rsid w:val="002053C6"/>
    <w:rsid w:val="0020787F"/>
    <w:rsid w:val="002209F0"/>
    <w:rsid w:val="002221D6"/>
    <w:rsid w:val="00224BF3"/>
    <w:rsid w:val="00233902"/>
    <w:rsid w:val="002355D6"/>
    <w:rsid w:val="00244A6C"/>
    <w:rsid w:val="00251A28"/>
    <w:rsid w:val="00252424"/>
    <w:rsid w:val="00256F1A"/>
    <w:rsid w:val="0026713F"/>
    <w:rsid w:val="00272EAD"/>
    <w:rsid w:val="00274501"/>
    <w:rsid w:val="0027648E"/>
    <w:rsid w:val="00277C57"/>
    <w:rsid w:val="002802C3"/>
    <w:rsid w:val="0028700F"/>
    <w:rsid w:val="002905E9"/>
    <w:rsid w:val="00294960"/>
    <w:rsid w:val="002A3A32"/>
    <w:rsid w:val="002B1CED"/>
    <w:rsid w:val="002B2296"/>
    <w:rsid w:val="002C34E7"/>
    <w:rsid w:val="002C6089"/>
    <w:rsid w:val="002C6C64"/>
    <w:rsid w:val="002C7A4E"/>
    <w:rsid w:val="002D0778"/>
    <w:rsid w:val="002D0D4F"/>
    <w:rsid w:val="002D5732"/>
    <w:rsid w:val="002D5861"/>
    <w:rsid w:val="002E08CE"/>
    <w:rsid w:val="002F10EA"/>
    <w:rsid w:val="002F19D8"/>
    <w:rsid w:val="002F58C7"/>
    <w:rsid w:val="002F7159"/>
    <w:rsid w:val="00301D4A"/>
    <w:rsid w:val="00324531"/>
    <w:rsid w:val="00325DAF"/>
    <w:rsid w:val="0033548F"/>
    <w:rsid w:val="00336BB9"/>
    <w:rsid w:val="0034419D"/>
    <w:rsid w:val="0035129E"/>
    <w:rsid w:val="003545C7"/>
    <w:rsid w:val="00364531"/>
    <w:rsid w:val="0036534E"/>
    <w:rsid w:val="00365493"/>
    <w:rsid w:val="003671D0"/>
    <w:rsid w:val="00367488"/>
    <w:rsid w:val="00370DB6"/>
    <w:rsid w:val="003727D5"/>
    <w:rsid w:val="0037351B"/>
    <w:rsid w:val="00375766"/>
    <w:rsid w:val="00375A77"/>
    <w:rsid w:val="00376C4E"/>
    <w:rsid w:val="00380CA1"/>
    <w:rsid w:val="003830D3"/>
    <w:rsid w:val="00383E2A"/>
    <w:rsid w:val="0038438F"/>
    <w:rsid w:val="00390ACF"/>
    <w:rsid w:val="0039471D"/>
    <w:rsid w:val="003A2CAD"/>
    <w:rsid w:val="003A6290"/>
    <w:rsid w:val="003B0A67"/>
    <w:rsid w:val="003B5109"/>
    <w:rsid w:val="003C0E6C"/>
    <w:rsid w:val="003C25A8"/>
    <w:rsid w:val="003C4368"/>
    <w:rsid w:val="003C54E6"/>
    <w:rsid w:val="003D44CC"/>
    <w:rsid w:val="003D7179"/>
    <w:rsid w:val="003D792D"/>
    <w:rsid w:val="003E1DA8"/>
    <w:rsid w:val="003E20DE"/>
    <w:rsid w:val="003F0A7B"/>
    <w:rsid w:val="003F2FA7"/>
    <w:rsid w:val="003F3733"/>
    <w:rsid w:val="003F634C"/>
    <w:rsid w:val="003F6D8E"/>
    <w:rsid w:val="00401E3A"/>
    <w:rsid w:val="00403CEE"/>
    <w:rsid w:val="004213B8"/>
    <w:rsid w:val="00431FB1"/>
    <w:rsid w:val="00431FEF"/>
    <w:rsid w:val="004335F2"/>
    <w:rsid w:val="00434CB2"/>
    <w:rsid w:val="00435363"/>
    <w:rsid w:val="00437985"/>
    <w:rsid w:val="00440CD7"/>
    <w:rsid w:val="00443724"/>
    <w:rsid w:val="004464D9"/>
    <w:rsid w:val="004471FF"/>
    <w:rsid w:val="0045566F"/>
    <w:rsid w:val="0046305F"/>
    <w:rsid w:val="00463944"/>
    <w:rsid w:val="004651FC"/>
    <w:rsid w:val="00471147"/>
    <w:rsid w:val="00472CBC"/>
    <w:rsid w:val="00476DC3"/>
    <w:rsid w:val="00481CBE"/>
    <w:rsid w:val="0048382A"/>
    <w:rsid w:val="004919B9"/>
    <w:rsid w:val="00492C8F"/>
    <w:rsid w:val="004A347F"/>
    <w:rsid w:val="004A34EA"/>
    <w:rsid w:val="004B0F2B"/>
    <w:rsid w:val="004B7DF8"/>
    <w:rsid w:val="004C564B"/>
    <w:rsid w:val="004D0E0B"/>
    <w:rsid w:val="004E0E82"/>
    <w:rsid w:val="0050017C"/>
    <w:rsid w:val="005032BD"/>
    <w:rsid w:val="005064FF"/>
    <w:rsid w:val="005065CF"/>
    <w:rsid w:val="00513F27"/>
    <w:rsid w:val="00514D4A"/>
    <w:rsid w:val="00517F1E"/>
    <w:rsid w:val="00522956"/>
    <w:rsid w:val="00523689"/>
    <w:rsid w:val="00525353"/>
    <w:rsid w:val="0053033E"/>
    <w:rsid w:val="0053151E"/>
    <w:rsid w:val="005318D7"/>
    <w:rsid w:val="00531956"/>
    <w:rsid w:val="0053406D"/>
    <w:rsid w:val="00536859"/>
    <w:rsid w:val="00542835"/>
    <w:rsid w:val="00547910"/>
    <w:rsid w:val="00550477"/>
    <w:rsid w:val="005532AA"/>
    <w:rsid w:val="00554B3D"/>
    <w:rsid w:val="00557304"/>
    <w:rsid w:val="00562723"/>
    <w:rsid w:val="005667CF"/>
    <w:rsid w:val="00566C59"/>
    <w:rsid w:val="00572AD9"/>
    <w:rsid w:val="005929A9"/>
    <w:rsid w:val="005A224C"/>
    <w:rsid w:val="005A4D29"/>
    <w:rsid w:val="005B138A"/>
    <w:rsid w:val="005C39F6"/>
    <w:rsid w:val="005C696E"/>
    <w:rsid w:val="005D34DF"/>
    <w:rsid w:val="005D6645"/>
    <w:rsid w:val="005E5EF4"/>
    <w:rsid w:val="005F6E37"/>
    <w:rsid w:val="00614F24"/>
    <w:rsid w:val="006160A0"/>
    <w:rsid w:val="00617585"/>
    <w:rsid w:val="006236DB"/>
    <w:rsid w:val="0062742C"/>
    <w:rsid w:val="006278F0"/>
    <w:rsid w:val="006359C0"/>
    <w:rsid w:val="00635CEA"/>
    <w:rsid w:val="00641578"/>
    <w:rsid w:val="00642F65"/>
    <w:rsid w:val="0064500F"/>
    <w:rsid w:val="0065071C"/>
    <w:rsid w:val="00650778"/>
    <w:rsid w:val="006528C7"/>
    <w:rsid w:val="00652DDA"/>
    <w:rsid w:val="006600FF"/>
    <w:rsid w:val="00661905"/>
    <w:rsid w:val="00662F1F"/>
    <w:rsid w:val="00664E75"/>
    <w:rsid w:val="006711AB"/>
    <w:rsid w:val="00676878"/>
    <w:rsid w:val="00681A1F"/>
    <w:rsid w:val="006845A3"/>
    <w:rsid w:val="00686D63"/>
    <w:rsid w:val="00687B61"/>
    <w:rsid w:val="0069555B"/>
    <w:rsid w:val="006A0391"/>
    <w:rsid w:val="006A54DA"/>
    <w:rsid w:val="006B6373"/>
    <w:rsid w:val="006C095E"/>
    <w:rsid w:val="006C1A4B"/>
    <w:rsid w:val="006C3F6F"/>
    <w:rsid w:val="006C4284"/>
    <w:rsid w:val="006E01A6"/>
    <w:rsid w:val="006E5451"/>
    <w:rsid w:val="006F08AF"/>
    <w:rsid w:val="00705D49"/>
    <w:rsid w:val="00706C01"/>
    <w:rsid w:val="00710AB9"/>
    <w:rsid w:val="00712393"/>
    <w:rsid w:val="0071279C"/>
    <w:rsid w:val="007134D3"/>
    <w:rsid w:val="00715E12"/>
    <w:rsid w:val="00717CE6"/>
    <w:rsid w:val="00717F37"/>
    <w:rsid w:val="007204FA"/>
    <w:rsid w:val="0072357E"/>
    <w:rsid w:val="00724859"/>
    <w:rsid w:val="00725B48"/>
    <w:rsid w:val="00736230"/>
    <w:rsid w:val="00741F8B"/>
    <w:rsid w:val="00744508"/>
    <w:rsid w:val="0075381A"/>
    <w:rsid w:val="0075384E"/>
    <w:rsid w:val="00763090"/>
    <w:rsid w:val="00774A18"/>
    <w:rsid w:val="0077670C"/>
    <w:rsid w:val="00781144"/>
    <w:rsid w:val="00781DA7"/>
    <w:rsid w:val="00785D4E"/>
    <w:rsid w:val="0079008E"/>
    <w:rsid w:val="00791706"/>
    <w:rsid w:val="007924E8"/>
    <w:rsid w:val="00793055"/>
    <w:rsid w:val="00793A83"/>
    <w:rsid w:val="007A4BCC"/>
    <w:rsid w:val="007B10F1"/>
    <w:rsid w:val="007B28B5"/>
    <w:rsid w:val="007B6E6D"/>
    <w:rsid w:val="007C1320"/>
    <w:rsid w:val="007C451F"/>
    <w:rsid w:val="007C591D"/>
    <w:rsid w:val="007C5925"/>
    <w:rsid w:val="007C5D35"/>
    <w:rsid w:val="007C7A30"/>
    <w:rsid w:val="007D5F3C"/>
    <w:rsid w:val="007D6939"/>
    <w:rsid w:val="007F1235"/>
    <w:rsid w:val="007F5803"/>
    <w:rsid w:val="007F5FC0"/>
    <w:rsid w:val="007F6735"/>
    <w:rsid w:val="00804AE1"/>
    <w:rsid w:val="00810E4D"/>
    <w:rsid w:val="0082301C"/>
    <w:rsid w:val="00823FDE"/>
    <w:rsid w:val="008251DD"/>
    <w:rsid w:val="00827CEF"/>
    <w:rsid w:val="008366FA"/>
    <w:rsid w:val="00840C4F"/>
    <w:rsid w:val="00841FB0"/>
    <w:rsid w:val="00844A9F"/>
    <w:rsid w:val="0085223E"/>
    <w:rsid w:val="00852A7B"/>
    <w:rsid w:val="00857106"/>
    <w:rsid w:val="008631B1"/>
    <w:rsid w:val="00876418"/>
    <w:rsid w:val="00880C64"/>
    <w:rsid w:val="00886CD7"/>
    <w:rsid w:val="008905A7"/>
    <w:rsid w:val="00892D53"/>
    <w:rsid w:val="00895E2E"/>
    <w:rsid w:val="008A1487"/>
    <w:rsid w:val="008A166C"/>
    <w:rsid w:val="008A56A4"/>
    <w:rsid w:val="008A7025"/>
    <w:rsid w:val="008B42F2"/>
    <w:rsid w:val="008C4BF7"/>
    <w:rsid w:val="008C7BB3"/>
    <w:rsid w:val="008D1A2E"/>
    <w:rsid w:val="008D1AD1"/>
    <w:rsid w:val="008D2230"/>
    <w:rsid w:val="008D3C60"/>
    <w:rsid w:val="008D57CF"/>
    <w:rsid w:val="008D674E"/>
    <w:rsid w:val="008D7606"/>
    <w:rsid w:val="008E2B31"/>
    <w:rsid w:val="008F0EBB"/>
    <w:rsid w:val="008F5A88"/>
    <w:rsid w:val="008F6EBF"/>
    <w:rsid w:val="008F77C1"/>
    <w:rsid w:val="008F7E64"/>
    <w:rsid w:val="00901F41"/>
    <w:rsid w:val="00903881"/>
    <w:rsid w:val="00903B8D"/>
    <w:rsid w:val="00903CAE"/>
    <w:rsid w:val="00904700"/>
    <w:rsid w:val="00905EA8"/>
    <w:rsid w:val="009124F8"/>
    <w:rsid w:val="00915E49"/>
    <w:rsid w:val="009223B2"/>
    <w:rsid w:val="00923C4C"/>
    <w:rsid w:val="009326EE"/>
    <w:rsid w:val="00936EF7"/>
    <w:rsid w:val="00943FF1"/>
    <w:rsid w:val="009442CC"/>
    <w:rsid w:val="00950D73"/>
    <w:rsid w:val="00953734"/>
    <w:rsid w:val="00961465"/>
    <w:rsid w:val="009671AC"/>
    <w:rsid w:val="00973070"/>
    <w:rsid w:val="00974E81"/>
    <w:rsid w:val="00982C16"/>
    <w:rsid w:val="00983369"/>
    <w:rsid w:val="00987141"/>
    <w:rsid w:val="00992457"/>
    <w:rsid w:val="00992E00"/>
    <w:rsid w:val="00994A8F"/>
    <w:rsid w:val="00997D1D"/>
    <w:rsid w:val="009A063B"/>
    <w:rsid w:val="009A4613"/>
    <w:rsid w:val="009A6AB8"/>
    <w:rsid w:val="009B4D61"/>
    <w:rsid w:val="009B6135"/>
    <w:rsid w:val="009C00D8"/>
    <w:rsid w:val="009C2496"/>
    <w:rsid w:val="009C2755"/>
    <w:rsid w:val="009D0BF6"/>
    <w:rsid w:val="009D7035"/>
    <w:rsid w:val="009D7AC5"/>
    <w:rsid w:val="009D7E05"/>
    <w:rsid w:val="009E56B9"/>
    <w:rsid w:val="009F09DC"/>
    <w:rsid w:val="009F1CCE"/>
    <w:rsid w:val="00A00E85"/>
    <w:rsid w:val="00A054DB"/>
    <w:rsid w:val="00A05BF0"/>
    <w:rsid w:val="00A07A1E"/>
    <w:rsid w:val="00A1387F"/>
    <w:rsid w:val="00A151FD"/>
    <w:rsid w:val="00A156AD"/>
    <w:rsid w:val="00A25951"/>
    <w:rsid w:val="00A26871"/>
    <w:rsid w:val="00A3046C"/>
    <w:rsid w:val="00A322DA"/>
    <w:rsid w:val="00A353C4"/>
    <w:rsid w:val="00A36520"/>
    <w:rsid w:val="00A4072F"/>
    <w:rsid w:val="00A40AC7"/>
    <w:rsid w:val="00A43510"/>
    <w:rsid w:val="00A44B1C"/>
    <w:rsid w:val="00A46446"/>
    <w:rsid w:val="00A5248B"/>
    <w:rsid w:val="00A56561"/>
    <w:rsid w:val="00A62000"/>
    <w:rsid w:val="00A63C87"/>
    <w:rsid w:val="00A649B4"/>
    <w:rsid w:val="00A65581"/>
    <w:rsid w:val="00A66C33"/>
    <w:rsid w:val="00A715A1"/>
    <w:rsid w:val="00A71FF1"/>
    <w:rsid w:val="00A732DB"/>
    <w:rsid w:val="00A73D27"/>
    <w:rsid w:val="00A826E2"/>
    <w:rsid w:val="00A83092"/>
    <w:rsid w:val="00A83370"/>
    <w:rsid w:val="00A8353C"/>
    <w:rsid w:val="00A83B80"/>
    <w:rsid w:val="00A9042B"/>
    <w:rsid w:val="00A948FB"/>
    <w:rsid w:val="00A965F0"/>
    <w:rsid w:val="00A96986"/>
    <w:rsid w:val="00AA0060"/>
    <w:rsid w:val="00AA3E8D"/>
    <w:rsid w:val="00AB0B5B"/>
    <w:rsid w:val="00AB1EE9"/>
    <w:rsid w:val="00AB30AB"/>
    <w:rsid w:val="00AC051A"/>
    <w:rsid w:val="00AC4ABE"/>
    <w:rsid w:val="00AC7B24"/>
    <w:rsid w:val="00AE3DF0"/>
    <w:rsid w:val="00AE6A3C"/>
    <w:rsid w:val="00AF012A"/>
    <w:rsid w:val="00AF15DF"/>
    <w:rsid w:val="00AF1871"/>
    <w:rsid w:val="00B03740"/>
    <w:rsid w:val="00B077F7"/>
    <w:rsid w:val="00B07AB5"/>
    <w:rsid w:val="00B11F85"/>
    <w:rsid w:val="00B1321A"/>
    <w:rsid w:val="00B1347F"/>
    <w:rsid w:val="00B2133A"/>
    <w:rsid w:val="00B22ABF"/>
    <w:rsid w:val="00B30ADE"/>
    <w:rsid w:val="00B52FB6"/>
    <w:rsid w:val="00B54F95"/>
    <w:rsid w:val="00B55ACA"/>
    <w:rsid w:val="00B60DB3"/>
    <w:rsid w:val="00B62B1B"/>
    <w:rsid w:val="00B64E57"/>
    <w:rsid w:val="00B65B50"/>
    <w:rsid w:val="00B70DDF"/>
    <w:rsid w:val="00B7264D"/>
    <w:rsid w:val="00B75E77"/>
    <w:rsid w:val="00B81FED"/>
    <w:rsid w:val="00B820DE"/>
    <w:rsid w:val="00B83A2B"/>
    <w:rsid w:val="00BA0058"/>
    <w:rsid w:val="00BA5ABA"/>
    <w:rsid w:val="00BA5F0F"/>
    <w:rsid w:val="00BA70AE"/>
    <w:rsid w:val="00BB333F"/>
    <w:rsid w:val="00BB3935"/>
    <w:rsid w:val="00BB42B2"/>
    <w:rsid w:val="00BB74EA"/>
    <w:rsid w:val="00BC5AC5"/>
    <w:rsid w:val="00BE43A0"/>
    <w:rsid w:val="00C067E3"/>
    <w:rsid w:val="00C10B8A"/>
    <w:rsid w:val="00C12858"/>
    <w:rsid w:val="00C131FE"/>
    <w:rsid w:val="00C1498F"/>
    <w:rsid w:val="00C15A05"/>
    <w:rsid w:val="00C2782D"/>
    <w:rsid w:val="00C31F11"/>
    <w:rsid w:val="00C33F49"/>
    <w:rsid w:val="00C34F1B"/>
    <w:rsid w:val="00C35E88"/>
    <w:rsid w:val="00C36BD5"/>
    <w:rsid w:val="00C37090"/>
    <w:rsid w:val="00C42F4F"/>
    <w:rsid w:val="00C439EC"/>
    <w:rsid w:val="00C44F81"/>
    <w:rsid w:val="00C5137A"/>
    <w:rsid w:val="00C576A3"/>
    <w:rsid w:val="00C6220D"/>
    <w:rsid w:val="00C66C41"/>
    <w:rsid w:val="00C67C7C"/>
    <w:rsid w:val="00C67CEF"/>
    <w:rsid w:val="00C76180"/>
    <w:rsid w:val="00C77D28"/>
    <w:rsid w:val="00C84665"/>
    <w:rsid w:val="00C90C08"/>
    <w:rsid w:val="00C90E8A"/>
    <w:rsid w:val="00C92E71"/>
    <w:rsid w:val="00C9359B"/>
    <w:rsid w:val="00C95889"/>
    <w:rsid w:val="00CB1004"/>
    <w:rsid w:val="00CB2FAE"/>
    <w:rsid w:val="00CB40D1"/>
    <w:rsid w:val="00CB53E4"/>
    <w:rsid w:val="00CC4242"/>
    <w:rsid w:val="00CC5177"/>
    <w:rsid w:val="00CD1A0C"/>
    <w:rsid w:val="00CD3B42"/>
    <w:rsid w:val="00CE1764"/>
    <w:rsid w:val="00CE1DEB"/>
    <w:rsid w:val="00CE46E4"/>
    <w:rsid w:val="00CE6985"/>
    <w:rsid w:val="00CF0483"/>
    <w:rsid w:val="00D04810"/>
    <w:rsid w:val="00D05206"/>
    <w:rsid w:val="00D0645F"/>
    <w:rsid w:val="00D06854"/>
    <w:rsid w:val="00D07EA8"/>
    <w:rsid w:val="00D13F42"/>
    <w:rsid w:val="00D17488"/>
    <w:rsid w:val="00D22483"/>
    <w:rsid w:val="00D241F1"/>
    <w:rsid w:val="00D244BE"/>
    <w:rsid w:val="00D24EA9"/>
    <w:rsid w:val="00D25E5E"/>
    <w:rsid w:val="00D302BB"/>
    <w:rsid w:val="00D30446"/>
    <w:rsid w:val="00D33090"/>
    <w:rsid w:val="00D33C60"/>
    <w:rsid w:val="00D346BF"/>
    <w:rsid w:val="00D424B2"/>
    <w:rsid w:val="00D44981"/>
    <w:rsid w:val="00D4611E"/>
    <w:rsid w:val="00D46C1B"/>
    <w:rsid w:val="00D46DFC"/>
    <w:rsid w:val="00D53886"/>
    <w:rsid w:val="00D548A4"/>
    <w:rsid w:val="00D638E7"/>
    <w:rsid w:val="00D64D45"/>
    <w:rsid w:val="00D660C6"/>
    <w:rsid w:val="00D66F07"/>
    <w:rsid w:val="00D67655"/>
    <w:rsid w:val="00D71E82"/>
    <w:rsid w:val="00D77670"/>
    <w:rsid w:val="00D819A7"/>
    <w:rsid w:val="00D84624"/>
    <w:rsid w:val="00D90750"/>
    <w:rsid w:val="00D9325E"/>
    <w:rsid w:val="00D93336"/>
    <w:rsid w:val="00D96B0A"/>
    <w:rsid w:val="00D97E52"/>
    <w:rsid w:val="00DA27E6"/>
    <w:rsid w:val="00DB1083"/>
    <w:rsid w:val="00DB239D"/>
    <w:rsid w:val="00DB2D3F"/>
    <w:rsid w:val="00DB32E0"/>
    <w:rsid w:val="00DB66E5"/>
    <w:rsid w:val="00DB72C1"/>
    <w:rsid w:val="00DC085B"/>
    <w:rsid w:val="00DC31D3"/>
    <w:rsid w:val="00DC7525"/>
    <w:rsid w:val="00DD1475"/>
    <w:rsid w:val="00DD416D"/>
    <w:rsid w:val="00DD4E75"/>
    <w:rsid w:val="00DD5449"/>
    <w:rsid w:val="00DD749C"/>
    <w:rsid w:val="00DF0994"/>
    <w:rsid w:val="00E000D6"/>
    <w:rsid w:val="00E042A5"/>
    <w:rsid w:val="00E05B69"/>
    <w:rsid w:val="00E07D0C"/>
    <w:rsid w:val="00E164A5"/>
    <w:rsid w:val="00E177EB"/>
    <w:rsid w:val="00E24115"/>
    <w:rsid w:val="00E24D29"/>
    <w:rsid w:val="00E32B08"/>
    <w:rsid w:val="00E34A68"/>
    <w:rsid w:val="00E34D14"/>
    <w:rsid w:val="00E35D77"/>
    <w:rsid w:val="00E45AF9"/>
    <w:rsid w:val="00E5117C"/>
    <w:rsid w:val="00E51D04"/>
    <w:rsid w:val="00E547A1"/>
    <w:rsid w:val="00E55B65"/>
    <w:rsid w:val="00E57864"/>
    <w:rsid w:val="00E6312C"/>
    <w:rsid w:val="00E64C28"/>
    <w:rsid w:val="00E64EC7"/>
    <w:rsid w:val="00E77B95"/>
    <w:rsid w:val="00E92BED"/>
    <w:rsid w:val="00E942AA"/>
    <w:rsid w:val="00E95225"/>
    <w:rsid w:val="00E962E2"/>
    <w:rsid w:val="00E9789F"/>
    <w:rsid w:val="00EA4CB2"/>
    <w:rsid w:val="00EB2020"/>
    <w:rsid w:val="00EB24B5"/>
    <w:rsid w:val="00EB402F"/>
    <w:rsid w:val="00EB5DFB"/>
    <w:rsid w:val="00EB7934"/>
    <w:rsid w:val="00EC5167"/>
    <w:rsid w:val="00ED59E2"/>
    <w:rsid w:val="00ED5B9F"/>
    <w:rsid w:val="00ED6FDB"/>
    <w:rsid w:val="00EE0F91"/>
    <w:rsid w:val="00EE73AD"/>
    <w:rsid w:val="00EF004D"/>
    <w:rsid w:val="00EF2F38"/>
    <w:rsid w:val="00F02487"/>
    <w:rsid w:val="00F06BCC"/>
    <w:rsid w:val="00F1056B"/>
    <w:rsid w:val="00F16FC6"/>
    <w:rsid w:val="00F240F3"/>
    <w:rsid w:val="00F2670B"/>
    <w:rsid w:val="00F330B7"/>
    <w:rsid w:val="00F352C4"/>
    <w:rsid w:val="00F35D23"/>
    <w:rsid w:val="00F3612D"/>
    <w:rsid w:val="00F362F0"/>
    <w:rsid w:val="00F418B7"/>
    <w:rsid w:val="00F4436F"/>
    <w:rsid w:val="00F57B3A"/>
    <w:rsid w:val="00F63630"/>
    <w:rsid w:val="00F70061"/>
    <w:rsid w:val="00F72EE0"/>
    <w:rsid w:val="00F73898"/>
    <w:rsid w:val="00F80AD8"/>
    <w:rsid w:val="00F80D2D"/>
    <w:rsid w:val="00F87A79"/>
    <w:rsid w:val="00F921D4"/>
    <w:rsid w:val="00F94017"/>
    <w:rsid w:val="00F95911"/>
    <w:rsid w:val="00FA7691"/>
    <w:rsid w:val="00FB05C0"/>
    <w:rsid w:val="00FB2407"/>
    <w:rsid w:val="00FC2357"/>
    <w:rsid w:val="00FC5FAC"/>
    <w:rsid w:val="00FD27D5"/>
    <w:rsid w:val="00FD40AB"/>
    <w:rsid w:val="00FD5FDC"/>
    <w:rsid w:val="00FD6F4C"/>
    <w:rsid w:val="00FE4787"/>
    <w:rsid w:val="00FE504A"/>
    <w:rsid w:val="00FF2C0E"/>
    <w:rsid w:val="00FF2C6E"/>
    <w:rsid w:val="00FF7D8C"/>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FE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32"/>
    <w:pPr>
      <w:spacing w:after="0" w:line="360" w:lineRule="auto"/>
      <w:jc w:val="both"/>
    </w:pPr>
    <w:rPr>
      <w:rFonts w:ascii="Arial" w:eastAsiaTheme="minorHAnsi" w:hAnsi="Arial"/>
      <w:color w:val="333333" w:themeColor="text1"/>
      <w:kern w:val="2"/>
      <w:szCs w:val="24"/>
      <w:lang w:eastAsia="en-US"/>
      <w14:ligatures w14:val="standardContextual"/>
    </w:rPr>
  </w:style>
  <w:style w:type="paragraph" w:styleId="Heading1">
    <w:name w:val="heading 1"/>
    <w:basedOn w:val="Normal"/>
    <w:next w:val="Normal"/>
    <w:link w:val="Heading1Char"/>
    <w:autoRedefine/>
    <w:uiPriority w:val="9"/>
    <w:qFormat/>
    <w:rsid w:val="002A3A32"/>
    <w:pPr>
      <w:keepNext/>
      <w:keepLines/>
      <w:outlineLvl w:val="0"/>
    </w:pPr>
    <w:rPr>
      <w:rFonts w:eastAsiaTheme="majorEastAsia" w:cstheme="majorBidi"/>
      <w:b/>
      <w:color w:val="auto"/>
      <w:kern w:val="0"/>
      <w:sz w:val="28"/>
      <w:szCs w:val="32"/>
      <w:lang w:eastAsia="zh-CN"/>
      <w14:ligatures w14:val="none"/>
    </w:rPr>
  </w:style>
  <w:style w:type="paragraph" w:styleId="Heading2">
    <w:name w:val="heading 2"/>
    <w:basedOn w:val="Normal"/>
    <w:next w:val="Normal"/>
    <w:link w:val="Heading2Char"/>
    <w:autoRedefine/>
    <w:uiPriority w:val="9"/>
    <w:unhideWhenUsed/>
    <w:qFormat/>
    <w:rsid w:val="00F63630"/>
    <w:pPr>
      <w:keepNext/>
      <w:keepLines/>
      <w:spacing w:before="40"/>
      <w:jc w:val="left"/>
      <w:outlineLvl w:val="1"/>
    </w:pPr>
    <w:rPr>
      <w:rFonts w:eastAsiaTheme="majorEastAsia" w:cstheme="majorBidi"/>
      <w:b/>
      <w:color w:val="auto"/>
      <w:kern w:val="0"/>
      <w:sz w:val="26"/>
      <w:szCs w:val="26"/>
      <w:lang w:eastAsia="zh-CN"/>
      <w14:ligatures w14:val="none"/>
    </w:rPr>
  </w:style>
  <w:style w:type="paragraph" w:styleId="Heading3">
    <w:name w:val="heading 3"/>
    <w:basedOn w:val="Normal"/>
    <w:next w:val="Normal"/>
    <w:link w:val="Heading3Char"/>
    <w:autoRedefine/>
    <w:uiPriority w:val="9"/>
    <w:unhideWhenUsed/>
    <w:qFormat/>
    <w:rsid w:val="00E042A5"/>
    <w:pPr>
      <w:keepNext/>
      <w:keepLines/>
      <w:jc w:val="left"/>
      <w:outlineLvl w:val="2"/>
    </w:pPr>
    <w:rPr>
      <w:rFonts w:eastAsiaTheme="majorEastAsia" w:cstheme="majorBidi"/>
      <w:b/>
      <w:color w:val="auto"/>
      <w:kern w:val="0"/>
      <w:lang w:eastAsia="zh-CN"/>
      <w14:ligatures w14:val="none"/>
    </w:rPr>
  </w:style>
  <w:style w:type="paragraph" w:styleId="Heading4">
    <w:name w:val="heading 4"/>
    <w:basedOn w:val="Normal"/>
    <w:next w:val="Normal"/>
    <w:link w:val="Heading4Char"/>
    <w:uiPriority w:val="9"/>
    <w:semiHidden/>
    <w:unhideWhenUsed/>
    <w:qFormat/>
    <w:rsid w:val="00DB239D"/>
    <w:pPr>
      <w:keepNext/>
      <w:keepLines/>
      <w:spacing w:before="80" w:after="40"/>
      <w:outlineLvl w:val="3"/>
    </w:pPr>
    <w:rPr>
      <w:rFonts w:asciiTheme="minorHAnsi" w:eastAsiaTheme="majorEastAsia" w:hAnsiTheme="minorHAnsi" w:cstheme="majorBidi"/>
      <w:i/>
      <w:iCs/>
      <w:color w:val="878772" w:themeColor="accent1" w:themeShade="BF"/>
    </w:rPr>
  </w:style>
  <w:style w:type="paragraph" w:styleId="Heading5">
    <w:name w:val="heading 5"/>
    <w:basedOn w:val="Normal"/>
    <w:next w:val="Normal"/>
    <w:link w:val="Heading5Char"/>
    <w:uiPriority w:val="9"/>
    <w:semiHidden/>
    <w:unhideWhenUsed/>
    <w:qFormat/>
    <w:rsid w:val="00DB239D"/>
    <w:pPr>
      <w:keepNext/>
      <w:keepLines/>
      <w:spacing w:before="80" w:after="40"/>
      <w:outlineLvl w:val="4"/>
    </w:pPr>
    <w:rPr>
      <w:rFonts w:asciiTheme="minorHAnsi" w:eastAsiaTheme="majorEastAsia" w:hAnsiTheme="minorHAnsi" w:cstheme="majorBidi"/>
      <w:color w:val="878772" w:themeColor="accent1" w:themeShade="BF"/>
    </w:rPr>
  </w:style>
  <w:style w:type="paragraph" w:styleId="Heading6">
    <w:name w:val="heading 6"/>
    <w:basedOn w:val="Normal"/>
    <w:next w:val="Normal"/>
    <w:link w:val="Heading6Char"/>
    <w:uiPriority w:val="9"/>
    <w:semiHidden/>
    <w:unhideWhenUsed/>
    <w:qFormat/>
    <w:rsid w:val="00DB239D"/>
    <w:pPr>
      <w:keepNext/>
      <w:keepLines/>
      <w:spacing w:before="40"/>
      <w:outlineLvl w:val="5"/>
    </w:pPr>
    <w:rPr>
      <w:rFonts w:asciiTheme="minorHAnsi" w:eastAsiaTheme="majorEastAsia" w:hAnsiTheme="minorHAnsi" w:cstheme="majorBidi"/>
      <w:i/>
      <w:iCs/>
      <w:color w:val="7A7A7A" w:themeColor="text1" w:themeTint="A6"/>
    </w:rPr>
  </w:style>
  <w:style w:type="paragraph" w:styleId="Heading7">
    <w:name w:val="heading 7"/>
    <w:basedOn w:val="Normal"/>
    <w:next w:val="Normal"/>
    <w:link w:val="Heading7Char"/>
    <w:uiPriority w:val="9"/>
    <w:semiHidden/>
    <w:unhideWhenUsed/>
    <w:qFormat/>
    <w:rsid w:val="00DB239D"/>
    <w:pPr>
      <w:keepNext/>
      <w:keepLines/>
      <w:spacing w:before="40"/>
      <w:outlineLvl w:val="6"/>
    </w:pPr>
    <w:rPr>
      <w:rFonts w:asciiTheme="minorHAnsi" w:eastAsiaTheme="majorEastAsia" w:hAnsiTheme="minorHAnsi" w:cstheme="majorBidi"/>
      <w:color w:val="7A7A7A" w:themeColor="text1" w:themeTint="A6"/>
    </w:rPr>
  </w:style>
  <w:style w:type="paragraph" w:styleId="Heading8">
    <w:name w:val="heading 8"/>
    <w:basedOn w:val="Normal"/>
    <w:next w:val="Normal"/>
    <w:link w:val="Heading8Char"/>
    <w:uiPriority w:val="9"/>
    <w:semiHidden/>
    <w:unhideWhenUsed/>
    <w:qFormat/>
    <w:rsid w:val="00DB239D"/>
    <w:pPr>
      <w:keepNext/>
      <w:keepLines/>
      <w:outlineLvl w:val="7"/>
    </w:pPr>
    <w:rPr>
      <w:rFonts w:asciiTheme="minorHAnsi" w:eastAsiaTheme="majorEastAsia" w:hAnsiTheme="minorHAnsi" w:cstheme="majorBidi"/>
      <w:i/>
      <w:iCs/>
      <w:color w:val="525252" w:themeColor="text1" w:themeTint="D8"/>
    </w:rPr>
  </w:style>
  <w:style w:type="paragraph" w:styleId="Heading9">
    <w:name w:val="heading 9"/>
    <w:basedOn w:val="Normal"/>
    <w:next w:val="Normal"/>
    <w:link w:val="Heading9Char"/>
    <w:uiPriority w:val="9"/>
    <w:semiHidden/>
    <w:unhideWhenUsed/>
    <w:qFormat/>
    <w:rsid w:val="00DB239D"/>
    <w:pPr>
      <w:keepNext/>
      <w:keepLines/>
      <w:outlineLvl w:val="8"/>
    </w:pPr>
    <w:rPr>
      <w:rFonts w:asciiTheme="minorHAnsi" w:eastAsiaTheme="majorEastAsia" w:hAnsiTheme="minorHAnsi" w:cstheme="majorBidi"/>
      <w:color w:val="52525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D1D"/>
    <w:pPr>
      <w:ind w:left="720"/>
      <w:contextualSpacing/>
    </w:pPr>
  </w:style>
  <w:style w:type="character" w:customStyle="1" w:styleId="Heading1Char">
    <w:name w:val="Heading 1 Char"/>
    <w:basedOn w:val="DefaultParagraphFont"/>
    <w:link w:val="Heading1"/>
    <w:uiPriority w:val="9"/>
    <w:rsid w:val="002A3A32"/>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F63630"/>
    <w:rPr>
      <w:rFonts w:ascii="Arial" w:eastAsiaTheme="majorEastAsia" w:hAnsi="Arial" w:cstheme="majorBidi"/>
      <w:b/>
      <w:sz w:val="26"/>
      <w:szCs w:val="26"/>
    </w:rPr>
  </w:style>
  <w:style w:type="paragraph" w:styleId="Title">
    <w:name w:val="Title"/>
    <w:basedOn w:val="Normal"/>
    <w:next w:val="Normal"/>
    <w:link w:val="TitleChar"/>
    <w:uiPriority w:val="10"/>
    <w:qFormat/>
    <w:rsid w:val="00233902"/>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33902"/>
    <w:rPr>
      <w:rFonts w:ascii="Arial" w:eastAsiaTheme="majorEastAsia" w:hAnsi="Arial" w:cstheme="majorBidi"/>
      <w:color w:val="333333" w:themeColor="text1"/>
      <w:spacing w:val="-10"/>
      <w:kern w:val="28"/>
      <w:sz w:val="56"/>
      <w:szCs w:val="56"/>
    </w:rPr>
  </w:style>
  <w:style w:type="paragraph" w:styleId="Subtitle">
    <w:name w:val="Subtitle"/>
    <w:basedOn w:val="Normal"/>
    <w:next w:val="Normal"/>
    <w:link w:val="SubtitleChar"/>
    <w:uiPriority w:val="11"/>
    <w:qFormat/>
    <w:rsid w:val="00233902"/>
    <w:pPr>
      <w:numPr>
        <w:ilvl w:val="1"/>
      </w:numPr>
    </w:pPr>
    <w:rPr>
      <w:rFonts w:asciiTheme="minorHAnsi" w:hAnsiTheme="minorHAnsi"/>
      <w:spacing w:val="15"/>
    </w:rPr>
  </w:style>
  <w:style w:type="character" w:customStyle="1" w:styleId="SubtitleChar">
    <w:name w:val="Subtitle Char"/>
    <w:basedOn w:val="DefaultParagraphFont"/>
    <w:link w:val="Subtitle"/>
    <w:uiPriority w:val="11"/>
    <w:rsid w:val="00233902"/>
    <w:rPr>
      <w:rFonts w:eastAsiaTheme="minorEastAsia"/>
      <w:color w:val="333333" w:themeColor="text1"/>
      <w:spacing w:val="15"/>
    </w:rPr>
  </w:style>
  <w:style w:type="paragraph" w:customStyle="1" w:styleId="Header2">
    <w:name w:val="Header 2"/>
    <w:basedOn w:val="Heading2"/>
    <w:link w:val="Header2Char"/>
    <w:autoRedefine/>
    <w:qFormat/>
    <w:rsid w:val="00572AD9"/>
    <w:pPr>
      <w:spacing w:before="0"/>
    </w:pPr>
    <w:rPr>
      <w:rFonts w:eastAsia="Arial"/>
      <w:szCs w:val="24"/>
    </w:rPr>
  </w:style>
  <w:style w:type="character" w:customStyle="1" w:styleId="Header2Char">
    <w:name w:val="Header 2 Char"/>
    <w:basedOn w:val="DefaultParagraphFont"/>
    <w:link w:val="Header2"/>
    <w:rsid w:val="00572AD9"/>
    <w:rPr>
      <w:rFonts w:ascii="Arial" w:eastAsia="Arial" w:hAnsi="Arial" w:cstheme="majorBidi"/>
      <w:b/>
      <w:sz w:val="26"/>
      <w:szCs w:val="24"/>
    </w:rPr>
  </w:style>
  <w:style w:type="character" w:customStyle="1" w:styleId="Heading3Char">
    <w:name w:val="Heading 3 Char"/>
    <w:basedOn w:val="DefaultParagraphFont"/>
    <w:link w:val="Heading3"/>
    <w:uiPriority w:val="9"/>
    <w:rsid w:val="00E042A5"/>
    <w:rPr>
      <w:rFonts w:ascii="Arial" w:eastAsiaTheme="majorEastAsia" w:hAnsi="Arial" w:cstheme="majorBidi"/>
      <w:b/>
      <w:szCs w:val="24"/>
    </w:rPr>
  </w:style>
  <w:style w:type="paragraph" w:styleId="NoSpacing">
    <w:name w:val="No Spacing"/>
    <w:autoRedefine/>
    <w:uiPriority w:val="1"/>
    <w:qFormat/>
    <w:rsid w:val="00642F65"/>
    <w:pPr>
      <w:spacing w:after="0" w:line="360" w:lineRule="auto"/>
      <w:jc w:val="both"/>
    </w:pPr>
    <w:rPr>
      <w:rFonts w:ascii="Times New Roman" w:eastAsiaTheme="minorHAnsi" w:hAnsi="Times New Roman"/>
      <w:color w:val="333333" w:themeColor="text1"/>
      <w:kern w:val="2"/>
      <w:sz w:val="24"/>
      <w:lang w:val="en-US" w:eastAsia="en-US"/>
      <w14:ligatures w14:val="standardContextual"/>
    </w:rPr>
  </w:style>
  <w:style w:type="character" w:customStyle="1" w:styleId="Heading4Char">
    <w:name w:val="Heading 4 Char"/>
    <w:basedOn w:val="DefaultParagraphFont"/>
    <w:link w:val="Heading4"/>
    <w:uiPriority w:val="9"/>
    <w:semiHidden/>
    <w:rsid w:val="00DB239D"/>
    <w:rPr>
      <w:rFonts w:eastAsiaTheme="majorEastAsia" w:cstheme="majorBidi"/>
      <w:i/>
      <w:iCs/>
      <w:color w:val="878772"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DB239D"/>
    <w:rPr>
      <w:rFonts w:eastAsiaTheme="majorEastAsia" w:cstheme="majorBidi"/>
      <w:color w:val="878772"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sid w:val="00DB239D"/>
    <w:rPr>
      <w:rFonts w:eastAsiaTheme="majorEastAsia" w:cstheme="majorBidi"/>
      <w:i/>
      <w:iCs/>
      <w:color w:val="7A7A7A"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DB239D"/>
    <w:rPr>
      <w:rFonts w:eastAsiaTheme="majorEastAsia" w:cstheme="majorBidi"/>
      <w:color w:val="7A7A7A"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DB239D"/>
    <w:rPr>
      <w:rFonts w:eastAsiaTheme="majorEastAsia" w:cstheme="majorBidi"/>
      <w:i/>
      <w:iCs/>
      <w:color w:val="525252"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DB239D"/>
    <w:rPr>
      <w:rFonts w:eastAsiaTheme="majorEastAsia" w:cstheme="majorBidi"/>
      <w:color w:val="525252" w:themeColor="text1" w:themeTint="D8"/>
      <w:kern w:val="2"/>
      <w:sz w:val="24"/>
      <w:szCs w:val="24"/>
      <w:lang w:eastAsia="en-US"/>
      <w14:ligatures w14:val="standardContextual"/>
    </w:rPr>
  </w:style>
  <w:style w:type="paragraph" w:styleId="Quote">
    <w:name w:val="Quote"/>
    <w:basedOn w:val="Normal"/>
    <w:next w:val="Normal"/>
    <w:link w:val="QuoteChar"/>
    <w:uiPriority w:val="29"/>
    <w:qFormat/>
    <w:rsid w:val="00DB239D"/>
    <w:pPr>
      <w:spacing w:before="160" w:after="160"/>
      <w:jc w:val="center"/>
    </w:pPr>
    <w:rPr>
      <w:i/>
      <w:iCs/>
      <w:color w:val="666666" w:themeColor="text1" w:themeTint="BF"/>
    </w:rPr>
  </w:style>
  <w:style w:type="character" w:customStyle="1" w:styleId="QuoteChar">
    <w:name w:val="Quote Char"/>
    <w:basedOn w:val="DefaultParagraphFont"/>
    <w:link w:val="Quote"/>
    <w:uiPriority w:val="29"/>
    <w:rsid w:val="00DB239D"/>
    <w:rPr>
      <w:rFonts w:ascii="Times New Roman" w:eastAsiaTheme="minorHAnsi" w:hAnsi="Times New Roman"/>
      <w:i/>
      <w:iCs/>
      <w:color w:val="666666" w:themeColor="text1" w:themeTint="BF"/>
      <w:kern w:val="2"/>
      <w:sz w:val="24"/>
      <w:szCs w:val="24"/>
      <w:lang w:eastAsia="en-US"/>
      <w14:ligatures w14:val="standardContextual"/>
    </w:rPr>
  </w:style>
  <w:style w:type="character" w:styleId="IntenseEmphasis">
    <w:name w:val="Intense Emphasis"/>
    <w:basedOn w:val="DefaultParagraphFont"/>
    <w:uiPriority w:val="21"/>
    <w:qFormat/>
    <w:rsid w:val="00DB239D"/>
    <w:rPr>
      <w:i/>
      <w:iCs/>
      <w:color w:val="878772" w:themeColor="accent1" w:themeShade="BF"/>
    </w:rPr>
  </w:style>
  <w:style w:type="paragraph" w:styleId="IntenseQuote">
    <w:name w:val="Intense Quote"/>
    <w:basedOn w:val="Normal"/>
    <w:next w:val="Normal"/>
    <w:link w:val="IntenseQuoteChar"/>
    <w:uiPriority w:val="30"/>
    <w:qFormat/>
    <w:rsid w:val="00DB239D"/>
    <w:pPr>
      <w:pBdr>
        <w:top w:val="single" w:sz="4" w:space="10" w:color="878772" w:themeColor="accent1" w:themeShade="BF"/>
        <w:bottom w:val="single" w:sz="4" w:space="10" w:color="878772" w:themeColor="accent1" w:themeShade="BF"/>
      </w:pBdr>
      <w:spacing w:before="360" w:after="360"/>
      <w:ind w:left="864" w:right="864"/>
      <w:jc w:val="center"/>
    </w:pPr>
    <w:rPr>
      <w:i/>
      <w:iCs/>
      <w:color w:val="878772" w:themeColor="accent1" w:themeShade="BF"/>
    </w:rPr>
  </w:style>
  <w:style w:type="character" w:customStyle="1" w:styleId="IntenseQuoteChar">
    <w:name w:val="Intense Quote Char"/>
    <w:basedOn w:val="DefaultParagraphFont"/>
    <w:link w:val="IntenseQuote"/>
    <w:uiPriority w:val="30"/>
    <w:rsid w:val="00DB239D"/>
    <w:rPr>
      <w:rFonts w:ascii="Times New Roman" w:eastAsiaTheme="minorHAnsi" w:hAnsi="Times New Roman"/>
      <w:i/>
      <w:iCs/>
      <w:color w:val="878772"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DB239D"/>
    <w:rPr>
      <w:b/>
      <w:bCs/>
      <w:smallCaps/>
      <w:color w:val="878772" w:themeColor="accent1" w:themeShade="BF"/>
      <w:spacing w:val="5"/>
    </w:rPr>
  </w:style>
  <w:style w:type="paragraph" w:styleId="Caption">
    <w:name w:val="caption"/>
    <w:basedOn w:val="Normal"/>
    <w:next w:val="Normal"/>
    <w:uiPriority w:val="35"/>
    <w:unhideWhenUsed/>
    <w:qFormat/>
    <w:rsid w:val="006278F0"/>
    <w:pPr>
      <w:spacing w:after="200" w:line="240" w:lineRule="auto"/>
    </w:pPr>
    <w:rPr>
      <w:i/>
      <w:iCs/>
      <w:color w:val="0060FF" w:themeColor="text2"/>
      <w:sz w:val="18"/>
      <w:szCs w:val="18"/>
    </w:rPr>
  </w:style>
  <w:style w:type="paragraph" w:customStyle="1" w:styleId="TableParagraph">
    <w:name w:val="Table Paragraph"/>
    <w:basedOn w:val="Normal"/>
    <w:uiPriority w:val="1"/>
    <w:qFormat/>
    <w:rsid w:val="006A0391"/>
    <w:pPr>
      <w:widowControl w:val="0"/>
      <w:autoSpaceDE w:val="0"/>
      <w:autoSpaceDN w:val="0"/>
      <w:spacing w:line="240" w:lineRule="auto"/>
      <w:ind w:left="110"/>
      <w:jc w:val="left"/>
    </w:pPr>
    <w:rPr>
      <w:rFonts w:eastAsia="Arial" w:cs="Arial"/>
      <w:color w:val="auto"/>
      <w:kern w:val="0"/>
      <w:szCs w:val="22"/>
      <w:lang w:val="en-US"/>
      <w14:ligatures w14:val="none"/>
    </w:rPr>
  </w:style>
  <w:style w:type="paragraph" w:styleId="Header">
    <w:name w:val="header"/>
    <w:basedOn w:val="Normal"/>
    <w:link w:val="HeaderChar"/>
    <w:uiPriority w:val="99"/>
    <w:unhideWhenUsed/>
    <w:rsid w:val="00AF15DF"/>
    <w:pPr>
      <w:tabs>
        <w:tab w:val="center" w:pos="4513"/>
        <w:tab w:val="right" w:pos="9026"/>
      </w:tabs>
      <w:spacing w:line="240" w:lineRule="auto"/>
    </w:pPr>
  </w:style>
  <w:style w:type="character" w:customStyle="1" w:styleId="HeaderChar">
    <w:name w:val="Header Char"/>
    <w:basedOn w:val="DefaultParagraphFont"/>
    <w:link w:val="Header"/>
    <w:uiPriority w:val="99"/>
    <w:rsid w:val="00AF15DF"/>
    <w:rPr>
      <w:rFonts w:ascii="Arial" w:eastAsiaTheme="minorHAnsi" w:hAnsi="Arial"/>
      <w:color w:val="333333" w:themeColor="text1"/>
      <w:kern w:val="2"/>
      <w:szCs w:val="24"/>
      <w:lang w:eastAsia="en-US"/>
      <w14:ligatures w14:val="standardContextual"/>
    </w:rPr>
  </w:style>
  <w:style w:type="paragraph" w:styleId="Footer">
    <w:name w:val="footer"/>
    <w:basedOn w:val="Normal"/>
    <w:link w:val="FooterChar"/>
    <w:uiPriority w:val="99"/>
    <w:unhideWhenUsed/>
    <w:rsid w:val="00AF15DF"/>
    <w:pPr>
      <w:tabs>
        <w:tab w:val="center" w:pos="4513"/>
        <w:tab w:val="right" w:pos="9026"/>
      </w:tabs>
      <w:spacing w:line="240" w:lineRule="auto"/>
    </w:pPr>
  </w:style>
  <w:style w:type="character" w:customStyle="1" w:styleId="FooterChar">
    <w:name w:val="Footer Char"/>
    <w:basedOn w:val="DefaultParagraphFont"/>
    <w:link w:val="Footer"/>
    <w:uiPriority w:val="99"/>
    <w:rsid w:val="00AF15DF"/>
    <w:rPr>
      <w:rFonts w:ascii="Arial" w:eastAsiaTheme="minorHAnsi" w:hAnsi="Arial"/>
      <w:color w:val="333333" w:themeColor="text1"/>
      <w:kern w:val="2"/>
      <w:szCs w:val="24"/>
      <w:lang w:eastAsia="en-US"/>
      <w14:ligatures w14:val="standardContextual"/>
    </w:rPr>
  </w:style>
  <w:style w:type="paragraph" w:styleId="TOCHeading">
    <w:name w:val="TOC Heading"/>
    <w:basedOn w:val="Heading1"/>
    <w:next w:val="Normal"/>
    <w:uiPriority w:val="39"/>
    <w:unhideWhenUsed/>
    <w:qFormat/>
    <w:rsid w:val="00AF15DF"/>
    <w:pPr>
      <w:spacing w:before="240" w:line="259" w:lineRule="auto"/>
      <w:jc w:val="left"/>
      <w:outlineLvl w:val="9"/>
    </w:pPr>
    <w:rPr>
      <w:rFonts w:asciiTheme="majorHAnsi" w:hAnsiTheme="majorHAnsi"/>
      <w:b w:val="0"/>
      <w:color w:val="878772" w:themeColor="accent1" w:themeShade="BF"/>
      <w:sz w:val="32"/>
      <w:lang w:val="en-US" w:eastAsia="en-US"/>
    </w:rPr>
  </w:style>
  <w:style w:type="paragraph" w:styleId="TOC1">
    <w:name w:val="toc 1"/>
    <w:basedOn w:val="Normal"/>
    <w:next w:val="Normal"/>
    <w:autoRedefine/>
    <w:uiPriority w:val="39"/>
    <w:unhideWhenUsed/>
    <w:rsid w:val="00AF15DF"/>
    <w:pPr>
      <w:spacing w:after="100"/>
    </w:pPr>
  </w:style>
  <w:style w:type="paragraph" w:styleId="TOC2">
    <w:name w:val="toc 2"/>
    <w:basedOn w:val="Normal"/>
    <w:next w:val="Normal"/>
    <w:autoRedefine/>
    <w:uiPriority w:val="39"/>
    <w:unhideWhenUsed/>
    <w:rsid w:val="00AF15DF"/>
    <w:pPr>
      <w:spacing w:after="100"/>
      <w:ind w:left="220"/>
    </w:pPr>
  </w:style>
  <w:style w:type="paragraph" w:styleId="TOC3">
    <w:name w:val="toc 3"/>
    <w:basedOn w:val="Normal"/>
    <w:next w:val="Normal"/>
    <w:autoRedefine/>
    <w:uiPriority w:val="39"/>
    <w:unhideWhenUsed/>
    <w:rsid w:val="00AF15DF"/>
    <w:pPr>
      <w:spacing w:after="100"/>
      <w:ind w:left="440"/>
    </w:pPr>
  </w:style>
  <w:style w:type="character" w:styleId="Hyperlink">
    <w:name w:val="Hyperlink"/>
    <w:basedOn w:val="DefaultParagraphFont"/>
    <w:uiPriority w:val="99"/>
    <w:unhideWhenUsed/>
    <w:rsid w:val="00AF15DF"/>
    <w:rPr>
      <w:color w:val="0060FF" w:themeColor="hyperlink"/>
      <w:u w:val="single"/>
    </w:rPr>
  </w:style>
  <w:style w:type="paragraph" w:styleId="TableofFigures">
    <w:name w:val="table of figures"/>
    <w:basedOn w:val="Normal"/>
    <w:next w:val="Normal"/>
    <w:uiPriority w:val="99"/>
    <w:unhideWhenUsed/>
    <w:rsid w:val="00AF15DF"/>
  </w:style>
  <w:style w:type="paragraph" w:styleId="NormalWeb">
    <w:name w:val="Normal (Web)"/>
    <w:basedOn w:val="Normal"/>
    <w:uiPriority w:val="99"/>
    <w:unhideWhenUsed/>
    <w:rsid w:val="00CB53E4"/>
    <w:pPr>
      <w:spacing w:before="100" w:beforeAutospacing="1" w:after="100" w:afterAutospacing="1" w:line="240" w:lineRule="auto"/>
      <w:jc w:val="left"/>
    </w:pPr>
    <w:rPr>
      <w:rFonts w:ascii="Times New Roman" w:eastAsia="Times New Roman" w:hAnsi="Times New Roman" w:cs="Times New Roman"/>
      <w:color w:val="auto"/>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Kantar colour theme">
      <a:dk1>
        <a:srgbClr val="333333"/>
      </a:dk1>
      <a:lt1>
        <a:srgbClr val="FFFFFF"/>
      </a:lt1>
      <a:dk2>
        <a:srgbClr val="0060FF"/>
      </a:dk2>
      <a:lt2>
        <a:srgbClr val="802AB7"/>
      </a:lt2>
      <a:accent1>
        <a:srgbClr val="AEAE9F"/>
      </a:accent1>
      <a:accent2>
        <a:srgbClr val="00E5BA"/>
      </a:accent2>
      <a:accent3>
        <a:srgbClr val="00B600"/>
      </a:accent3>
      <a:accent4>
        <a:srgbClr val="FEDB00"/>
      </a:accent4>
      <a:accent5>
        <a:srgbClr val="FF5000"/>
      </a:accent5>
      <a:accent6>
        <a:srgbClr val="FA0028"/>
      </a:accent6>
      <a:hlink>
        <a:srgbClr val="0060FF"/>
      </a:hlink>
      <a:folHlink>
        <a:srgbClr val="802AB7"/>
      </a:folHlink>
    </a:clrScheme>
    <a:fontScheme name="TNS Master Fonts">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88127-9AB0-41DA-8399-C51AD2CCF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2024-10-19T17:42:00Z</dcterms:created>
  <dcterms:modified xsi:type="dcterms:W3CDTF">2024-10-19T17:42:00Z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ActionId">
    <vt:lpwstr>e7e6087d-0dce-479f-bcae-728024da6af7</vt:lpwstr>
  </property>
  <property fmtid="{D5CDD505-2E9C-101B-9397-08002B2CF9AE}" pid="3" name="MSIP_Label_3741da7a-79c1-417c-b408-16c0bfe99fca_ContentBits">
    <vt:lpwstr>0</vt:lpwstr>
  </property>
  <property fmtid="{D5CDD505-2E9C-101B-9397-08002B2CF9AE}" pid="4" name="MSIP_Label_3741da7a-79c1-417c-b408-16c0bfe99fca_Enabled">
    <vt:lpwstr>true</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etDate">
    <vt:lpwstr>2024-10-13T07:19:11Z</vt:lpwstr>
  </property>
  <property fmtid="{D5CDD505-2E9C-101B-9397-08002B2CF9AE}" pid="8" name="MSIP_Label_3741da7a-79c1-417c-b408-16c0bfe99fca_SiteId">
    <vt:lpwstr>1e355c04-e0a4-42ed-8e2d-7351591f0ef1</vt:lpwstr>
  </property>
</Properties>
</file>