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8410755"/>
        <w:docPartObj>
          <w:docPartGallery w:val="Cover Pages"/>
          <w:docPartUnique/>
        </w:docPartObj>
      </w:sdtPr>
      <w:sdtEndPr>
        <w:rPr>
          <w:rFonts w:ascii="Arial" w:hAnsi="Arial" w:cs="Arial"/>
          <w:sz w:val="22"/>
          <w:szCs w:val="22"/>
        </w:rPr>
      </w:sdtEndPr>
      <w:sdtContent>
        <w:p w14:paraId="6C44C9F6" w14:textId="64723F5F" w:rsidR="00017363" w:rsidRDefault="00017363">
          <w:r>
            <w:rPr>
              <w:noProof/>
            </w:rPr>
            <mc:AlternateContent>
              <mc:Choice Requires="wps">
                <w:drawing>
                  <wp:anchor distT="0" distB="0" distL="114300" distR="114300" simplePos="0" relativeHeight="251659264" behindDoc="1" locked="0" layoutInCell="1" allowOverlap="0" wp14:anchorId="2604D4DC" wp14:editId="2266C461">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17363" w14:paraId="51AD0C16" w14:textId="77777777">
                                  <w:trPr>
                                    <w:trHeight w:hRule="exact" w:val="9360"/>
                                  </w:trPr>
                                  <w:tc>
                                    <w:tcPr>
                                      <w:tcW w:w="5000" w:type="pct"/>
                                    </w:tcPr>
                                    <w:p w14:paraId="02E977FE" w14:textId="77777777" w:rsidR="00017363" w:rsidRDefault="00017363">
                                      <w:r>
                                        <w:rPr>
                                          <w:noProof/>
                                        </w:rPr>
                                        <w:drawing>
                                          <wp:inline distT="0" distB="0" distL="0" distR="0" wp14:anchorId="5284AC5A" wp14:editId="46D4C98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17363" w14:paraId="5C5671E3" w14:textId="77777777">
                                  <w:trPr>
                                    <w:trHeight w:hRule="exact" w:val="4320"/>
                                  </w:trPr>
                                  <w:tc>
                                    <w:tcPr>
                                      <w:tcW w:w="5000" w:type="pct"/>
                                      <w:shd w:val="clear" w:color="auto" w:fill="156082" w:themeFill="accent1"/>
                                      <w:vAlign w:val="center"/>
                                    </w:tcPr>
                                    <w:p w14:paraId="76B58667" w14:textId="636AC69D" w:rsidR="00017363" w:rsidRPr="00017363" w:rsidRDefault="00000000" w:rsidP="00C425B4">
                                      <w:pPr>
                                        <w:pStyle w:val="NoSpacing"/>
                                        <w:spacing w:before="200" w:line="216" w:lineRule="auto"/>
                                        <w:ind w:left="720" w:right="720"/>
                                        <w:rPr>
                                          <w:rFonts w:asciiTheme="majorHAnsi" w:hAnsiTheme="majorHAnsi"/>
                                          <w:color w:val="FFFFFF" w:themeColor="background1"/>
                                          <w:sz w:val="36"/>
                                          <w:szCs w:val="36"/>
                                        </w:rPr>
                                      </w:pPr>
                                      <w:sdt>
                                        <w:sdtPr>
                                          <w:rPr>
                                            <w:rFonts w:asciiTheme="majorHAnsi" w:hAnsiTheme="majorHAnsi"/>
                                            <w:color w:val="FFFFFF" w:themeColor="background1"/>
                                            <w:sz w:val="32"/>
                                            <w:szCs w:val="3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75525D">
                                            <w:rPr>
                                              <w:rFonts w:asciiTheme="majorHAnsi" w:hAnsiTheme="majorHAnsi"/>
                                              <w:color w:val="FFFFFF" w:themeColor="background1"/>
                                              <w:sz w:val="32"/>
                                              <w:szCs w:val="32"/>
                                            </w:rPr>
                                            <w:t>MODUL CODE- LCHS 4003                                                                   ASSIGNMENT TITLE- CASE STUDY: MRS. MANN</w:t>
                                          </w:r>
                                        </w:sdtContent>
                                      </w:sdt>
                                    </w:p>
                                    <w:p w14:paraId="2CF2092B" w14:textId="4A35453E" w:rsidR="00017363" w:rsidRDefault="00EC4901" w:rsidP="00C425B4">
                                      <w:pPr>
                                        <w:pStyle w:val="NoSpacing"/>
                                        <w:spacing w:before="240"/>
                                        <w:ind w:left="720" w:right="720"/>
                                        <w:rPr>
                                          <w:color w:val="FFFFFF" w:themeColor="background1"/>
                                          <w:sz w:val="32"/>
                                          <w:szCs w:val="32"/>
                                        </w:rPr>
                                      </w:pPr>
                                      <w:r>
                                        <w:rPr>
                                          <w:color w:val="FFFFFF" w:themeColor="background1"/>
                                          <w:sz w:val="32"/>
                                          <w:szCs w:val="32"/>
                                        </w:rPr>
                                        <w:t>LECTURER`</w:t>
                                      </w:r>
                                      <w:r w:rsidR="007C4BA4">
                                        <w:rPr>
                                          <w:color w:val="FFFFFF" w:themeColor="background1"/>
                                          <w:sz w:val="32"/>
                                          <w:szCs w:val="32"/>
                                        </w:rPr>
                                        <w:t>S NAME</w:t>
                                      </w:r>
                                      <w:r>
                                        <w:rPr>
                                          <w:color w:val="FFFFFF" w:themeColor="background1"/>
                                          <w:sz w:val="32"/>
                                          <w:szCs w:val="32"/>
                                        </w:rPr>
                                        <w:t>- AZIDA ZAINOL</w:t>
                                      </w:r>
                                    </w:p>
                                  </w:tc>
                                </w:tr>
                                <w:tr w:rsidR="00017363" w14:paraId="752F14F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17363" w14:paraId="208B5A5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B5C054D" w14:textId="66E8D070" w:rsidR="00017363" w:rsidRDefault="00017363" w:rsidP="007C4BA4">
                                                <w:pPr>
                                                  <w:pStyle w:val="NoSpacing"/>
                                                  <w:ind w:left="144" w:right="144"/>
                                                  <w:rPr>
                                                    <w:color w:val="FFFFFF" w:themeColor="background1"/>
                                                  </w:rPr>
                                                </w:pPr>
                                                <w:r>
                                                  <w:rPr>
                                                    <w:color w:val="FFFFFF" w:themeColor="background1"/>
                                                  </w:rPr>
                                                  <w:t>Tahmina Sultana (2431922)</w:t>
                                                </w:r>
                                              </w:p>
                                            </w:tc>
                                          </w:sdtContent>
                                        </w:sdt>
                                        <w:tc>
                                          <w:tcPr>
                                            <w:tcW w:w="3591" w:type="dxa"/>
                                            <w:vAlign w:val="center"/>
                                          </w:tcPr>
                                          <w:p w14:paraId="14445422" w14:textId="7DCB34C6" w:rsidR="00017363" w:rsidRDefault="00640962">
                                            <w:pPr>
                                              <w:pStyle w:val="NoSpacing"/>
                                              <w:ind w:left="144" w:right="144"/>
                                              <w:jc w:val="center"/>
                                              <w:rPr>
                                                <w:color w:val="FFFFFF" w:themeColor="background1"/>
                                              </w:rPr>
                                            </w:pPr>
                                            <w:r>
                                              <w:rPr>
                                                <w:color w:val="FFFFFF" w:themeColor="background1"/>
                                              </w:rPr>
                                              <w:t xml:space="preserve">DATE: </w:t>
                                            </w:r>
                                            <w:r w:rsidR="007C4BA4">
                                              <w:rPr>
                                                <w:color w:val="FFFFFF" w:themeColor="background1"/>
                                              </w:rPr>
                                              <w:t>5</w:t>
                                            </w:r>
                                            <w:r w:rsidR="007C4BA4" w:rsidRPr="007C4BA4">
                                              <w:rPr>
                                                <w:color w:val="FFFFFF" w:themeColor="background1"/>
                                                <w:vertAlign w:val="superscript"/>
                                              </w:rPr>
                                              <w:t>TH</w:t>
                                            </w:r>
                                            <w:r w:rsidR="007C4BA4">
                                              <w:rPr>
                                                <w:color w:val="FFFFFF" w:themeColor="background1"/>
                                              </w:rPr>
                                              <w:t xml:space="preserve"> NOVEMBER  2025</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C5C6B41" w14:textId="3248EC03" w:rsidR="00017363" w:rsidRDefault="00EC4901">
                                                <w:pPr>
                                                  <w:pStyle w:val="NoSpacing"/>
                                                  <w:ind w:left="144" w:right="720"/>
                                                  <w:jc w:val="right"/>
                                                  <w:rPr>
                                                    <w:color w:val="FFFFFF" w:themeColor="background1"/>
                                                  </w:rPr>
                                                </w:pPr>
                                                <w:r>
                                                  <w:rPr>
                                                    <w:color w:val="FFFFFF" w:themeColor="background1"/>
                                                  </w:rPr>
                                                  <w:t xml:space="preserve">COURSE TITLE: INTRODUCTION TO HEALTH AND </w:t>
                                                </w:r>
                                                <w:r w:rsidR="00A872DD">
                                                  <w:rPr>
                                                    <w:color w:val="FFFFFF" w:themeColor="background1"/>
                                                  </w:rPr>
                                                  <w:t>SOCIAL CARE</w:t>
                                                </w:r>
                                              </w:p>
                                            </w:tc>
                                          </w:sdtContent>
                                        </w:sdt>
                                      </w:tr>
                                    </w:tbl>
                                    <w:p w14:paraId="1D162250" w14:textId="77777777" w:rsidR="00017363" w:rsidRDefault="00017363"/>
                                  </w:tc>
                                </w:tr>
                              </w:tbl>
                              <w:p w14:paraId="2A43AFD4" w14:textId="77777777" w:rsidR="00017363" w:rsidRDefault="0001736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604D4DC"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17363" w14:paraId="51AD0C16" w14:textId="77777777">
                            <w:trPr>
                              <w:trHeight w:hRule="exact" w:val="9360"/>
                            </w:trPr>
                            <w:tc>
                              <w:tcPr>
                                <w:tcW w:w="5000" w:type="pct"/>
                              </w:tcPr>
                              <w:p w14:paraId="02E977FE" w14:textId="77777777" w:rsidR="00017363" w:rsidRDefault="00017363">
                                <w:r>
                                  <w:rPr>
                                    <w:noProof/>
                                  </w:rPr>
                                  <w:drawing>
                                    <wp:inline distT="0" distB="0" distL="0" distR="0" wp14:anchorId="5284AC5A" wp14:editId="46D4C98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17363" w14:paraId="5C5671E3" w14:textId="77777777">
                            <w:trPr>
                              <w:trHeight w:hRule="exact" w:val="4320"/>
                            </w:trPr>
                            <w:tc>
                              <w:tcPr>
                                <w:tcW w:w="5000" w:type="pct"/>
                                <w:shd w:val="clear" w:color="auto" w:fill="156082" w:themeFill="accent1"/>
                                <w:vAlign w:val="center"/>
                              </w:tcPr>
                              <w:p w14:paraId="76B58667" w14:textId="636AC69D" w:rsidR="00017363" w:rsidRPr="00017363" w:rsidRDefault="00000000" w:rsidP="00C425B4">
                                <w:pPr>
                                  <w:pStyle w:val="NoSpacing"/>
                                  <w:spacing w:before="200" w:line="216" w:lineRule="auto"/>
                                  <w:ind w:left="720" w:right="720"/>
                                  <w:rPr>
                                    <w:rFonts w:asciiTheme="majorHAnsi" w:hAnsiTheme="majorHAnsi"/>
                                    <w:color w:val="FFFFFF" w:themeColor="background1"/>
                                    <w:sz w:val="36"/>
                                    <w:szCs w:val="36"/>
                                  </w:rPr>
                                </w:pPr>
                                <w:sdt>
                                  <w:sdtPr>
                                    <w:rPr>
                                      <w:rFonts w:asciiTheme="majorHAnsi" w:hAnsiTheme="majorHAnsi"/>
                                      <w:color w:val="FFFFFF" w:themeColor="background1"/>
                                      <w:sz w:val="32"/>
                                      <w:szCs w:val="3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75525D">
                                      <w:rPr>
                                        <w:rFonts w:asciiTheme="majorHAnsi" w:hAnsiTheme="majorHAnsi"/>
                                        <w:color w:val="FFFFFF" w:themeColor="background1"/>
                                        <w:sz w:val="32"/>
                                        <w:szCs w:val="32"/>
                                      </w:rPr>
                                      <w:t>MODUL CODE- LCHS 4003                                                                   ASSIGNMENT TITLE- CASE STUDY: MRS. MANN</w:t>
                                    </w:r>
                                  </w:sdtContent>
                                </w:sdt>
                              </w:p>
                              <w:p w14:paraId="2CF2092B" w14:textId="4A35453E" w:rsidR="00017363" w:rsidRDefault="00EC4901" w:rsidP="00C425B4">
                                <w:pPr>
                                  <w:pStyle w:val="NoSpacing"/>
                                  <w:spacing w:before="240"/>
                                  <w:ind w:left="720" w:right="720"/>
                                  <w:rPr>
                                    <w:color w:val="FFFFFF" w:themeColor="background1"/>
                                    <w:sz w:val="32"/>
                                    <w:szCs w:val="32"/>
                                  </w:rPr>
                                </w:pPr>
                                <w:r>
                                  <w:rPr>
                                    <w:color w:val="FFFFFF" w:themeColor="background1"/>
                                    <w:sz w:val="32"/>
                                    <w:szCs w:val="32"/>
                                  </w:rPr>
                                  <w:t>LECTURER`</w:t>
                                </w:r>
                                <w:r w:rsidR="007C4BA4">
                                  <w:rPr>
                                    <w:color w:val="FFFFFF" w:themeColor="background1"/>
                                    <w:sz w:val="32"/>
                                    <w:szCs w:val="32"/>
                                  </w:rPr>
                                  <w:t>S NAME</w:t>
                                </w:r>
                                <w:r>
                                  <w:rPr>
                                    <w:color w:val="FFFFFF" w:themeColor="background1"/>
                                    <w:sz w:val="32"/>
                                    <w:szCs w:val="32"/>
                                  </w:rPr>
                                  <w:t>- AZIDA ZAINOL</w:t>
                                </w:r>
                              </w:p>
                            </w:tc>
                          </w:tr>
                          <w:tr w:rsidR="00017363" w14:paraId="752F14F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17363" w14:paraId="208B5A5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B5C054D" w14:textId="66E8D070" w:rsidR="00017363" w:rsidRDefault="00017363" w:rsidP="007C4BA4">
                                          <w:pPr>
                                            <w:pStyle w:val="NoSpacing"/>
                                            <w:ind w:left="144" w:right="144"/>
                                            <w:rPr>
                                              <w:color w:val="FFFFFF" w:themeColor="background1"/>
                                            </w:rPr>
                                          </w:pPr>
                                          <w:r>
                                            <w:rPr>
                                              <w:color w:val="FFFFFF" w:themeColor="background1"/>
                                            </w:rPr>
                                            <w:t>Tahmina Sultana (2431922)</w:t>
                                          </w:r>
                                        </w:p>
                                      </w:tc>
                                    </w:sdtContent>
                                  </w:sdt>
                                  <w:tc>
                                    <w:tcPr>
                                      <w:tcW w:w="3591" w:type="dxa"/>
                                      <w:vAlign w:val="center"/>
                                    </w:tcPr>
                                    <w:p w14:paraId="14445422" w14:textId="7DCB34C6" w:rsidR="00017363" w:rsidRDefault="00640962">
                                      <w:pPr>
                                        <w:pStyle w:val="NoSpacing"/>
                                        <w:ind w:left="144" w:right="144"/>
                                        <w:jc w:val="center"/>
                                        <w:rPr>
                                          <w:color w:val="FFFFFF" w:themeColor="background1"/>
                                        </w:rPr>
                                      </w:pPr>
                                      <w:r>
                                        <w:rPr>
                                          <w:color w:val="FFFFFF" w:themeColor="background1"/>
                                        </w:rPr>
                                        <w:t xml:space="preserve">DATE: </w:t>
                                      </w:r>
                                      <w:r w:rsidR="007C4BA4">
                                        <w:rPr>
                                          <w:color w:val="FFFFFF" w:themeColor="background1"/>
                                        </w:rPr>
                                        <w:t>5</w:t>
                                      </w:r>
                                      <w:r w:rsidR="007C4BA4" w:rsidRPr="007C4BA4">
                                        <w:rPr>
                                          <w:color w:val="FFFFFF" w:themeColor="background1"/>
                                          <w:vertAlign w:val="superscript"/>
                                        </w:rPr>
                                        <w:t>TH</w:t>
                                      </w:r>
                                      <w:r w:rsidR="007C4BA4">
                                        <w:rPr>
                                          <w:color w:val="FFFFFF" w:themeColor="background1"/>
                                        </w:rPr>
                                        <w:t xml:space="preserve"> NOVEMBER  2025</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C5C6B41" w14:textId="3248EC03" w:rsidR="00017363" w:rsidRDefault="00EC4901">
                                          <w:pPr>
                                            <w:pStyle w:val="NoSpacing"/>
                                            <w:ind w:left="144" w:right="720"/>
                                            <w:jc w:val="right"/>
                                            <w:rPr>
                                              <w:color w:val="FFFFFF" w:themeColor="background1"/>
                                            </w:rPr>
                                          </w:pPr>
                                          <w:r>
                                            <w:rPr>
                                              <w:color w:val="FFFFFF" w:themeColor="background1"/>
                                            </w:rPr>
                                            <w:t xml:space="preserve">COURSE TITLE: INTRODUCTION TO HEALTH AND </w:t>
                                          </w:r>
                                          <w:r w:rsidR="00A872DD">
                                            <w:rPr>
                                              <w:color w:val="FFFFFF" w:themeColor="background1"/>
                                            </w:rPr>
                                            <w:t>SOCIAL CARE</w:t>
                                          </w:r>
                                        </w:p>
                                      </w:tc>
                                    </w:sdtContent>
                                  </w:sdt>
                                </w:tr>
                              </w:tbl>
                              <w:p w14:paraId="1D162250" w14:textId="77777777" w:rsidR="00017363" w:rsidRDefault="00017363"/>
                            </w:tc>
                          </w:tr>
                        </w:tbl>
                        <w:p w14:paraId="2A43AFD4" w14:textId="77777777" w:rsidR="00017363" w:rsidRDefault="00017363"/>
                      </w:txbxContent>
                    </v:textbox>
                    <w10:wrap anchorx="page" anchory="page"/>
                  </v:shape>
                </w:pict>
              </mc:Fallback>
            </mc:AlternateContent>
          </w:r>
        </w:p>
        <w:p w14:paraId="3D12DF82" w14:textId="72A3392C" w:rsidR="00017363" w:rsidRDefault="00017363">
          <w:pPr>
            <w:rPr>
              <w:rFonts w:ascii="Arial" w:eastAsia="Times New Roman" w:hAnsi="Arial" w:cs="Arial"/>
              <w:kern w:val="0"/>
              <w:sz w:val="22"/>
              <w:szCs w:val="22"/>
              <w:lang w:eastAsia="en-GB"/>
              <w14:ligatures w14:val="none"/>
            </w:rPr>
          </w:pPr>
          <w:r>
            <w:rPr>
              <w:rFonts w:ascii="Arial" w:hAnsi="Arial" w:cs="Arial"/>
              <w:sz w:val="22"/>
              <w:szCs w:val="22"/>
            </w:rPr>
            <w:br w:type="page"/>
          </w:r>
        </w:p>
      </w:sdtContent>
    </w:sdt>
    <w:p w14:paraId="241CCA23" w14:textId="77777777" w:rsidR="008C04BB" w:rsidRDefault="008C04BB" w:rsidP="00D01337">
      <w:pPr>
        <w:pStyle w:val="NormalWeb"/>
        <w:rPr>
          <w:color w:val="EE0000"/>
          <w:sz w:val="32"/>
          <w:szCs w:val="32"/>
        </w:rPr>
      </w:pPr>
      <w:bookmarkStart w:id="0" w:name="_Hlk213450529"/>
    </w:p>
    <w:p w14:paraId="6CFC8510" w14:textId="77777777" w:rsidR="008C04BB" w:rsidRDefault="008C04BB" w:rsidP="00D01337">
      <w:pPr>
        <w:pStyle w:val="NormalWeb"/>
        <w:rPr>
          <w:color w:val="EE0000"/>
          <w:sz w:val="32"/>
          <w:szCs w:val="32"/>
        </w:rPr>
      </w:pPr>
    </w:p>
    <w:p w14:paraId="599C9987" w14:textId="77777777" w:rsidR="008C04BB" w:rsidRDefault="008C04BB" w:rsidP="00D01337">
      <w:pPr>
        <w:pStyle w:val="NormalWeb"/>
        <w:rPr>
          <w:color w:val="EE0000"/>
          <w:sz w:val="32"/>
          <w:szCs w:val="32"/>
        </w:rPr>
      </w:pPr>
    </w:p>
    <w:p w14:paraId="48C0A1B0" w14:textId="652BBA72" w:rsidR="00D01337" w:rsidRPr="004B60D5" w:rsidRDefault="00D01337" w:rsidP="00D01337">
      <w:pPr>
        <w:pStyle w:val="NormalWeb"/>
        <w:rPr>
          <w:b/>
          <w:bCs/>
          <w:color w:val="EE0000"/>
          <w:sz w:val="36"/>
          <w:szCs w:val="36"/>
        </w:rPr>
      </w:pPr>
      <w:r w:rsidRPr="004B60D5">
        <w:rPr>
          <w:b/>
          <w:bCs/>
          <w:sz w:val="36"/>
          <w:szCs w:val="36"/>
        </w:rPr>
        <w:t>Introduction</w:t>
      </w:r>
      <w:r w:rsidR="002F0CA2" w:rsidRPr="004B60D5">
        <w:rPr>
          <w:b/>
          <w:bCs/>
          <w:sz w:val="36"/>
          <w:szCs w:val="36"/>
        </w:rPr>
        <w:t xml:space="preserve"> </w:t>
      </w:r>
    </w:p>
    <w:p w14:paraId="534B74B0" w14:textId="7994B136" w:rsidR="00D01337" w:rsidRPr="004B60D5" w:rsidRDefault="00D01337" w:rsidP="004B60D5">
      <w:pPr>
        <w:pStyle w:val="NormalWeb"/>
        <w:spacing w:line="360" w:lineRule="auto"/>
        <w:rPr>
          <w:rFonts w:ascii="Arial" w:hAnsi="Arial" w:cs="Arial"/>
          <w:sz w:val="22"/>
          <w:szCs w:val="22"/>
        </w:rPr>
      </w:pPr>
      <w:r w:rsidRPr="004B60D5">
        <w:rPr>
          <w:rFonts w:ascii="Arial" w:hAnsi="Arial" w:cs="Arial"/>
          <w:sz w:val="22"/>
          <w:szCs w:val="22"/>
        </w:rPr>
        <w:t xml:space="preserve">High-quality healthcare relies heavily on effective care delivery, clear communication, and strong collaboration among </w:t>
      </w:r>
      <w:r w:rsidR="00355012" w:rsidRPr="004B60D5">
        <w:rPr>
          <w:rFonts w:ascii="Arial" w:hAnsi="Arial" w:cs="Arial"/>
          <w:sz w:val="22"/>
          <w:szCs w:val="22"/>
        </w:rPr>
        <w:t>professionalises</w:t>
      </w:r>
      <w:r w:rsidR="00355012">
        <w:rPr>
          <w:rFonts w:ascii="Arial" w:hAnsi="Arial" w:cs="Arial"/>
          <w:sz w:val="22"/>
          <w:szCs w:val="22"/>
        </w:rPr>
        <w:t xml:space="preserve"> esp</w:t>
      </w:r>
      <w:r w:rsidRPr="004B60D5">
        <w:rPr>
          <w:rFonts w:ascii="Arial" w:hAnsi="Arial" w:cs="Arial"/>
          <w:sz w:val="22"/>
          <w:szCs w:val="22"/>
        </w:rPr>
        <w:t>ecially when supporting individuals with complex needs like Mrs. Mann. At 72, she is recovering from hip surgery while also navigating language difficulties, underscoring the importance of personalised strategies to overcome communication barriers, ensure precise record-keeping, and promote seamless teamwork across care providers. These factors play a vital role in supporting successful health outcomes, promoting Mrs. Mann’s recovery, and preserving her independence and self-respect.</w:t>
      </w:r>
    </w:p>
    <w:p w14:paraId="219162F3" w14:textId="73F963AD" w:rsidR="004B60D5" w:rsidRPr="004B60D5" w:rsidRDefault="004B60D5" w:rsidP="004B60D5">
      <w:pPr>
        <w:pStyle w:val="Heading3"/>
        <w:pBdr>
          <w:top w:val="single" w:sz="2" w:space="0" w:color="E4E4E7"/>
          <w:left w:val="single" w:sz="2" w:space="0" w:color="E4E4E7"/>
          <w:bottom w:val="single" w:sz="2" w:space="0" w:color="E4E4E7"/>
          <w:right w:val="single" w:sz="2" w:space="0" w:color="E4E4E7"/>
        </w:pBdr>
        <w:shd w:val="clear" w:color="auto" w:fill="FFFFFF"/>
        <w:spacing w:before="0" w:after="144"/>
        <w:rPr>
          <w:rFonts w:ascii="Arial" w:eastAsia="Times New Roman" w:hAnsi="Arial" w:cs="Arial"/>
          <w:b/>
          <w:bCs/>
          <w:color w:val="18181B"/>
          <w:kern w:val="0"/>
          <w:sz w:val="32"/>
          <w:szCs w:val="32"/>
          <w:lang w:eastAsia="en-GB"/>
          <w14:ligatures w14:val="none"/>
        </w:rPr>
      </w:pPr>
      <w:bookmarkStart w:id="1" w:name="_Toc213540985"/>
      <w:r>
        <w:rPr>
          <w:rFonts w:ascii="Arial" w:eastAsia="Times New Roman" w:hAnsi="Arial" w:cs="Arial"/>
          <w:b/>
          <w:bCs/>
          <w:color w:val="18181B"/>
          <w:kern w:val="0"/>
          <w:sz w:val="32"/>
          <w:szCs w:val="32"/>
          <w:lang w:eastAsia="en-GB"/>
          <w14:ligatures w14:val="none"/>
        </w:rPr>
        <w:t xml:space="preserve">1. </w:t>
      </w:r>
      <w:r w:rsidRPr="004B60D5">
        <w:rPr>
          <w:rFonts w:ascii="Arial" w:eastAsia="Times New Roman" w:hAnsi="Arial" w:cs="Arial"/>
          <w:b/>
          <w:bCs/>
          <w:color w:val="18181B"/>
          <w:kern w:val="0"/>
          <w:sz w:val="32"/>
          <w:szCs w:val="32"/>
          <w:lang w:eastAsia="en-GB"/>
          <w14:ligatures w14:val="none"/>
        </w:rPr>
        <w:t>The Importance of Effective Communication in Mrs. Mann’s Case</w:t>
      </w:r>
      <w:bookmarkEnd w:id="1"/>
    </w:p>
    <w:p w14:paraId="5301A964" w14:textId="618DD366" w:rsidR="0029464E" w:rsidRPr="004B60D5" w:rsidRDefault="0029464E" w:rsidP="004B60D5">
      <w:pPr>
        <w:pStyle w:val="NormalWeb"/>
        <w:spacing w:line="360" w:lineRule="auto"/>
        <w:rPr>
          <w:rStyle w:val="extn-css-1tmeul0"/>
          <w:rFonts w:ascii="Arial" w:eastAsiaTheme="majorEastAsia" w:hAnsi="Arial" w:cs="Arial"/>
          <w:b/>
          <w:bCs/>
          <w:sz w:val="32"/>
          <w:szCs w:val="32"/>
          <w:shd w:val="clear" w:color="auto" w:fill="FFFFFF"/>
        </w:rPr>
      </w:pPr>
    </w:p>
    <w:p w14:paraId="202EB0DD" w14:textId="54C31B4A" w:rsidR="004929F8" w:rsidRPr="004B60D5" w:rsidRDefault="0029464E" w:rsidP="004B60D5">
      <w:pPr>
        <w:pStyle w:val="NormalWeb"/>
        <w:spacing w:line="360" w:lineRule="auto"/>
        <w:rPr>
          <w:rFonts w:ascii="Arial" w:hAnsi="Arial" w:cs="Arial"/>
          <w:sz w:val="22"/>
          <w:szCs w:val="22"/>
        </w:rPr>
      </w:pPr>
      <w:r w:rsidRPr="004B60D5">
        <w:rPr>
          <w:rFonts w:ascii="Arial" w:hAnsi="Arial" w:cs="Arial"/>
          <w:sz w:val="22"/>
          <w:szCs w:val="22"/>
        </w:rPr>
        <w:t xml:space="preserve">Clear and effective communication plays a vital role in healthcare, especially when supporting patients such as Mrs. Mann, who do not speak English. It </w:t>
      </w:r>
      <w:r w:rsidR="00800786" w:rsidRPr="004B60D5">
        <w:rPr>
          <w:rFonts w:ascii="Arial" w:hAnsi="Arial" w:cs="Arial"/>
          <w:sz w:val="22"/>
          <w:szCs w:val="22"/>
        </w:rPr>
        <w:t>helps</w:t>
      </w:r>
      <w:r w:rsidRPr="004B60D5">
        <w:rPr>
          <w:rFonts w:ascii="Arial" w:hAnsi="Arial" w:cs="Arial"/>
          <w:sz w:val="22"/>
          <w:szCs w:val="22"/>
        </w:rPr>
        <w:t xml:space="preserve"> the clear transfer of essential information, which supports patient safety, enhances comprehension, and builds trust throughout the care journey. Ineffective communication—particularly following surgery—can hinder recovery, negatively </w:t>
      </w:r>
      <w:r w:rsidR="004B60D5" w:rsidRPr="004B60D5">
        <w:rPr>
          <w:rFonts w:ascii="Arial" w:hAnsi="Arial" w:cs="Arial"/>
          <w:sz w:val="22"/>
          <w:szCs w:val="22"/>
        </w:rPr>
        <w:t>affect</w:t>
      </w:r>
      <w:r w:rsidRPr="004B60D5">
        <w:rPr>
          <w:rFonts w:ascii="Arial" w:hAnsi="Arial" w:cs="Arial"/>
          <w:sz w:val="22"/>
          <w:szCs w:val="22"/>
        </w:rPr>
        <w:t xml:space="preserve"> health outcomes, and cause dissatisfaction for both patients and medical staff (Shannon &amp; Weaver, 1948).</w:t>
      </w:r>
      <w:r w:rsidR="004929F8" w:rsidRPr="004B60D5">
        <w:rPr>
          <w:rFonts w:ascii="Arial" w:hAnsi="Arial" w:cs="Arial"/>
          <w:sz w:val="22"/>
          <w:szCs w:val="22"/>
        </w:rPr>
        <w:t xml:space="preserve"> Addressing communication barriers is crucial for Mrs. Mann’s recovery and for empowering her to take an active role in her own care.</w:t>
      </w:r>
    </w:p>
    <w:p w14:paraId="025E7238" w14:textId="4589639C" w:rsidR="004929F8" w:rsidRPr="004B60D5" w:rsidRDefault="004B60D5" w:rsidP="004B60D5">
      <w:pPr>
        <w:pStyle w:val="NormalWeb"/>
        <w:spacing w:line="360" w:lineRule="auto"/>
        <w:rPr>
          <w:rFonts w:ascii="Arial" w:hAnsi="Arial" w:cs="Arial"/>
          <w:b/>
          <w:bCs/>
          <w:sz w:val="32"/>
          <w:szCs w:val="32"/>
        </w:rPr>
      </w:pPr>
      <w:r>
        <w:rPr>
          <w:rFonts w:ascii="Arial" w:hAnsi="Arial" w:cs="Arial"/>
          <w:b/>
          <w:bCs/>
          <w:sz w:val="32"/>
          <w:szCs w:val="32"/>
        </w:rPr>
        <w:t xml:space="preserve">1.1 </w:t>
      </w:r>
      <w:bookmarkStart w:id="2" w:name="_Hlk213530239"/>
      <w:r w:rsidR="004929F8" w:rsidRPr="004B60D5">
        <w:rPr>
          <w:rFonts w:ascii="Arial" w:hAnsi="Arial" w:cs="Arial"/>
          <w:b/>
          <w:bCs/>
          <w:sz w:val="28"/>
          <w:szCs w:val="28"/>
        </w:rPr>
        <w:t>Challenges in Communication Due to Language Differences and Their Effects on Healthcare Provision.</w:t>
      </w:r>
    </w:p>
    <w:bookmarkEnd w:id="2"/>
    <w:p w14:paraId="3DCB9EF6" w14:textId="77777777" w:rsidR="0053254E" w:rsidRPr="004B60D5" w:rsidRDefault="004929F8" w:rsidP="004B60D5">
      <w:pPr>
        <w:pStyle w:val="NormalWeb"/>
        <w:spacing w:line="360" w:lineRule="auto"/>
        <w:rPr>
          <w:rFonts w:ascii="Arial" w:hAnsi="Arial" w:cs="Arial"/>
          <w:sz w:val="22"/>
          <w:szCs w:val="22"/>
        </w:rPr>
      </w:pPr>
      <w:r w:rsidRPr="004B60D5">
        <w:rPr>
          <w:rFonts w:ascii="Arial" w:hAnsi="Arial" w:cs="Arial"/>
          <w:sz w:val="22"/>
          <w:szCs w:val="22"/>
        </w:rPr>
        <w:t>Mrs. Mann’s difficulty with English poses considerable challenges to the quality of care she receives. When language barriers interfere with communication, they can cause confusion around medication instructions, physical therapy routines, or post-treatment guidance. Such misunderstandings may slow down her recovery or lead to preventable health issues.</w:t>
      </w:r>
      <w:r w:rsidR="0053254E" w:rsidRPr="004B60D5">
        <w:rPr>
          <w:rFonts w:ascii="Arial" w:hAnsi="Arial" w:cs="Arial"/>
          <w:sz w:val="22"/>
          <w:szCs w:val="22"/>
        </w:rPr>
        <w:t xml:space="preserve"> In </w:t>
      </w:r>
      <w:r w:rsidR="0053254E" w:rsidRPr="004B60D5">
        <w:rPr>
          <w:rFonts w:ascii="Arial" w:hAnsi="Arial" w:cs="Arial"/>
          <w:sz w:val="22"/>
          <w:szCs w:val="22"/>
        </w:rPr>
        <w:lastRenderedPageBreak/>
        <w:t xml:space="preserve">addition, Mrs. Mann’s difficulty in expressing pain or raising issues—like problems with mobility—can further hinder the quality of her care (Shannon &amp; Weaver, 1948). Language obstacles also restrict her involvement in making informed choices about her treatment, which can undermine her sense of dignity and independence (Equality Act 2010). </w:t>
      </w:r>
    </w:p>
    <w:p w14:paraId="40CEFE7C" w14:textId="0D8239DF" w:rsidR="001F117C" w:rsidRPr="001F117C" w:rsidRDefault="004B60D5" w:rsidP="001F117C">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rPr>
          <w:rFonts w:ascii="__Figtree_2ca027" w:eastAsia="Times New Roman" w:hAnsi="__Figtree_2ca027" w:cs="Times New Roman"/>
          <w:b/>
          <w:bCs/>
          <w:i w:val="0"/>
          <w:iCs w:val="0"/>
          <w:color w:val="18181B"/>
          <w:kern w:val="0"/>
          <w:szCs w:val="24"/>
          <w:lang w:eastAsia="en-GB"/>
          <w14:ligatures w14:val="none"/>
        </w:rPr>
      </w:pPr>
      <w:r>
        <w:rPr>
          <w:rFonts w:ascii="Arial" w:hAnsi="Arial" w:cs="Arial"/>
          <w:b/>
          <w:bCs/>
          <w:sz w:val="28"/>
          <w:szCs w:val="28"/>
        </w:rPr>
        <w:t>1.2</w:t>
      </w:r>
      <w:r w:rsidR="001F117C">
        <w:rPr>
          <w:rFonts w:ascii="Arial" w:hAnsi="Arial" w:cs="Arial"/>
          <w:b/>
          <w:bCs/>
          <w:sz w:val="28"/>
          <w:szCs w:val="28"/>
        </w:rPr>
        <w:t xml:space="preserve"> </w:t>
      </w:r>
      <w:r w:rsidR="001F117C" w:rsidRPr="001F117C">
        <w:rPr>
          <w:rFonts w:ascii="__Figtree_2ca027" w:eastAsia="Times New Roman" w:hAnsi="__Figtree_2ca027" w:cs="Times New Roman"/>
          <w:b/>
          <w:bCs/>
          <w:i w:val="0"/>
          <w:iCs w:val="0"/>
          <w:color w:val="18181B"/>
          <w:kern w:val="0"/>
          <w:szCs w:val="24"/>
          <w:lang w:eastAsia="en-GB"/>
          <w14:ligatures w14:val="none"/>
        </w:rPr>
        <w:t>Role of the Family in Overcoming Language Barriers</w:t>
      </w:r>
    </w:p>
    <w:p w14:paraId="493265C5" w14:textId="37527B1D" w:rsidR="0053254E" w:rsidRPr="004B60D5" w:rsidRDefault="0053254E" w:rsidP="004B60D5">
      <w:pPr>
        <w:pStyle w:val="NormalWeb"/>
        <w:spacing w:line="360" w:lineRule="auto"/>
        <w:rPr>
          <w:rFonts w:ascii="Arial" w:hAnsi="Arial" w:cs="Arial"/>
          <w:sz w:val="22"/>
          <w:szCs w:val="22"/>
        </w:rPr>
      </w:pPr>
      <w:r w:rsidRPr="004B60D5">
        <w:rPr>
          <w:rFonts w:ascii="Arial" w:hAnsi="Arial" w:cs="Arial"/>
          <w:sz w:val="22"/>
          <w:szCs w:val="22"/>
        </w:rPr>
        <w:t xml:space="preserve">While Mrs. Mann’s daughter has played a valuable role in helping overcome language barriers, depending on family members as interpreters can be problematic. Without medical training, they may unintentionally misinterpret information or introduce personal bias. This approach can also strain family relationships, blur the lines between personal and professional roles, and compromise the accuracy of communication (NHS England, 2018). To address these challenges, it is important for healthcare providers to use qualified medical interpreters who </w:t>
      </w:r>
      <w:r w:rsidR="004B60D5" w:rsidRPr="004B60D5">
        <w:rPr>
          <w:rFonts w:ascii="Arial" w:hAnsi="Arial" w:cs="Arial"/>
          <w:sz w:val="22"/>
          <w:szCs w:val="22"/>
        </w:rPr>
        <w:t>support</w:t>
      </w:r>
      <w:r w:rsidRPr="004B60D5">
        <w:rPr>
          <w:rFonts w:ascii="Arial" w:hAnsi="Arial" w:cs="Arial"/>
          <w:sz w:val="22"/>
          <w:szCs w:val="22"/>
        </w:rPr>
        <w:t xml:space="preserve"> confidentiality and ensure precise communication. Developing care plans that include both Mrs. Mann and her family—while placing emphasis on her understanding—is equally vital (Equality Act 2010).</w:t>
      </w:r>
    </w:p>
    <w:p w14:paraId="0304BA87" w14:textId="3F0A02D0" w:rsidR="004B60D5" w:rsidRPr="004B60D5" w:rsidRDefault="004B60D5" w:rsidP="004B60D5">
      <w:pPr>
        <w:pStyle w:val="NormalWeb"/>
        <w:rPr>
          <w:rFonts w:ascii="Arial" w:hAnsi="Arial" w:cs="Arial"/>
          <w:b/>
          <w:bCs/>
          <w:sz w:val="28"/>
          <w:szCs w:val="28"/>
        </w:rPr>
      </w:pPr>
      <w:r>
        <w:rPr>
          <w:rFonts w:ascii="Arial" w:hAnsi="Arial" w:cs="Arial"/>
          <w:b/>
          <w:bCs/>
          <w:sz w:val="28"/>
          <w:szCs w:val="28"/>
        </w:rPr>
        <w:t>1</w:t>
      </w:r>
      <w:r w:rsidRPr="004B60D5">
        <w:rPr>
          <w:rFonts w:ascii="Arial" w:hAnsi="Arial" w:cs="Arial"/>
          <w:b/>
          <w:bCs/>
          <w:sz w:val="28"/>
          <w:szCs w:val="28"/>
        </w:rPr>
        <w:t xml:space="preserve">.3 Skilled language </w:t>
      </w:r>
      <w:r w:rsidR="00355012" w:rsidRPr="004B60D5">
        <w:rPr>
          <w:rFonts w:ascii="Arial" w:hAnsi="Arial" w:cs="Arial"/>
          <w:b/>
          <w:bCs/>
          <w:sz w:val="28"/>
          <w:szCs w:val="28"/>
        </w:rPr>
        <w:t>aid</w:t>
      </w:r>
      <w:r w:rsidRPr="004B60D5">
        <w:rPr>
          <w:rFonts w:ascii="Arial" w:hAnsi="Arial" w:cs="Arial"/>
          <w:b/>
          <w:bCs/>
          <w:sz w:val="28"/>
          <w:szCs w:val="28"/>
        </w:rPr>
        <w:t xml:space="preserve"> and culturally sensitive methods of communication.</w:t>
      </w:r>
    </w:p>
    <w:p w14:paraId="43D379A0" w14:textId="185D85C8" w:rsidR="00DF4E49" w:rsidRPr="004B60D5" w:rsidRDefault="00DF4E49" w:rsidP="004B60D5">
      <w:pPr>
        <w:pStyle w:val="NormalWeb"/>
        <w:spacing w:line="360" w:lineRule="auto"/>
        <w:rPr>
          <w:rFonts w:ascii="Arial" w:hAnsi="Arial" w:cs="Arial"/>
          <w:sz w:val="22"/>
          <w:szCs w:val="22"/>
        </w:rPr>
      </w:pPr>
      <w:r w:rsidRPr="004B60D5">
        <w:rPr>
          <w:rFonts w:ascii="Arial" w:hAnsi="Arial" w:cs="Arial"/>
          <w:sz w:val="22"/>
          <w:szCs w:val="22"/>
        </w:rPr>
        <w:t xml:space="preserve">Skilled interpreters with </w:t>
      </w:r>
      <w:r w:rsidR="004B60D5" w:rsidRPr="004B60D5">
        <w:rPr>
          <w:rFonts w:ascii="Arial" w:hAnsi="Arial" w:cs="Arial"/>
          <w:sz w:val="22"/>
          <w:szCs w:val="22"/>
        </w:rPr>
        <w:t>ability</w:t>
      </w:r>
      <w:r w:rsidRPr="004B60D5">
        <w:rPr>
          <w:rFonts w:ascii="Arial" w:hAnsi="Arial" w:cs="Arial"/>
          <w:sz w:val="22"/>
          <w:szCs w:val="22"/>
        </w:rPr>
        <w:t xml:space="preserve"> in medical language and cultural sensitivity can help reduce the risks associated with using informal interpreters. For Mrs. Mann, professional interpreters play a key role in enabling clear, two-way communication and supporting her involvement in making informed choices about her treatment. Additionally, culturally </w:t>
      </w:r>
      <w:r w:rsidR="004B60D5" w:rsidRPr="004B60D5">
        <w:rPr>
          <w:rFonts w:ascii="Arial" w:hAnsi="Arial" w:cs="Arial"/>
          <w:sz w:val="22"/>
          <w:szCs w:val="22"/>
        </w:rPr>
        <w:t>proper resources</w:t>
      </w:r>
      <w:r w:rsidRPr="004B60D5">
        <w:rPr>
          <w:rFonts w:ascii="Arial" w:hAnsi="Arial" w:cs="Arial"/>
          <w:sz w:val="22"/>
          <w:szCs w:val="22"/>
        </w:rPr>
        <w:t>—such as Urdu-translated health leaflets, visual communication tools, and instant translation apps—can significantly improve her comprehension and active participation in her care (NHS England, 2018).</w:t>
      </w:r>
    </w:p>
    <w:p w14:paraId="1C1C5EB8" w14:textId="6CBEA5CD" w:rsidR="00F91829" w:rsidRPr="0069194C" w:rsidRDefault="0069194C" w:rsidP="00F91829">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rPr>
          <w:rFonts w:ascii="__Figtree_2ca027" w:eastAsia="Times New Roman" w:hAnsi="__Figtree_2ca027" w:cs="Times New Roman"/>
          <w:b/>
          <w:bCs/>
          <w:i w:val="0"/>
          <w:iCs w:val="0"/>
          <w:color w:val="18181B"/>
          <w:kern w:val="0"/>
          <w:szCs w:val="24"/>
          <w:lang w:eastAsia="en-GB"/>
          <w14:ligatures w14:val="none"/>
        </w:rPr>
      </w:pPr>
      <w:r w:rsidRPr="00DB5187">
        <w:rPr>
          <w:rFonts w:ascii="Arial" w:hAnsi="Arial" w:cs="Arial"/>
          <w:b/>
          <w:bCs/>
          <w:color w:val="auto"/>
          <w:sz w:val="28"/>
          <w:szCs w:val="28"/>
        </w:rPr>
        <w:t>1.</w:t>
      </w:r>
      <w:r w:rsidR="00DB5187" w:rsidRPr="00DB5187">
        <w:rPr>
          <w:rFonts w:ascii="Arial" w:hAnsi="Arial" w:cs="Arial"/>
          <w:b/>
          <w:bCs/>
          <w:color w:val="auto"/>
          <w:sz w:val="28"/>
          <w:szCs w:val="28"/>
        </w:rPr>
        <w:t>4</w:t>
      </w:r>
      <w:r w:rsidR="00B2696D" w:rsidRPr="00DB5187">
        <w:rPr>
          <w:rFonts w:ascii="Arial" w:hAnsi="Arial" w:cs="Arial"/>
          <w:b/>
          <w:bCs/>
          <w:color w:val="auto"/>
          <w:sz w:val="28"/>
          <w:szCs w:val="28"/>
        </w:rPr>
        <w:t xml:space="preserve"> </w:t>
      </w:r>
      <w:r w:rsidR="00F91829" w:rsidRPr="0069194C">
        <w:rPr>
          <w:rFonts w:ascii="__Figtree_2ca027" w:eastAsia="Times New Roman" w:hAnsi="__Figtree_2ca027" w:cs="Times New Roman"/>
          <w:b/>
          <w:bCs/>
          <w:i w:val="0"/>
          <w:iCs w:val="0"/>
          <w:color w:val="18181B"/>
          <w:kern w:val="0"/>
          <w:szCs w:val="24"/>
          <w:lang w:eastAsia="en-GB"/>
          <w14:ligatures w14:val="none"/>
        </w:rPr>
        <w:t>Application of Communication Models</w:t>
      </w:r>
    </w:p>
    <w:p w14:paraId="15D3CFE6" w14:textId="33B7FF16" w:rsidR="00D01337" w:rsidRPr="004B60D5" w:rsidRDefault="000C769A" w:rsidP="004B60D5">
      <w:pPr>
        <w:pStyle w:val="NormalWeb"/>
        <w:spacing w:line="360" w:lineRule="auto"/>
        <w:rPr>
          <w:rFonts w:ascii="Arial" w:hAnsi="Arial" w:cs="Arial"/>
          <w:sz w:val="22"/>
          <w:szCs w:val="22"/>
        </w:rPr>
      </w:pPr>
      <w:r w:rsidRPr="004B60D5">
        <w:rPr>
          <w:rFonts w:ascii="Arial" w:hAnsi="Arial" w:cs="Arial"/>
          <w:sz w:val="22"/>
          <w:szCs w:val="22"/>
        </w:rPr>
        <w:t>The communication framework developed by Shannon and Weaver (1948) highlights how effective interaction in healthcare settings can be achieved. In this model, the healthcare professional (sender) conveys clear and easily understood information—such as treatment plans—through suitable mediums like trained interpreters or culturally relevant resources. Mrs. Mann, as the receiver, interprets the information according to her language abilities, while feedback mechanisms—such as repeating instructions—help confirm her understanding. This approach supports communication that is centred around her individual needs and preferences.</w:t>
      </w:r>
      <w:r w:rsidR="00D01337" w:rsidRPr="004B60D5">
        <w:rPr>
          <w:rFonts w:ascii="Arial" w:hAnsi="Arial" w:cs="Arial"/>
          <w:sz w:val="22"/>
          <w:szCs w:val="22"/>
        </w:rPr>
        <w:t xml:space="preserve"> </w:t>
      </w:r>
    </w:p>
    <w:p w14:paraId="4BE86922" w14:textId="79DB76FA" w:rsidR="000C769A" w:rsidRPr="004B60D5" w:rsidRDefault="000C769A" w:rsidP="004B60D5">
      <w:pPr>
        <w:pStyle w:val="NormalWeb"/>
        <w:spacing w:line="360" w:lineRule="auto"/>
        <w:rPr>
          <w:rFonts w:ascii="Arial" w:hAnsi="Arial" w:cs="Arial"/>
          <w:sz w:val="22"/>
          <w:szCs w:val="22"/>
        </w:rPr>
      </w:pPr>
    </w:p>
    <w:p w14:paraId="766DC948" w14:textId="35C40DF2" w:rsidR="000C769A" w:rsidRPr="004B60D5" w:rsidRDefault="004B60D5" w:rsidP="004B60D5">
      <w:pPr>
        <w:pStyle w:val="NormalWeb"/>
        <w:spacing w:line="360" w:lineRule="auto"/>
        <w:rPr>
          <w:rFonts w:ascii="Arial" w:hAnsi="Arial" w:cs="Arial"/>
          <w:b/>
          <w:bCs/>
          <w:sz w:val="28"/>
          <w:szCs w:val="28"/>
        </w:rPr>
      </w:pPr>
      <w:r>
        <w:rPr>
          <w:rFonts w:ascii="Arial" w:hAnsi="Arial" w:cs="Arial"/>
          <w:b/>
          <w:bCs/>
          <w:sz w:val="28"/>
          <w:szCs w:val="28"/>
        </w:rPr>
        <w:t xml:space="preserve">1.5 </w:t>
      </w:r>
      <w:r w:rsidR="000C769A" w:rsidRPr="004B60D5">
        <w:rPr>
          <w:rFonts w:ascii="Arial" w:hAnsi="Arial" w:cs="Arial"/>
          <w:b/>
          <w:bCs/>
          <w:sz w:val="28"/>
          <w:szCs w:val="28"/>
        </w:rPr>
        <w:t xml:space="preserve">Significance of the Equality Act 2010 in Promoting Fair and Inclusive Healthcare. </w:t>
      </w:r>
    </w:p>
    <w:p w14:paraId="19FF134C" w14:textId="5CD58B4E" w:rsidR="00172336" w:rsidRPr="004B60D5" w:rsidRDefault="000C769A" w:rsidP="004B60D5">
      <w:pPr>
        <w:pStyle w:val="Heading3"/>
        <w:pBdr>
          <w:top w:val="single" w:sz="2" w:space="0" w:color="E4E4E7"/>
          <w:left w:val="single" w:sz="2" w:space="0" w:color="E4E4E7"/>
          <w:bottom w:val="single" w:sz="2" w:space="0" w:color="E4E4E7"/>
          <w:right w:val="single" w:sz="2" w:space="0" w:color="E4E4E7"/>
        </w:pBdr>
        <w:shd w:val="clear" w:color="auto" w:fill="FFFFFF"/>
        <w:spacing w:before="0" w:after="144" w:line="360" w:lineRule="auto"/>
        <w:rPr>
          <w:rFonts w:ascii="Arial" w:eastAsia="Times New Roman" w:hAnsi="Arial" w:cs="Arial"/>
          <w:b/>
          <w:bCs/>
          <w:color w:val="auto"/>
          <w:kern w:val="0"/>
          <w:sz w:val="22"/>
          <w:szCs w:val="22"/>
          <w:bdr w:val="single" w:sz="2" w:space="0" w:color="E4E4E7" w:frame="1"/>
          <w:lang w:eastAsia="en-GB"/>
          <w14:ligatures w14:val="none"/>
        </w:rPr>
      </w:pPr>
      <w:bookmarkStart w:id="3" w:name="_Toc213540986"/>
      <w:r w:rsidRPr="004B60D5">
        <w:rPr>
          <w:rFonts w:ascii="Arial" w:hAnsi="Arial" w:cs="Arial"/>
          <w:color w:val="auto"/>
          <w:sz w:val="22"/>
          <w:szCs w:val="22"/>
        </w:rPr>
        <w:t xml:space="preserve">Under the Equality Act 2010, healthcare providers </w:t>
      </w:r>
      <w:r w:rsidR="004B60D5" w:rsidRPr="004B60D5">
        <w:rPr>
          <w:rFonts w:ascii="Arial" w:hAnsi="Arial" w:cs="Arial"/>
          <w:color w:val="auto"/>
          <w:sz w:val="22"/>
          <w:szCs w:val="22"/>
        </w:rPr>
        <w:t>must</w:t>
      </w:r>
      <w:r w:rsidRPr="004B60D5">
        <w:rPr>
          <w:rFonts w:ascii="Arial" w:hAnsi="Arial" w:cs="Arial"/>
          <w:color w:val="auto"/>
          <w:sz w:val="22"/>
          <w:szCs w:val="22"/>
        </w:rPr>
        <w:t xml:space="preserve"> make reasonable accommodations—such as offering interpreter support and accessible communication resources—to avoid discrimination linked to language barriers or disabilities. These provisions safeguard Mrs. Mann’s entitlement to respectful, inclusive care and support her independence in making healthcare decisions (Equality Act 2010; NHS England, 2018).</w:t>
      </w:r>
      <w:bookmarkEnd w:id="3"/>
      <w:r w:rsidR="00172336" w:rsidRPr="004B60D5">
        <w:rPr>
          <w:rFonts w:ascii="Arial" w:eastAsia="Times New Roman" w:hAnsi="Arial" w:cs="Arial"/>
          <w:b/>
          <w:bCs/>
          <w:color w:val="auto"/>
          <w:kern w:val="0"/>
          <w:sz w:val="22"/>
          <w:szCs w:val="22"/>
          <w:bdr w:val="single" w:sz="2" w:space="0" w:color="E4E4E7" w:frame="1"/>
          <w:lang w:eastAsia="en-GB"/>
          <w14:ligatures w14:val="none"/>
        </w:rPr>
        <w:t xml:space="preserve">  </w:t>
      </w:r>
    </w:p>
    <w:p w14:paraId="73789F9F" w14:textId="77777777" w:rsidR="004B60D5" w:rsidRDefault="004B60D5" w:rsidP="004B60D5">
      <w:pPr>
        <w:pBdr>
          <w:top w:val="single" w:sz="2" w:space="0" w:color="E4E4E7"/>
          <w:left w:val="single" w:sz="2" w:space="0" w:color="E4E4E7"/>
          <w:bottom w:val="single" w:sz="2" w:space="0" w:color="E4E4E7"/>
          <w:right w:val="single" w:sz="2" w:space="0" w:color="E4E4E7"/>
        </w:pBdr>
        <w:shd w:val="clear" w:color="auto" w:fill="FFFFFF"/>
        <w:spacing w:after="144" w:line="240" w:lineRule="auto"/>
        <w:outlineLvl w:val="2"/>
        <w:rPr>
          <w:rFonts w:ascii="__Figtree_2ca027" w:eastAsia="Times New Roman" w:hAnsi="__Figtree_2ca027" w:cs="Times New Roman"/>
          <w:b/>
          <w:bCs/>
          <w:color w:val="18181B"/>
          <w:kern w:val="0"/>
          <w:sz w:val="30"/>
          <w:lang w:eastAsia="en-GB"/>
          <w14:ligatures w14:val="none"/>
        </w:rPr>
      </w:pPr>
    </w:p>
    <w:p w14:paraId="15D2039C" w14:textId="04D827B9" w:rsidR="004B60D5" w:rsidRPr="004B60D5" w:rsidRDefault="004B60D5" w:rsidP="004B60D5">
      <w:pPr>
        <w:pBdr>
          <w:top w:val="single" w:sz="2" w:space="0" w:color="E4E4E7"/>
          <w:left w:val="single" w:sz="2" w:space="0" w:color="E4E4E7"/>
          <w:bottom w:val="single" w:sz="2" w:space="0" w:color="E4E4E7"/>
          <w:right w:val="single" w:sz="2" w:space="0" w:color="E4E4E7"/>
        </w:pBdr>
        <w:shd w:val="clear" w:color="auto" w:fill="FFFFFF"/>
        <w:spacing w:after="144" w:line="240" w:lineRule="auto"/>
        <w:outlineLvl w:val="2"/>
        <w:rPr>
          <w:rFonts w:ascii="__Figtree_2ca027" w:eastAsia="Times New Roman" w:hAnsi="__Figtree_2ca027" w:cs="Times New Roman"/>
          <w:b/>
          <w:bCs/>
          <w:color w:val="18181B"/>
          <w:kern w:val="0"/>
          <w:sz w:val="30"/>
          <w:lang w:eastAsia="en-GB"/>
          <w14:ligatures w14:val="none"/>
        </w:rPr>
      </w:pPr>
      <w:bookmarkStart w:id="4" w:name="_Toc213540987"/>
      <w:r>
        <w:rPr>
          <w:rFonts w:ascii="__Figtree_2ca027" w:eastAsia="Times New Roman" w:hAnsi="__Figtree_2ca027" w:cs="Times New Roman"/>
          <w:b/>
          <w:bCs/>
          <w:color w:val="18181B"/>
          <w:kern w:val="0"/>
          <w:sz w:val="30"/>
          <w:lang w:eastAsia="en-GB"/>
          <w14:ligatures w14:val="none"/>
        </w:rPr>
        <w:t xml:space="preserve">2. </w:t>
      </w:r>
      <w:r w:rsidRPr="004B60D5">
        <w:rPr>
          <w:rFonts w:ascii="__Figtree_2ca027" w:eastAsia="Times New Roman" w:hAnsi="__Figtree_2ca027" w:cs="Times New Roman"/>
          <w:b/>
          <w:bCs/>
          <w:color w:val="18181B"/>
          <w:kern w:val="0"/>
          <w:sz w:val="30"/>
          <w:lang w:eastAsia="en-GB"/>
          <w14:ligatures w14:val="none"/>
        </w:rPr>
        <w:t>Administrative Skills &amp; Record Keeping</w:t>
      </w:r>
      <w:bookmarkEnd w:id="4"/>
    </w:p>
    <w:p w14:paraId="30CEB506" w14:textId="697CE5EE"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Strong administrative abilities are fundamental to ensuring safe and efficient healthcare services. Maintaining precise records, following legal requirements such as the Data Protection Act 2018, and upholding professional guidelines are essential for delivering high-quality care.</w:t>
      </w:r>
    </w:p>
    <w:p w14:paraId="653C63A1" w14:textId="77777777" w:rsidR="004B60D5" w:rsidRPr="004B60D5" w:rsidRDefault="004B60D5" w:rsidP="004B60D5">
      <w:pPr>
        <w:spacing w:line="360" w:lineRule="auto"/>
        <w:rPr>
          <w:rFonts w:ascii="Arial" w:hAnsi="Arial" w:cs="Arial"/>
          <w:sz w:val="22"/>
          <w:szCs w:val="22"/>
        </w:rPr>
      </w:pPr>
    </w:p>
    <w:p w14:paraId="07AF9236" w14:textId="77777777" w:rsidR="004B60D5" w:rsidRPr="004B60D5" w:rsidRDefault="00172336" w:rsidP="004B60D5">
      <w:pPr>
        <w:pStyle w:val="NormalWeb"/>
        <w:spacing w:line="360" w:lineRule="auto"/>
        <w:rPr>
          <w:rFonts w:ascii="Arial" w:hAnsi="Arial" w:cs="Arial"/>
          <w:sz w:val="28"/>
          <w:szCs w:val="28"/>
        </w:rPr>
      </w:pPr>
      <w:r w:rsidRPr="004B60D5">
        <w:rPr>
          <w:rFonts w:ascii="Arial" w:hAnsi="Arial" w:cs="Arial"/>
          <w:b/>
          <w:bCs/>
          <w:color w:val="00B050"/>
          <w:sz w:val="28"/>
          <w:szCs w:val="28"/>
          <w:bdr w:val="single" w:sz="2" w:space="0" w:color="E4E4E7" w:frame="1"/>
        </w:rPr>
        <w:t xml:space="preserve"> </w:t>
      </w:r>
      <w:r w:rsidR="004B60D5" w:rsidRPr="004B60D5">
        <w:rPr>
          <w:rFonts w:ascii="Arial" w:hAnsi="Arial" w:cs="Arial"/>
          <w:b/>
          <w:bCs/>
          <w:color w:val="18181B"/>
          <w:sz w:val="28"/>
          <w:szCs w:val="28"/>
        </w:rPr>
        <w:t>2.1 Importance of Accurate Record-Keeping in Mrs. Mann’s Care</w:t>
      </w:r>
      <w:r w:rsidR="004B60D5" w:rsidRPr="004B60D5">
        <w:rPr>
          <w:rFonts w:ascii="Arial" w:hAnsi="Arial" w:cs="Arial"/>
          <w:sz w:val="28"/>
          <w:szCs w:val="28"/>
        </w:rPr>
        <w:t xml:space="preserve"> </w:t>
      </w:r>
    </w:p>
    <w:p w14:paraId="1C86A4E0" w14:textId="1EA378FA" w:rsidR="004B60D5" w:rsidRPr="004B60D5" w:rsidRDefault="00355012" w:rsidP="004B60D5">
      <w:pPr>
        <w:pStyle w:val="NormalWeb"/>
        <w:spacing w:line="360" w:lineRule="auto"/>
        <w:rPr>
          <w:rFonts w:ascii="Arial" w:hAnsi="Arial" w:cs="Arial"/>
          <w:b/>
          <w:bCs/>
          <w:i/>
          <w:iCs/>
          <w:color w:val="18181B"/>
          <w:sz w:val="22"/>
          <w:szCs w:val="22"/>
        </w:rPr>
      </w:pPr>
      <w:r w:rsidRPr="004B60D5">
        <w:rPr>
          <w:rFonts w:ascii="Arial" w:hAnsi="Arial" w:cs="Arial"/>
          <w:sz w:val="22"/>
          <w:szCs w:val="22"/>
        </w:rPr>
        <w:t>Insisting</w:t>
      </w:r>
      <w:r w:rsidR="004B60D5" w:rsidRPr="004B60D5">
        <w:rPr>
          <w:rFonts w:ascii="Arial" w:hAnsi="Arial" w:cs="Arial"/>
          <w:sz w:val="22"/>
          <w:szCs w:val="22"/>
        </w:rPr>
        <w:t xml:space="preserve"> </w:t>
      </w:r>
      <w:r w:rsidR="00800786" w:rsidRPr="004B60D5">
        <w:rPr>
          <w:rFonts w:ascii="Arial" w:hAnsi="Arial" w:cs="Arial"/>
          <w:sz w:val="22"/>
          <w:szCs w:val="22"/>
        </w:rPr>
        <w:t>correct</w:t>
      </w:r>
      <w:r w:rsidR="004B60D5" w:rsidRPr="004B60D5">
        <w:rPr>
          <w:rFonts w:ascii="Arial" w:hAnsi="Arial" w:cs="Arial"/>
          <w:sz w:val="22"/>
          <w:szCs w:val="22"/>
        </w:rPr>
        <w:t xml:space="preserve"> records supports seamless care delivery and helps avoid mistakes. For individuals like Mrs. Mann, it is essential in helping coordination among her GP, physiotherapist, and domiciliary carers. Precise record-keeping offers clarity on Mrs. Mann’s health status, treatment plan, and medication routine, supporting safer care decisions and prompt updates. In contrast, inadequate documentation may result in medication mistakes, repeated services, and delayed responses, which can negatively </w:t>
      </w:r>
      <w:r w:rsidR="00E13743" w:rsidRPr="004B60D5">
        <w:rPr>
          <w:rFonts w:ascii="Arial" w:hAnsi="Arial" w:cs="Arial"/>
          <w:sz w:val="22"/>
          <w:szCs w:val="22"/>
        </w:rPr>
        <w:t>change</w:t>
      </w:r>
      <w:r w:rsidR="004B60D5" w:rsidRPr="004B60D5">
        <w:rPr>
          <w:rFonts w:ascii="Arial" w:hAnsi="Arial" w:cs="Arial"/>
          <w:sz w:val="22"/>
          <w:szCs w:val="22"/>
        </w:rPr>
        <w:t xml:space="preserve"> her recovery and overall health (NICE, 2022).</w:t>
      </w:r>
      <w:r w:rsidR="004B60D5" w:rsidRPr="004B60D5">
        <w:rPr>
          <w:rFonts w:ascii="Arial" w:hAnsi="Arial" w:cs="Arial"/>
          <w:b/>
          <w:bCs/>
          <w:i/>
          <w:iCs/>
          <w:color w:val="18181B"/>
          <w:sz w:val="22"/>
          <w:szCs w:val="22"/>
        </w:rPr>
        <w:t xml:space="preserve"> </w:t>
      </w:r>
    </w:p>
    <w:p w14:paraId="5D866E41" w14:textId="38220561"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 xml:space="preserve">Gaps in documentation can lead to breakdowns in communication among multidisciplinary teams, which may negatively affect the standard of care. For example, if a domiciliary carer does not record Mrs. Mann’s difficulties with mobility, the physiotherapist might miss the need to revise her exercise programme. Keeping thorough and </w:t>
      </w:r>
      <w:r w:rsidR="00E13743" w:rsidRPr="004B60D5">
        <w:rPr>
          <w:rFonts w:ascii="Arial" w:hAnsi="Arial" w:cs="Arial"/>
          <w:sz w:val="22"/>
          <w:szCs w:val="22"/>
        </w:rPr>
        <w:t>exact</w:t>
      </w:r>
      <w:r w:rsidRPr="004B60D5">
        <w:rPr>
          <w:rFonts w:ascii="Arial" w:hAnsi="Arial" w:cs="Arial"/>
          <w:sz w:val="22"/>
          <w:szCs w:val="22"/>
        </w:rPr>
        <w:t xml:space="preserve"> records supports smooth collaboration, helping to minimise risks and avoid unnecessary delays or duplication (British Standards Institution, 2020).</w:t>
      </w:r>
    </w:p>
    <w:p w14:paraId="38AF696A" w14:textId="0940A1E9" w:rsidR="004B60D5" w:rsidRPr="004B60D5" w:rsidRDefault="004B60D5" w:rsidP="004B60D5">
      <w:pPr>
        <w:pStyle w:val="NormalWeb"/>
        <w:spacing w:line="360" w:lineRule="auto"/>
        <w:rPr>
          <w:rFonts w:ascii="Arial" w:hAnsi="Arial" w:cs="Arial"/>
          <w:b/>
          <w:bCs/>
          <w:color w:val="18181B"/>
          <w:sz w:val="22"/>
          <w:szCs w:val="22"/>
        </w:rPr>
      </w:pPr>
    </w:p>
    <w:p w14:paraId="489A75C5" w14:textId="77777777" w:rsidR="004B60D5" w:rsidRPr="004B60D5" w:rsidRDefault="004B60D5" w:rsidP="004B60D5">
      <w:pPr>
        <w:pStyle w:val="NormalWeb"/>
        <w:spacing w:line="360" w:lineRule="auto"/>
        <w:rPr>
          <w:rFonts w:ascii="Arial" w:hAnsi="Arial" w:cs="Arial"/>
          <w:b/>
          <w:bCs/>
          <w:i/>
          <w:iCs/>
          <w:color w:val="18181B"/>
          <w:sz w:val="28"/>
          <w:szCs w:val="28"/>
        </w:rPr>
      </w:pPr>
      <w:r w:rsidRPr="004B60D5">
        <w:rPr>
          <w:rFonts w:ascii="Arial" w:hAnsi="Arial" w:cs="Arial"/>
          <w:b/>
          <w:bCs/>
          <w:color w:val="18181B"/>
          <w:sz w:val="28"/>
          <w:szCs w:val="28"/>
        </w:rPr>
        <w:t>2.2 Legal and Ethical Compliance: Data Protection Act 2018</w:t>
      </w:r>
      <w:r w:rsidRPr="004B60D5">
        <w:rPr>
          <w:rFonts w:ascii="Arial" w:hAnsi="Arial" w:cs="Arial"/>
          <w:b/>
          <w:bCs/>
          <w:i/>
          <w:iCs/>
          <w:color w:val="18181B"/>
          <w:sz w:val="28"/>
          <w:szCs w:val="28"/>
        </w:rPr>
        <w:t xml:space="preserve"> </w:t>
      </w:r>
    </w:p>
    <w:p w14:paraId="45214AEC" w14:textId="5234E555"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 xml:space="preserve">The Data Protection Act 2018 highlights the importance of protecting confidential patient information. Key principles such as lawfulness and transparency ensure that Mrs. Mann’s health records are handled appropriately and communicated to her in a clear and accessible way. The principles of purpose limitation and data minimisation help avoid storing excessive or unrelated information. Insisting </w:t>
      </w:r>
      <w:r w:rsidR="00A312A5" w:rsidRPr="004B60D5">
        <w:rPr>
          <w:rFonts w:ascii="Arial" w:hAnsi="Arial" w:cs="Arial"/>
          <w:sz w:val="22"/>
          <w:szCs w:val="22"/>
        </w:rPr>
        <w:t>correct</w:t>
      </w:r>
      <w:r w:rsidRPr="004B60D5">
        <w:rPr>
          <w:rFonts w:ascii="Arial" w:hAnsi="Arial" w:cs="Arial"/>
          <w:sz w:val="22"/>
          <w:szCs w:val="22"/>
        </w:rPr>
        <w:t xml:space="preserve"> records is essential, as it ensures that care documentation stays up to date and trustworthy, aligning with both ethical responsibilities and legal obligations. </w:t>
      </w:r>
    </w:p>
    <w:p w14:paraId="32BD856B" w14:textId="77777777" w:rsidR="004B60D5" w:rsidRPr="004B60D5" w:rsidRDefault="004B60D5" w:rsidP="004B60D5">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i w:val="0"/>
          <w:iCs w:val="0"/>
          <w:color w:val="auto"/>
          <w:kern w:val="0"/>
          <w:sz w:val="22"/>
          <w:szCs w:val="22"/>
          <w:lang w:eastAsia="en-GB"/>
          <w14:ligatures w14:val="none"/>
        </w:rPr>
      </w:pPr>
      <w:r w:rsidRPr="004B60D5">
        <w:rPr>
          <w:rFonts w:ascii="Arial" w:hAnsi="Arial" w:cs="Arial"/>
          <w:i w:val="0"/>
          <w:iCs w:val="0"/>
          <w:color w:val="auto"/>
          <w:sz w:val="22"/>
          <w:szCs w:val="22"/>
        </w:rPr>
        <w:t>Putting security protocols in place—like encrypting electronic health records—helps prevent unauthorised access and ensures compliance with legal standards. Maintaining well-organised records in both paper and digital formats strengthens professional accountability and safeguards Mrs. Mann’s privacy and dignity (NHS England, 2018).</w:t>
      </w:r>
      <w:r w:rsidRPr="004B60D5">
        <w:rPr>
          <w:rFonts w:ascii="Arial" w:eastAsia="Times New Roman" w:hAnsi="Arial" w:cs="Arial"/>
          <w:b/>
          <w:bCs/>
          <w:i w:val="0"/>
          <w:iCs w:val="0"/>
          <w:color w:val="auto"/>
          <w:kern w:val="0"/>
          <w:sz w:val="22"/>
          <w:szCs w:val="22"/>
          <w:lang w:eastAsia="en-GB"/>
          <w14:ligatures w14:val="none"/>
        </w:rPr>
        <w:t xml:space="preserve"> </w:t>
      </w:r>
    </w:p>
    <w:p w14:paraId="4DDD6681" w14:textId="77777777" w:rsidR="004B60D5" w:rsidRPr="004B60D5" w:rsidRDefault="004B60D5" w:rsidP="004B60D5">
      <w:pPr>
        <w:pStyle w:val="NormalWeb"/>
        <w:spacing w:line="360" w:lineRule="auto"/>
        <w:rPr>
          <w:rFonts w:ascii="Arial" w:hAnsi="Arial" w:cs="Arial"/>
          <w:b/>
          <w:bCs/>
          <w:i/>
          <w:iCs/>
          <w:color w:val="18181B"/>
          <w:sz w:val="28"/>
          <w:szCs w:val="28"/>
        </w:rPr>
      </w:pPr>
      <w:r w:rsidRPr="004B60D5">
        <w:rPr>
          <w:rFonts w:ascii="Arial" w:hAnsi="Arial" w:cs="Arial"/>
          <w:b/>
          <w:bCs/>
          <w:color w:val="18181B"/>
          <w:sz w:val="28"/>
          <w:szCs w:val="28"/>
        </w:rPr>
        <w:t>2.3 Frameworks for Professional Record-Keeping</w:t>
      </w:r>
      <w:r w:rsidRPr="004B60D5">
        <w:rPr>
          <w:rFonts w:ascii="Arial" w:hAnsi="Arial" w:cs="Arial"/>
          <w:b/>
          <w:bCs/>
          <w:i/>
          <w:iCs/>
          <w:color w:val="18181B"/>
          <w:sz w:val="28"/>
          <w:szCs w:val="28"/>
        </w:rPr>
        <w:t xml:space="preserve"> </w:t>
      </w:r>
    </w:p>
    <w:p w14:paraId="65BB3C16" w14:textId="32EC693F"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Regulatory frameworks like the NICE guidelines, the NMC Code, and CQC standards offer comprehensive direction on how to uphold high-quality and professional record-keeping practices. This involves using straightforward, jargon-free language, recording every care-related decision and interaction, and conducting routine audits to evaluate accuracy and standards. Following these guidelines helps minimise mistakes, reinforces professional responsibility, and supports the delivery of safe, person-focused care (British Standards Institution, 2020).</w:t>
      </w:r>
    </w:p>
    <w:p w14:paraId="4B9800D5" w14:textId="77777777" w:rsidR="004B60D5" w:rsidRPr="004B60D5" w:rsidRDefault="004B60D5" w:rsidP="004B60D5">
      <w:pPr>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color w:val="18181B"/>
          <w:kern w:val="0"/>
          <w:sz w:val="28"/>
          <w:szCs w:val="28"/>
          <w:lang w:eastAsia="en-GB"/>
          <w14:ligatures w14:val="none"/>
        </w:rPr>
      </w:pPr>
      <w:r w:rsidRPr="004B60D5">
        <w:rPr>
          <w:rFonts w:ascii="Arial" w:eastAsia="Times New Roman" w:hAnsi="Arial" w:cs="Arial"/>
          <w:b/>
          <w:bCs/>
          <w:color w:val="18181B"/>
          <w:kern w:val="0"/>
          <w:sz w:val="28"/>
          <w:szCs w:val="28"/>
          <w:lang w:eastAsia="en-GB"/>
          <w14:ligatures w14:val="none"/>
        </w:rPr>
        <w:t>2.4 Reflecting Professionalism</w:t>
      </w:r>
    </w:p>
    <w:p w14:paraId="1DCF357C" w14:textId="69A58D7A"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Thorough and consistent documentation proves reliability and professionalism within healthcare teams. For instance, when Mrs. Mann’s physiotherapist records her progress accurately, it enables her carers and GP to make informed adjustments, supporting continuous care and reducing potential risks. Well-maintained records not only enhance collaboration across disciplines but also uphold legal standards and provide peace of mind to Mrs. Mann and her family (Laming, 2020).</w:t>
      </w:r>
    </w:p>
    <w:p w14:paraId="60410111" w14:textId="77777777" w:rsidR="008B0E31" w:rsidRDefault="008B0E31" w:rsidP="004B60D5">
      <w:pPr>
        <w:pStyle w:val="NormalWeb"/>
        <w:spacing w:line="360" w:lineRule="auto"/>
        <w:rPr>
          <w:rFonts w:ascii="Arial" w:hAnsi="Arial" w:cs="Arial"/>
          <w:b/>
          <w:bCs/>
          <w:sz w:val="32"/>
          <w:szCs w:val="32"/>
        </w:rPr>
      </w:pPr>
    </w:p>
    <w:p w14:paraId="1C1655BA" w14:textId="120EE3AC" w:rsidR="004B60D5" w:rsidRPr="00BA7BE4" w:rsidRDefault="004B60D5" w:rsidP="004B60D5">
      <w:pPr>
        <w:pStyle w:val="NormalWeb"/>
        <w:spacing w:line="360" w:lineRule="auto"/>
        <w:rPr>
          <w:rFonts w:ascii="Arial" w:hAnsi="Arial" w:cs="Arial"/>
          <w:sz w:val="22"/>
          <w:szCs w:val="22"/>
        </w:rPr>
      </w:pPr>
      <w:r w:rsidRPr="004B60D5">
        <w:rPr>
          <w:rFonts w:ascii="Arial" w:hAnsi="Arial" w:cs="Arial"/>
          <w:b/>
          <w:bCs/>
          <w:sz w:val="32"/>
          <w:szCs w:val="32"/>
        </w:rPr>
        <w:lastRenderedPageBreak/>
        <w:t>3. Importance of Collaborative Working</w:t>
      </w:r>
      <w:r w:rsidR="008B0E31">
        <w:rPr>
          <w:noProof/>
        </w:rPr>
        <mc:AlternateContent>
          <mc:Choice Requires="wps">
            <w:drawing>
              <wp:inline distT="0" distB="0" distL="0" distR="0" wp14:anchorId="279FD67C" wp14:editId="39F414FC">
                <wp:extent cx="304800" cy="304800"/>
                <wp:effectExtent l="0" t="0" r="0" b="0"/>
                <wp:docPr id="1762462084"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02FAFD" w14:textId="77777777" w:rsidR="008B0E31" w:rsidRDefault="008B0E31" w:rsidP="008B0E31">
                            <w:pPr>
                              <w:jc w:val="center"/>
                            </w:pPr>
                          </w:p>
                        </w:txbxContent>
                      </wps:txbx>
                      <wps:bodyPr rot="0" vert="horz" wrap="square" lIns="91440" tIns="45720" rIns="91440" bIns="45720" anchor="t" anchorCtr="0" upright="1">
                        <a:noAutofit/>
                      </wps:bodyPr>
                    </wps:wsp>
                  </a:graphicData>
                </a:graphic>
              </wp:inline>
            </w:drawing>
          </mc:Choice>
          <mc:Fallback>
            <w:pict>
              <v:rect w14:anchorId="279FD67C" id="AutoShape 3" o:spid="_x0000_s102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" filled="f" stroked="f">
                <o:lock v:ext="edit" aspectratio="t"/>
                <v:textbox>
                  <w:txbxContent>
                    <w:p w14:paraId="2F02FAFD" w14:textId="77777777" w:rsidR="008B0E31" w:rsidRDefault="008B0E31" w:rsidP="008B0E31">
                      <w:pPr>
                        <w:jc w:val="center"/>
                      </w:pPr>
                    </w:p>
                  </w:txbxContent>
                </v:textbox>
                <w10:anchorlock/>
              </v:rect>
            </w:pict>
          </mc:Fallback>
        </mc:AlternateContent>
      </w:r>
    </w:p>
    <w:p w14:paraId="56485929" w14:textId="6F87DA74" w:rsidR="004B60D5" w:rsidRPr="004B60D5" w:rsidRDefault="004B60D5" w:rsidP="004B60D5">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i w:val="0"/>
          <w:iCs w:val="0"/>
          <w:color w:val="auto"/>
          <w:kern w:val="0"/>
          <w:sz w:val="22"/>
          <w:szCs w:val="22"/>
          <w:lang w:eastAsia="en-GB"/>
          <w14:ligatures w14:val="none"/>
        </w:rPr>
      </w:pPr>
      <w:r w:rsidRPr="004B60D5">
        <w:rPr>
          <w:rFonts w:ascii="Arial" w:hAnsi="Arial" w:cs="Arial"/>
          <w:i w:val="0"/>
          <w:iCs w:val="0"/>
          <w:color w:val="auto"/>
          <w:sz w:val="22"/>
          <w:szCs w:val="22"/>
        </w:rPr>
        <w:t xml:space="preserve">Working together collaboratively is vital for providing consistent and high-quality care to Mrs. Mann. Her recovery depends on the combined efforts of domiciliary carers, her general practitioner, physiotherapist, and her daughter. When professionals coordinate their input, they can meet her needs in a comprehensive way, enhancing key outcomes like physical mobility, personal autonomy, and overall wellbeing. A united approach fosters mutual understanding, builds trust, and ensures that Mrs. Mann’s choices and priorities </w:t>
      </w:r>
      <w:r w:rsidR="00E13743" w:rsidRPr="004B60D5">
        <w:rPr>
          <w:rFonts w:ascii="Arial" w:hAnsi="Arial" w:cs="Arial"/>
          <w:i w:val="0"/>
          <w:iCs w:val="0"/>
          <w:color w:val="auto"/>
          <w:sz w:val="22"/>
          <w:szCs w:val="22"/>
        </w:rPr>
        <w:t>are still</w:t>
      </w:r>
      <w:r w:rsidRPr="004B60D5">
        <w:rPr>
          <w:rFonts w:ascii="Arial" w:hAnsi="Arial" w:cs="Arial"/>
          <w:i w:val="0"/>
          <w:iCs w:val="0"/>
          <w:color w:val="auto"/>
          <w:sz w:val="22"/>
          <w:szCs w:val="22"/>
        </w:rPr>
        <w:t xml:space="preserve"> central to her care (NICE, 2022).</w:t>
      </w:r>
      <w:r w:rsidRPr="004B60D5">
        <w:rPr>
          <w:rFonts w:ascii="Arial" w:eastAsia="Times New Roman" w:hAnsi="Arial" w:cs="Arial"/>
          <w:b/>
          <w:bCs/>
          <w:i w:val="0"/>
          <w:iCs w:val="0"/>
          <w:color w:val="auto"/>
          <w:kern w:val="0"/>
          <w:sz w:val="22"/>
          <w:szCs w:val="22"/>
          <w:lang w:eastAsia="en-GB"/>
          <w14:ligatures w14:val="none"/>
        </w:rPr>
        <w:t xml:space="preserve"> </w:t>
      </w:r>
    </w:p>
    <w:p w14:paraId="3CBD5D2E" w14:textId="30914E57" w:rsidR="004B60D5" w:rsidRPr="004B60D5" w:rsidRDefault="004B60D5" w:rsidP="004B60D5">
      <w:pPr>
        <w:pStyle w:val="NormalWeb"/>
        <w:spacing w:line="360" w:lineRule="auto"/>
        <w:rPr>
          <w:rFonts w:ascii="Arial" w:hAnsi="Arial" w:cs="Arial"/>
          <w:sz w:val="22"/>
          <w:szCs w:val="22"/>
        </w:rPr>
      </w:pPr>
    </w:p>
    <w:p w14:paraId="1D448F0D" w14:textId="0D8A8854" w:rsidR="004B60D5" w:rsidRPr="004B60D5" w:rsidRDefault="004B60D5" w:rsidP="004B60D5">
      <w:pPr>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color w:val="18181B"/>
          <w:kern w:val="0"/>
          <w:sz w:val="28"/>
          <w:szCs w:val="28"/>
          <w:lang w:eastAsia="en-GB"/>
          <w14:ligatures w14:val="none"/>
        </w:rPr>
      </w:pPr>
      <w:r w:rsidRPr="004B60D5">
        <w:rPr>
          <w:rFonts w:ascii="Arial" w:eastAsia="Times New Roman" w:hAnsi="Arial" w:cs="Arial"/>
          <w:b/>
          <w:bCs/>
          <w:color w:val="18181B"/>
          <w:kern w:val="0"/>
          <w:sz w:val="28"/>
          <w:szCs w:val="28"/>
          <w:lang w:eastAsia="en-GB"/>
          <w14:ligatures w14:val="none"/>
        </w:rPr>
        <w:t>3.1 Inter-Professional Collaboration in Mrs. Mann’s Care</w:t>
      </w:r>
    </w:p>
    <w:p w14:paraId="0C964048" w14:textId="60EBDE15"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 xml:space="preserve">Successful collaboration depends on each professional understanding their specific responsibilities while actively </w:t>
      </w:r>
      <w:r w:rsidR="00355012" w:rsidRPr="004B60D5">
        <w:rPr>
          <w:rFonts w:ascii="Arial" w:hAnsi="Arial" w:cs="Arial"/>
          <w:sz w:val="22"/>
          <w:szCs w:val="22"/>
        </w:rPr>
        <w:t>taking part</w:t>
      </w:r>
      <w:r w:rsidRPr="004B60D5">
        <w:rPr>
          <w:rFonts w:ascii="Arial" w:hAnsi="Arial" w:cs="Arial"/>
          <w:sz w:val="22"/>
          <w:szCs w:val="22"/>
        </w:rPr>
        <w:t xml:space="preserve"> in a shared care strategy. For instance, the physiotherapist creates a tailored exercise plan to improve mobility. Domiciliary carers support Mrs. Mann in carrying out these exercises during home visits and relay any concerns—like discomfort or challenges—to her GP, who can then review and adjust her medication if needed. Open and consistent communication across the team promotes a coordinated approach, ensuring that every action contributes meaningfully to Mrs. Mann’s rehabilitation (NICE, 2022).</w:t>
      </w:r>
    </w:p>
    <w:p w14:paraId="5F690FC4" w14:textId="3A5A4704" w:rsidR="004B60D5" w:rsidRPr="004B60D5" w:rsidRDefault="004B60D5" w:rsidP="004B60D5">
      <w:pPr>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color w:val="18181B"/>
          <w:kern w:val="0"/>
          <w:sz w:val="28"/>
          <w:szCs w:val="28"/>
          <w:lang w:eastAsia="en-GB"/>
          <w14:ligatures w14:val="none"/>
        </w:rPr>
      </w:pPr>
      <w:r>
        <w:rPr>
          <w:rFonts w:ascii="Arial" w:eastAsia="Times New Roman" w:hAnsi="Arial" w:cs="Arial"/>
          <w:b/>
          <w:bCs/>
          <w:color w:val="18181B"/>
          <w:kern w:val="0"/>
          <w:sz w:val="28"/>
          <w:szCs w:val="28"/>
          <w:lang w:eastAsia="en-GB"/>
          <w14:ligatures w14:val="none"/>
        </w:rPr>
        <w:t xml:space="preserve">3.2 </w:t>
      </w:r>
      <w:bookmarkStart w:id="5" w:name="_Hlk213532813"/>
      <w:r w:rsidRPr="004B60D5">
        <w:rPr>
          <w:rFonts w:ascii="Arial" w:eastAsia="Times New Roman" w:hAnsi="Arial" w:cs="Arial"/>
          <w:b/>
          <w:bCs/>
          <w:color w:val="18181B"/>
          <w:kern w:val="0"/>
          <w:sz w:val="28"/>
          <w:szCs w:val="28"/>
          <w:lang w:eastAsia="en-GB"/>
          <w14:ligatures w14:val="none"/>
        </w:rPr>
        <w:t>Frameworks and Tools for Collaborative Approaches</w:t>
      </w:r>
      <w:bookmarkEnd w:id="5"/>
    </w:p>
    <w:p w14:paraId="1C83812A" w14:textId="23BCC977"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Tuckman’s team development framework—Forming, Storming, Norming, and Performing—provides a useful structure for building effective collaboration. In the context of Mrs. Mann’s care, frequent multidisciplinary team (MDT) meetings help clarify responsibilities and guide the team toward the “performing” phase, where care interventions are delivered efficiently. Tools like the SBAR model (Situation, Background, Assessment, Recommendation) help streamline communication among professionals, ensuring information is conveyed clearly and consistently. For instance, carers may apply the SBAR framework to deliver clear and organised updates about Mrs. Mann’s condition to the physiotherapist or GP (British Standards Institution, 2020).</w:t>
      </w:r>
    </w:p>
    <w:p w14:paraId="2264B47D" w14:textId="77777777" w:rsidR="00D62BA6" w:rsidRPr="00D62BA6" w:rsidRDefault="004B60D5" w:rsidP="00D62BA6">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rPr>
          <w:rFonts w:ascii="__Figtree_2ca027" w:eastAsia="Times New Roman" w:hAnsi="__Figtree_2ca027" w:cs="Times New Roman"/>
          <w:b/>
          <w:bCs/>
          <w:i w:val="0"/>
          <w:iCs w:val="0"/>
          <w:color w:val="18181B"/>
          <w:kern w:val="0"/>
          <w:szCs w:val="24"/>
          <w:lang w:eastAsia="en-GB"/>
          <w14:ligatures w14:val="none"/>
        </w:rPr>
      </w:pPr>
      <w:r>
        <w:rPr>
          <w:rFonts w:ascii="Arial" w:hAnsi="Arial" w:cs="Arial"/>
          <w:b/>
          <w:bCs/>
          <w:sz w:val="28"/>
          <w:szCs w:val="28"/>
        </w:rPr>
        <w:lastRenderedPageBreak/>
        <w:t xml:space="preserve">3.3 </w:t>
      </w:r>
      <w:r w:rsidR="00D62BA6" w:rsidRPr="003339B9">
        <w:rPr>
          <w:rFonts w:ascii="__Figtree_2ca027" w:eastAsia="Times New Roman" w:hAnsi="__Figtree_2ca027" w:cs="Times New Roman"/>
          <w:b/>
          <w:bCs/>
          <w:i w:val="0"/>
          <w:iCs w:val="0"/>
          <w:color w:val="18181B"/>
          <w:kern w:val="0"/>
          <w:sz w:val="28"/>
          <w:szCs w:val="28"/>
          <w:lang w:eastAsia="en-GB"/>
          <w14:ligatures w14:val="none"/>
        </w:rPr>
        <w:t>Challenges and Solutions</w:t>
      </w:r>
    </w:p>
    <w:p w14:paraId="2BDF8BA6" w14:textId="0C6CDF8D" w:rsidR="004B60D5" w:rsidRPr="004B60D5" w:rsidRDefault="004B60D5" w:rsidP="004B60D5">
      <w:pPr>
        <w:pStyle w:val="NormalWeb"/>
        <w:spacing w:line="360" w:lineRule="auto"/>
        <w:rPr>
          <w:rFonts w:ascii="Arial" w:hAnsi="Arial" w:cs="Arial"/>
          <w:b/>
          <w:bCs/>
          <w:sz w:val="28"/>
          <w:szCs w:val="28"/>
        </w:rPr>
      </w:pPr>
    </w:p>
    <w:p w14:paraId="26505524" w14:textId="77777777"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Issues like unclear responsibilities, ineffective communication, and limited time can obstruct collaborative efforts. To overcome these challenges:</w:t>
      </w:r>
    </w:p>
    <w:p w14:paraId="4D69ED41" w14:textId="77777777" w:rsidR="004B60D5" w:rsidRPr="004B60D5" w:rsidRDefault="004B60D5" w:rsidP="004B60D5">
      <w:pPr>
        <w:numPr>
          <w:ilvl w:val="0"/>
          <w:numId w:val="8"/>
        </w:numPr>
        <w:spacing w:before="100" w:beforeAutospacing="1" w:after="100" w:afterAutospacing="1" w:line="360" w:lineRule="auto"/>
        <w:ind w:left="0"/>
        <w:rPr>
          <w:rFonts w:ascii="Arial" w:eastAsia="Times New Roman" w:hAnsi="Arial" w:cs="Arial"/>
          <w:kern w:val="0"/>
          <w:sz w:val="22"/>
          <w:szCs w:val="22"/>
          <w:lang w:eastAsia="en-GB"/>
          <w14:ligatures w14:val="none"/>
        </w:rPr>
      </w:pPr>
      <w:r w:rsidRPr="004B60D5">
        <w:rPr>
          <w:rFonts w:ascii="Arial" w:eastAsia="Times New Roman" w:hAnsi="Arial" w:cs="Arial"/>
          <w:b/>
          <w:bCs/>
          <w:kern w:val="0"/>
          <w:sz w:val="22"/>
          <w:szCs w:val="22"/>
          <w:lang w:eastAsia="en-GB"/>
          <w14:ligatures w14:val="none"/>
        </w:rPr>
        <w:t>Integrated electronic health records</w:t>
      </w:r>
      <w:r w:rsidRPr="004B60D5">
        <w:rPr>
          <w:rFonts w:ascii="Arial" w:eastAsia="Times New Roman" w:hAnsi="Arial" w:cs="Arial"/>
          <w:kern w:val="0"/>
          <w:sz w:val="22"/>
          <w:szCs w:val="22"/>
          <w:lang w:eastAsia="en-GB"/>
          <w14:ligatures w14:val="none"/>
        </w:rPr>
        <w:t>: Enable healthcare professionals to access up-to-date information instantly, reducing the risk of miscommunication.</w:t>
      </w:r>
    </w:p>
    <w:p w14:paraId="73BFB7F1" w14:textId="77777777" w:rsidR="004B60D5" w:rsidRPr="004B60D5" w:rsidRDefault="004B60D5" w:rsidP="004B60D5">
      <w:pPr>
        <w:numPr>
          <w:ilvl w:val="0"/>
          <w:numId w:val="8"/>
        </w:numPr>
        <w:spacing w:before="100" w:beforeAutospacing="1" w:after="100" w:afterAutospacing="1" w:line="360" w:lineRule="auto"/>
        <w:ind w:left="0"/>
        <w:rPr>
          <w:rFonts w:ascii="Arial" w:eastAsia="Times New Roman" w:hAnsi="Arial" w:cs="Arial"/>
          <w:kern w:val="0"/>
          <w:sz w:val="22"/>
          <w:szCs w:val="22"/>
          <w:lang w:eastAsia="en-GB"/>
          <w14:ligatures w14:val="none"/>
        </w:rPr>
      </w:pPr>
      <w:r w:rsidRPr="004B60D5">
        <w:rPr>
          <w:rFonts w:ascii="Arial" w:eastAsia="Times New Roman" w:hAnsi="Arial" w:cs="Arial"/>
          <w:b/>
          <w:bCs/>
          <w:kern w:val="0"/>
          <w:sz w:val="22"/>
          <w:szCs w:val="22"/>
          <w:lang w:eastAsia="en-GB"/>
          <w14:ligatures w14:val="none"/>
        </w:rPr>
        <w:t>Ongoing case discussions</w:t>
      </w:r>
      <w:r w:rsidRPr="004B60D5">
        <w:rPr>
          <w:rFonts w:ascii="Arial" w:eastAsia="Times New Roman" w:hAnsi="Arial" w:cs="Arial"/>
          <w:kern w:val="0"/>
          <w:sz w:val="22"/>
          <w:szCs w:val="22"/>
          <w:lang w:eastAsia="en-GB"/>
          <w14:ligatures w14:val="none"/>
        </w:rPr>
        <w:t>: Multidisciplinary team (MDT) meetings help define responsibilities, address disagreements, and coordinate care strategies effectively (Laming, 2020).</w:t>
      </w:r>
    </w:p>
    <w:p w14:paraId="1D0096E2" w14:textId="77777777" w:rsidR="004B60D5" w:rsidRPr="004B60D5" w:rsidRDefault="004B60D5" w:rsidP="004B60D5">
      <w:pPr>
        <w:numPr>
          <w:ilvl w:val="0"/>
          <w:numId w:val="8"/>
        </w:numPr>
        <w:spacing w:before="100" w:beforeAutospacing="1" w:after="100" w:afterAutospacing="1" w:line="360" w:lineRule="auto"/>
        <w:ind w:left="0"/>
        <w:rPr>
          <w:rFonts w:ascii="Arial" w:eastAsia="Times New Roman" w:hAnsi="Arial" w:cs="Arial"/>
          <w:kern w:val="0"/>
          <w:sz w:val="22"/>
          <w:szCs w:val="22"/>
          <w:lang w:eastAsia="en-GB"/>
          <w14:ligatures w14:val="none"/>
        </w:rPr>
      </w:pPr>
      <w:r w:rsidRPr="004B60D5">
        <w:rPr>
          <w:rFonts w:ascii="Arial" w:eastAsia="Times New Roman" w:hAnsi="Arial" w:cs="Arial"/>
          <w:b/>
          <w:bCs/>
          <w:kern w:val="0"/>
          <w:sz w:val="22"/>
          <w:szCs w:val="22"/>
          <w:lang w:eastAsia="en-GB"/>
          <w14:ligatures w14:val="none"/>
        </w:rPr>
        <w:t>Communication tool training</w:t>
      </w:r>
      <w:r w:rsidRPr="004B60D5">
        <w:rPr>
          <w:rFonts w:ascii="Arial" w:eastAsia="Times New Roman" w:hAnsi="Arial" w:cs="Arial"/>
          <w:kern w:val="0"/>
          <w:sz w:val="22"/>
          <w:szCs w:val="22"/>
          <w:lang w:eastAsia="en-GB"/>
          <w14:ligatures w14:val="none"/>
        </w:rPr>
        <w:t>: Implementing SBAR supports more structured dialogue and enhances trust among team members.</w:t>
      </w:r>
    </w:p>
    <w:p w14:paraId="0DF9203D" w14:textId="77777777" w:rsidR="004B60D5" w:rsidRPr="004B60D5" w:rsidRDefault="004B60D5" w:rsidP="004B60D5">
      <w:pPr>
        <w:pStyle w:val="NormalWeb"/>
        <w:spacing w:line="360" w:lineRule="auto"/>
        <w:rPr>
          <w:rFonts w:ascii="Arial" w:hAnsi="Arial" w:cs="Arial"/>
          <w:sz w:val="22"/>
          <w:szCs w:val="22"/>
        </w:rPr>
      </w:pPr>
      <w:r w:rsidRPr="004B60D5">
        <w:rPr>
          <w:rFonts w:ascii="Arial" w:hAnsi="Arial" w:cs="Arial"/>
          <w:sz w:val="22"/>
          <w:szCs w:val="22"/>
        </w:rPr>
        <w:t>In summary, teamwork structures and coordinated approaches enhance the quality of care provided while keeping Mrs. Mann’s needs at the heart of all decisions.</w:t>
      </w:r>
    </w:p>
    <w:p w14:paraId="50F5BA35" w14:textId="5E502258" w:rsidR="00BC68E6" w:rsidRPr="004B60D5" w:rsidRDefault="009C2DA4" w:rsidP="004B60D5">
      <w:pPr>
        <w:pStyle w:val="Heading4"/>
        <w:pBdr>
          <w:top w:val="single" w:sz="2" w:space="0" w:color="E4E4E7"/>
          <w:left w:val="single" w:sz="2" w:space="0" w:color="E4E4E7"/>
          <w:bottom w:val="single" w:sz="2" w:space="0" w:color="E4E4E7"/>
          <w:right w:val="single" w:sz="2" w:space="0" w:color="E4E4E7"/>
        </w:pBdr>
        <w:shd w:val="clear" w:color="auto" w:fill="FFFFFF"/>
        <w:spacing w:before="0" w:after="120" w:line="360" w:lineRule="auto"/>
        <w:rPr>
          <w:rFonts w:ascii="Arial" w:eastAsia="Times New Roman" w:hAnsi="Arial" w:cs="Arial"/>
          <w:b/>
          <w:bCs/>
          <w:i w:val="0"/>
          <w:iCs w:val="0"/>
          <w:color w:val="18181B"/>
          <w:kern w:val="0"/>
          <w:sz w:val="32"/>
          <w:szCs w:val="32"/>
          <w:lang w:eastAsia="en-GB"/>
          <w14:ligatures w14:val="none"/>
        </w:rPr>
      </w:pPr>
      <w:r w:rsidRPr="004B60D5">
        <w:rPr>
          <w:rFonts w:ascii="Arial" w:eastAsia="Times New Roman" w:hAnsi="Arial" w:cs="Arial"/>
          <w:b/>
          <w:bCs/>
          <w:i w:val="0"/>
          <w:iCs w:val="0"/>
          <w:color w:val="18181B"/>
          <w:kern w:val="0"/>
          <w:sz w:val="32"/>
          <w:szCs w:val="32"/>
          <w:lang w:eastAsia="en-GB"/>
          <w14:ligatures w14:val="none"/>
        </w:rPr>
        <w:t>Conclusion</w:t>
      </w:r>
    </w:p>
    <w:p w14:paraId="001C21AA" w14:textId="66E6C344" w:rsidR="004179C9" w:rsidRPr="00072DBC" w:rsidRDefault="004179C9" w:rsidP="00072DBC">
      <w:pPr>
        <w:pStyle w:val="NormalWeb"/>
        <w:spacing w:line="360" w:lineRule="auto"/>
        <w:rPr>
          <w:rFonts w:ascii="Arial" w:hAnsi="Arial" w:cs="Arial"/>
          <w:sz w:val="22"/>
          <w:szCs w:val="22"/>
        </w:rPr>
      </w:pPr>
      <w:r w:rsidRPr="00072DBC">
        <w:rPr>
          <w:rFonts w:ascii="Arial" w:hAnsi="Arial" w:cs="Arial"/>
          <w:sz w:val="22"/>
          <w:szCs w:val="22"/>
        </w:rPr>
        <w:t xml:space="preserve">This report has highlighted the importance of clear communication, strong organisational abilities, and collaborative teamwork among professionals as key elements in delivering safe, comprehensive care for Mrs. Mann. Approaches like employing interpreters and adopting culturally respectful communication help meet her language requirements while supporting the principles of the Equality Act 2010 by fostering fairness and removing obstacles. Likewise, </w:t>
      </w:r>
      <w:r w:rsidR="004B60D5" w:rsidRPr="00072DBC">
        <w:rPr>
          <w:rFonts w:ascii="Arial" w:hAnsi="Arial" w:cs="Arial"/>
          <w:sz w:val="22"/>
          <w:szCs w:val="22"/>
        </w:rPr>
        <w:t>supporting</w:t>
      </w:r>
      <w:r w:rsidRPr="00072DBC">
        <w:rPr>
          <w:rFonts w:ascii="Arial" w:hAnsi="Arial" w:cs="Arial"/>
          <w:sz w:val="22"/>
          <w:szCs w:val="22"/>
        </w:rPr>
        <w:t xml:space="preserve"> precise and legally compliant records in line with the Data Protection Act 2018 protects her confidential information and ensures her care plans </w:t>
      </w:r>
      <w:r w:rsidR="005312AA" w:rsidRPr="00072DBC">
        <w:rPr>
          <w:rFonts w:ascii="Arial" w:hAnsi="Arial" w:cs="Arial"/>
          <w:sz w:val="22"/>
          <w:szCs w:val="22"/>
        </w:rPr>
        <w:t>stay</w:t>
      </w:r>
      <w:r w:rsidRPr="00072DBC">
        <w:rPr>
          <w:rFonts w:ascii="Arial" w:hAnsi="Arial" w:cs="Arial"/>
          <w:sz w:val="22"/>
          <w:szCs w:val="22"/>
        </w:rPr>
        <w:t xml:space="preserve"> current.</w:t>
      </w:r>
    </w:p>
    <w:p w14:paraId="6FE12DF2" w14:textId="77777777" w:rsidR="00551EDD" w:rsidRPr="00072DBC" w:rsidRDefault="004179C9" w:rsidP="00072DBC">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color w:val="3F3F46"/>
          <w:kern w:val="0"/>
          <w:sz w:val="22"/>
          <w:szCs w:val="22"/>
          <w:lang w:eastAsia="en-GB"/>
          <w14:ligatures w14:val="none"/>
        </w:rPr>
      </w:pPr>
      <w:bookmarkStart w:id="6" w:name="_Hlk213451148"/>
      <w:r w:rsidRPr="00072DBC">
        <w:rPr>
          <w:rFonts w:ascii="Arial" w:hAnsi="Arial" w:cs="Arial"/>
          <w:sz w:val="22"/>
          <w:szCs w:val="22"/>
        </w:rPr>
        <w:t xml:space="preserve">Working together as a team—her physiotherapist, GP, carers, and family—has been recognised as essential for reaching common </w:t>
      </w:r>
      <w:r w:rsidR="004B60D5" w:rsidRPr="00072DBC">
        <w:rPr>
          <w:rFonts w:ascii="Arial" w:hAnsi="Arial" w:cs="Arial"/>
          <w:sz w:val="22"/>
          <w:szCs w:val="22"/>
        </w:rPr>
        <w:t>aims</w:t>
      </w:r>
      <w:r w:rsidRPr="00072DBC">
        <w:rPr>
          <w:rFonts w:ascii="Arial" w:hAnsi="Arial" w:cs="Arial"/>
          <w:sz w:val="22"/>
          <w:szCs w:val="22"/>
        </w:rPr>
        <w:t>, supporting her mobility progress, and promoting greater independence.</w:t>
      </w:r>
      <w:r w:rsidR="009C2DA4" w:rsidRPr="00072DBC">
        <w:rPr>
          <w:rFonts w:ascii="Arial" w:hAnsi="Arial" w:cs="Arial"/>
          <w:sz w:val="22"/>
          <w:szCs w:val="22"/>
        </w:rPr>
        <w:t xml:space="preserve"> Care that places the individual at the heart of decision-making and incorporates these key components helps build trust, encourages openness, and leads to improved outcomes. By following these approaches and upholding professional standards, practitioners can successfully address service users’ needs while </w:t>
      </w:r>
      <w:r w:rsidR="004B60D5" w:rsidRPr="00072DBC">
        <w:rPr>
          <w:rFonts w:ascii="Arial" w:hAnsi="Arial" w:cs="Arial"/>
          <w:sz w:val="22"/>
          <w:szCs w:val="22"/>
        </w:rPr>
        <w:t>staying</w:t>
      </w:r>
      <w:r w:rsidR="009C2DA4" w:rsidRPr="00072DBC">
        <w:rPr>
          <w:rFonts w:ascii="Arial" w:hAnsi="Arial" w:cs="Arial"/>
          <w:sz w:val="22"/>
          <w:szCs w:val="22"/>
        </w:rPr>
        <w:t xml:space="preserve"> compliant with ethical and legal obligations (NHS England, 2018; Laming, 2020).</w:t>
      </w:r>
      <w:r w:rsidR="00551EDD" w:rsidRPr="00072DBC">
        <w:rPr>
          <w:rFonts w:ascii="Arial" w:eastAsia="Times New Roman" w:hAnsi="Arial" w:cs="Arial"/>
          <w:color w:val="3F3F46"/>
          <w:kern w:val="0"/>
          <w:sz w:val="22"/>
          <w:szCs w:val="22"/>
          <w:lang w:eastAsia="en-GB"/>
          <w14:ligatures w14:val="none"/>
        </w:rPr>
        <w:t xml:space="preserve"> </w:t>
      </w:r>
    </w:p>
    <w:bookmarkEnd w:id="0"/>
    <w:bookmarkEnd w:id="6"/>
    <w:p w14:paraId="75DD9097" w14:textId="77777777" w:rsidR="00551EDD" w:rsidRDefault="00551EDD" w:rsidP="00072DBC">
      <w:pPr>
        <w:pBdr>
          <w:top w:val="single" w:sz="2" w:space="0" w:color="E4E4E7"/>
          <w:left w:val="single" w:sz="2" w:space="0" w:color="E4E4E7"/>
          <w:bottom w:val="single" w:sz="2" w:space="0" w:color="E4E4E7"/>
          <w:right w:val="single" w:sz="2" w:space="0" w:color="E4E4E7"/>
        </w:pBdr>
        <w:shd w:val="clear" w:color="auto" w:fill="FFFFFF"/>
        <w:spacing w:before="120" w:after="120" w:line="240" w:lineRule="auto"/>
        <w:ind w:left="709"/>
        <w:rPr>
          <w:rFonts w:ascii="__Figtree_2ca027" w:eastAsia="Times New Roman" w:hAnsi="__Figtree_2ca027" w:cs="Times New Roman"/>
          <w:color w:val="3F3F46"/>
          <w:kern w:val="0"/>
          <w:szCs w:val="24"/>
          <w:lang w:eastAsia="en-GB"/>
          <w14:ligatures w14:val="none"/>
        </w:rPr>
      </w:pPr>
    </w:p>
    <w:p w14:paraId="1D99803D" w14:textId="2CB8099D" w:rsidR="00551EDD" w:rsidRDefault="00551EDD" w:rsidP="007622D4">
      <w:pPr>
        <w:pStyle w:val="Heading3"/>
        <w:pBdr>
          <w:top w:val="single" w:sz="2" w:space="0" w:color="E4E4E7"/>
          <w:left w:val="single" w:sz="2" w:space="0" w:color="E4E4E7"/>
          <w:bottom w:val="single" w:sz="2" w:space="0" w:color="E4E4E7"/>
          <w:right w:val="single" w:sz="2" w:space="0" w:color="E4E4E7"/>
        </w:pBdr>
        <w:shd w:val="clear" w:color="auto" w:fill="FFFFFF"/>
        <w:spacing w:before="0" w:after="144"/>
        <w:rPr>
          <w:rFonts w:ascii="__Figtree_2ca027" w:eastAsia="Times New Roman" w:hAnsi="__Figtree_2ca027" w:cs="Times New Roman"/>
          <w:b/>
          <w:bCs/>
          <w:color w:val="18181B"/>
          <w:kern w:val="0"/>
          <w:sz w:val="30"/>
          <w:szCs w:val="30"/>
          <w:lang w:eastAsia="en-GB"/>
          <w14:ligatures w14:val="none"/>
        </w:rPr>
      </w:pPr>
      <w:bookmarkStart w:id="7" w:name="_Toc213540988"/>
      <w:r w:rsidRPr="004B60D5">
        <w:rPr>
          <w:rFonts w:ascii="__Figtree_2ca027" w:eastAsia="Times New Roman" w:hAnsi="__Figtree_2ca027" w:cs="Times New Roman"/>
          <w:b/>
          <w:bCs/>
          <w:color w:val="18181B"/>
          <w:kern w:val="0"/>
          <w:sz w:val="30"/>
          <w:szCs w:val="30"/>
          <w:lang w:eastAsia="en-GB"/>
          <w14:ligatures w14:val="none"/>
        </w:rPr>
        <w:lastRenderedPageBreak/>
        <w:t>References</w:t>
      </w:r>
      <w:bookmarkEnd w:id="7"/>
    </w:p>
    <w:p w14:paraId="721F5488" w14:textId="11CA6BE2" w:rsidR="00551EDD" w:rsidRPr="00551EDD" w:rsidRDefault="00551EDD" w:rsidP="00551EDD">
      <w:pPr>
        <w:pStyle w:val="Heading3"/>
        <w:pBdr>
          <w:top w:val="single" w:sz="2" w:space="0" w:color="E4E4E7"/>
          <w:left w:val="single" w:sz="2" w:space="0" w:color="E4E4E7"/>
          <w:bottom w:val="single" w:sz="2" w:space="0" w:color="E4E4E7"/>
          <w:right w:val="single" w:sz="2" w:space="0" w:color="E4E4E7"/>
        </w:pBdr>
        <w:shd w:val="clear" w:color="auto" w:fill="FFFFFF"/>
        <w:spacing w:before="0" w:after="144" w:line="360" w:lineRule="auto"/>
        <w:rPr>
          <w:rFonts w:ascii="Arial" w:eastAsia="Times New Roman" w:hAnsi="Arial" w:cs="Arial"/>
          <w:b/>
          <w:bCs/>
          <w:i/>
          <w:iCs/>
          <w:color w:val="18181B"/>
          <w:kern w:val="0"/>
          <w:sz w:val="22"/>
          <w:szCs w:val="22"/>
          <w:lang w:eastAsia="en-GB"/>
          <w14:ligatures w14:val="none"/>
        </w:rPr>
      </w:pPr>
      <w:bookmarkStart w:id="8" w:name="_Toc213540989"/>
      <w:r w:rsidRPr="00551EDD">
        <w:rPr>
          <w:rFonts w:ascii="Arial" w:eastAsia="Times New Roman" w:hAnsi="Arial" w:cs="Arial"/>
          <w:i/>
          <w:iCs/>
          <w:color w:val="3F3F46"/>
          <w:kern w:val="0"/>
          <w:sz w:val="22"/>
          <w:szCs w:val="22"/>
          <w:lang w:eastAsia="en-GB"/>
          <w14:ligatures w14:val="none"/>
        </w:rPr>
        <w:t>British Standards Institution, 2020. </w:t>
      </w:r>
      <w:r w:rsidRPr="00551EDD">
        <w:rPr>
          <w:rFonts w:ascii="Arial" w:eastAsia="Times New Roman" w:hAnsi="Arial" w:cs="Arial"/>
          <w:i/>
          <w:iCs/>
          <w:color w:val="3F3F46"/>
          <w:kern w:val="0"/>
          <w:sz w:val="22"/>
          <w:szCs w:val="22"/>
          <w:bdr w:val="single" w:sz="2" w:space="0" w:color="E4E4E7" w:frame="1"/>
          <w:lang w:eastAsia="en-GB"/>
          <w14:ligatures w14:val="none"/>
        </w:rPr>
        <w:t>BSI SBAR communication tool in healthcare</w:t>
      </w:r>
      <w:r w:rsidRPr="00551EDD">
        <w:rPr>
          <w:rFonts w:ascii="Arial" w:eastAsia="Times New Roman" w:hAnsi="Arial" w:cs="Arial"/>
          <w:i/>
          <w:iCs/>
          <w:color w:val="3F3F46"/>
          <w:kern w:val="0"/>
          <w:sz w:val="22"/>
          <w:szCs w:val="22"/>
          <w:lang w:eastAsia="en-GB"/>
          <w14:ligatures w14:val="none"/>
        </w:rPr>
        <w:t>. London: BSI.</w:t>
      </w:r>
      <w:bookmarkEnd w:id="8"/>
    </w:p>
    <w:p w14:paraId="36FAD8F2"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British Standards Institution, 2020. </w:t>
      </w:r>
      <w:r w:rsidRPr="00551EDD">
        <w:rPr>
          <w:rFonts w:ascii="Arial" w:eastAsia="Times New Roman" w:hAnsi="Arial" w:cs="Arial"/>
          <w:i/>
          <w:iCs/>
          <w:color w:val="3F3F46"/>
          <w:kern w:val="0"/>
          <w:sz w:val="22"/>
          <w:szCs w:val="22"/>
          <w:bdr w:val="single" w:sz="2" w:space="0" w:color="E4E4E7" w:frame="1"/>
          <w:lang w:eastAsia="en-GB"/>
          <w14:ligatures w14:val="none"/>
        </w:rPr>
        <w:t>BSI Standards in Healthcare Documentation</w:t>
      </w:r>
      <w:r w:rsidRPr="00551EDD">
        <w:rPr>
          <w:rFonts w:ascii="Arial" w:eastAsia="Times New Roman" w:hAnsi="Arial" w:cs="Arial"/>
          <w:i/>
          <w:iCs/>
          <w:color w:val="3F3F46"/>
          <w:kern w:val="0"/>
          <w:sz w:val="22"/>
          <w:szCs w:val="22"/>
          <w:lang w:eastAsia="en-GB"/>
          <w14:ligatures w14:val="none"/>
        </w:rPr>
        <w:t>. London: BSI.</w:t>
      </w:r>
    </w:p>
    <w:p w14:paraId="50619959"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Equality Act 2010, CH.15. </w:t>
      </w:r>
      <w:r w:rsidRPr="00551EDD">
        <w:rPr>
          <w:rFonts w:ascii="Arial" w:eastAsia="Times New Roman" w:hAnsi="Arial" w:cs="Arial"/>
          <w:i/>
          <w:iCs/>
          <w:color w:val="3F3F46"/>
          <w:kern w:val="0"/>
          <w:sz w:val="22"/>
          <w:szCs w:val="22"/>
          <w:bdr w:val="single" w:sz="2" w:space="0" w:color="E4E4E7" w:frame="1"/>
          <w:lang w:eastAsia="en-GB"/>
          <w14:ligatures w14:val="none"/>
        </w:rPr>
        <w:t>Equality Act 2010</w:t>
      </w:r>
      <w:r w:rsidRPr="00551EDD">
        <w:rPr>
          <w:rFonts w:ascii="Arial" w:eastAsia="Times New Roman" w:hAnsi="Arial" w:cs="Arial"/>
          <w:i/>
          <w:iCs/>
          <w:color w:val="3F3F46"/>
          <w:kern w:val="0"/>
          <w:sz w:val="22"/>
          <w:szCs w:val="22"/>
          <w:lang w:eastAsia="en-GB"/>
          <w14:ligatures w14:val="none"/>
        </w:rPr>
        <w:t>. Available at: Equality Act 2010 (Accessed: 2 November 2025).</w:t>
      </w:r>
    </w:p>
    <w:p w14:paraId="4B44D894"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Equality Act, 2010. </w:t>
      </w:r>
      <w:r w:rsidRPr="00551EDD">
        <w:rPr>
          <w:rFonts w:ascii="Arial" w:eastAsia="Times New Roman" w:hAnsi="Arial" w:cs="Arial"/>
          <w:i/>
          <w:iCs/>
          <w:color w:val="3F3F46"/>
          <w:kern w:val="0"/>
          <w:sz w:val="22"/>
          <w:szCs w:val="22"/>
          <w:bdr w:val="single" w:sz="2" w:space="0" w:color="E4E4E7" w:frame="1"/>
          <w:lang w:eastAsia="en-GB"/>
          <w14:ligatures w14:val="none"/>
        </w:rPr>
        <w:t>Equality Act 2010</w:t>
      </w:r>
      <w:r w:rsidRPr="00551EDD">
        <w:rPr>
          <w:rFonts w:ascii="Arial" w:eastAsia="Times New Roman" w:hAnsi="Arial" w:cs="Arial"/>
          <w:i/>
          <w:iCs/>
          <w:color w:val="3F3F46"/>
          <w:kern w:val="0"/>
          <w:sz w:val="22"/>
          <w:szCs w:val="22"/>
          <w:lang w:eastAsia="en-GB"/>
          <w14:ligatures w14:val="none"/>
        </w:rPr>
        <w:t>. London: HMSO.</w:t>
      </w:r>
    </w:p>
    <w:p w14:paraId="2B35792A"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Laming, H., 2020. </w:t>
      </w:r>
      <w:r w:rsidRPr="00551EDD">
        <w:rPr>
          <w:rFonts w:ascii="Arial" w:eastAsia="Times New Roman" w:hAnsi="Arial" w:cs="Arial"/>
          <w:i/>
          <w:iCs/>
          <w:color w:val="3F3F46"/>
          <w:kern w:val="0"/>
          <w:sz w:val="22"/>
          <w:szCs w:val="22"/>
          <w:bdr w:val="single" w:sz="2" w:space="0" w:color="E4E4E7" w:frame="1"/>
          <w:lang w:eastAsia="en-GB"/>
          <w14:ligatures w14:val="none"/>
        </w:rPr>
        <w:t>Collaborative working in healthcare</w:t>
      </w:r>
      <w:r w:rsidRPr="00551EDD">
        <w:rPr>
          <w:rFonts w:ascii="Arial" w:eastAsia="Times New Roman" w:hAnsi="Arial" w:cs="Arial"/>
          <w:i/>
          <w:iCs/>
          <w:color w:val="3F3F46"/>
          <w:kern w:val="0"/>
          <w:sz w:val="22"/>
          <w:szCs w:val="22"/>
          <w:lang w:eastAsia="en-GB"/>
          <w14:ligatures w14:val="none"/>
        </w:rPr>
        <w:t>. London: HMSO.</w:t>
      </w:r>
    </w:p>
    <w:p w14:paraId="3D75FA1A"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Laming, H., 2020. </w:t>
      </w:r>
      <w:r w:rsidRPr="00551EDD">
        <w:rPr>
          <w:rFonts w:ascii="Arial" w:eastAsia="Times New Roman" w:hAnsi="Arial" w:cs="Arial"/>
          <w:i/>
          <w:iCs/>
          <w:color w:val="3F3F46"/>
          <w:kern w:val="0"/>
          <w:sz w:val="22"/>
          <w:szCs w:val="22"/>
          <w:bdr w:val="single" w:sz="2" w:space="0" w:color="E4E4E7" w:frame="1"/>
          <w:lang w:eastAsia="en-GB"/>
          <w14:ligatures w14:val="none"/>
        </w:rPr>
        <w:t>Records in Healthcare Management</w:t>
      </w:r>
      <w:r w:rsidRPr="00551EDD">
        <w:rPr>
          <w:rFonts w:ascii="Arial" w:eastAsia="Times New Roman" w:hAnsi="Arial" w:cs="Arial"/>
          <w:i/>
          <w:iCs/>
          <w:color w:val="3F3F46"/>
          <w:kern w:val="0"/>
          <w:sz w:val="22"/>
          <w:szCs w:val="22"/>
          <w:lang w:eastAsia="en-GB"/>
          <w14:ligatures w14:val="none"/>
        </w:rPr>
        <w:t>. London: HMSO.</w:t>
      </w:r>
    </w:p>
    <w:p w14:paraId="720899F9"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Laming, P., 2020. </w:t>
      </w:r>
      <w:r w:rsidRPr="00551EDD">
        <w:rPr>
          <w:rFonts w:ascii="Arial" w:eastAsia="Times New Roman" w:hAnsi="Arial" w:cs="Arial"/>
          <w:i/>
          <w:iCs/>
          <w:color w:val="3F3F46"/>
          <w:kern w:val="0"/>
          <w:sz w:val="22"/>
          <w:szCs w:val="22"/>
          <w:bdr w:val="single" w:sz="2" w:space="0" w:color="E4E4E7" w:frame="1"/>
          <w:lang w:eastAsia="en-GB"/>
          <w14:ligatures w14:val="none"/>
        </w:rPr>
        <w:t>Role of Professional Teamwork in Healthcare: Accountability and Trust</w:t>
      </w:r>
      <w:r w:rsidRPr="00551EDD">
        <w:rPr>
          <w:rFonts w:ascii="Arial" w:eastAsia="Times New Roman" w:hAnsi="Arial" w:cs="Arial"/>
          <w:i/>
          <w:iCs/>
          <w:color w:val="3F3F46"/>
          <w:kern w:val="0"/>
          <w:sz w:val="22"/>
          <w:szCs w:val="22"/>
          <w:lang w:eastAsia="en-GB"/>
          <w14:ligatures w14:val="none"/>
        </w:rPr>
        <w:t>. </w:t>
      </w:r>
      <w:r w:rsidRPr="00551EDD">
        <w:rPr>
          <w:rFonts w:ascii="Arial" w:eastAsia="Times New Roman" w:hAnsi="Arial" w:cs="Arial"/>
          <w:i/>
          <w:iCs/>
          <w:color w:val="3F3F46"/>
          <w:kern w:val="0"/>
          <w:sz w:val="22"/>
          <w:szCs w:val="22"/>
          <w:bdr w:val="single" w:sz="2" w:space="0" w:color="E4E4E7" w:frame="1"/>
          <w:lang w:eastAsia="en-GB"/>
          <w14:ligatures w14:val="none"/>
        </w:rPr>
        <w:t>Journal of Healthcare Management</w:t>
      </w:r>
      <w:r w:rsidRPr="00551EDD">
        <w:rPr>
          <w:rFonts w:ascii="Arial" w:eastAsia="Times New Roman" w:hAnsi="Arial" w:cs="Arial"/>
          <w:i/>
          <w:iCs/>
          <w:color w:val="3F3F46"/>
          <w:kern w:val="0"/>
          <w:sz w:val="22"/>
          <w:szCs w:val="22"/>
          <w:lang w:eastAsia="en-GB"/>
          <w14:ligatures w14:val="none"/>
        </w:rPr>
        <w:t>, 45(10), pp. 345-359.</w:t>
      </w:r>
    </w:p>
    <w:p w14:paraId="4F07E030"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NHS England, 2018. </w:t>
      </w:r>
      <w:r w:rsidRPr="00551EDD">
        <w:rPr>
          <w:rFonts w:ascii="Arial" w:eastAsia="Times New Roman" w:hAnsi="Arial" w:cs="Arial"/>
          <w:i/>
          <w:iCs/>
          <w:color w:val="3F3F46"/>
          <w:kern w:val="0"/>
          <w:sz w:val="22"/>
          <w:szCs w:val="22"/>
          <w:bdr w:val="single" w:sz="2" w:space="0" w:color="E4E4E7" w:frame="1"/>
          <w:lang w:eastAsia="en-GB"/>
          <w14:ligatures w14:val="none"/>
        </w:rPr>
        <w:t>Accessible information and communication</w:t>
      </w:r>
      <w:r w:rsidRPr="00551EDD">
        <w:rPr>
          <w:rFonts w:ascii="Arial" w:eastAsia="Times New Roman" w:hAnsi="Arial" w:cs="Arial"/>
          <w:i/>
          <w:iCs/>
          <w:color w:val="3F3F46"/>
          <w:kern w:val="0"/>
          <w:sz w:val="22"/>
          <w:szCs w:val="22"/>
          <w:lang w:eastAsia="en-GB"/>
          <w14:ligatures w14:val="none"/>
        </w:rPr>
        <w:t>. Available at: </w:t>
      </w:r>
      <w:hyperlink r:id="rId12" w:tgtFrame="_blank" w:history="1">
        <w:r w:rsidRPr="00551EDD">
          <w:rPr>
            <w:rFonts w:ascii="Arial" w:eastAsia="Times New Roman" w:hAnsi="Arial" w:cs="Arial"/>
            <w:i/>
            <w:iCs/>
            <w:color w:val="2563EB"/>
            <w:kern w:val="0"/>
            <w:sz w:val="22"/>
            <w:szCs w:val="22"/>
            <w:bdr w:val="single" w:sz="2" w:space="0" w:color="E4E4E7" w:frame="1"/>
            <w:lang w:eastAsia="en-GB"/>
            <w14:ligatures w14:val="none"/>
          </w:rPr>
          <w:t>https://www.england.nhs.uk</w:t>
        </w:r>
      </w:hyperlink>
      <w:r w:rsidRPr="00551EDD">
        <w:rPr>
          <w:rFonts w:ascii="Arial" w:eastAsia="Times New Roman" w:hAnsi="Arial" w:cs="Arial"/>
          <w:i/>
          <w:iCs/>
          <w:color w:val="3F3F46"/>
          <w:kern w:val="0"/>
          <w:sz w:val="22"/>
          <w:szCs w:val="22"/>
          <w:lang w:eastAsia="en-GB"/>
          <w14:ligatures w14:val="none"/>
        </w:rPr>
        <w:t> [Accessed 2 November 2025].</w:t>
      </w:r>
    </w:p>
    <w:p w14:paraId="7C307FA7"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NHS England, 2018. </w:t>
      </w:r>
      <w:r w:rsidRPr="00551EDD">
        <w:rPr>
          <w:rFonts w:ascii="Arial" w:eastAsia="Times New Roman" w:hAnsi="Arial" w:cs="Arial"/>
          <w:i/>
          <w:iCs/>
          <w:color w:val="3F3F46"/>
          <w:kern w:val="0"/>
          <w:sz w:val="22"/>
          <w:szCs w:val="22"/>
          <w:bdr w:val="single" w:sz="2" w:space="0" w:color="E4E4E7" w:frame="1"/>
          <w:lang w:eastAsia="en-GB"/>
          <w14:ligatures w14:val="none"/>
        </w:rPr>
        <w:t>Data Protection Guidelines for Patient Health Records</w:t>
      </w:r>
      <w:r w:rsidRPr="00551EDD">
        <w:rPr>
          <w:rFonts w:ascii="Arial" w:eastAsia="Times New Roman" w:hAnsi="Arial" w:cs="Arial"/>
          <w:i/>
          <w:iCs/>
          <w:color w:val="3F3F46"/>
          <w:kern w:val="0"/>
          <w:sz w:val="22"/>
          <w:szCs w:val="22"/>
          <w:lang w:eastAsia="en-GB"/>
          <w14:ligatures w14:val="none"/>
        </w:rPr>
        <w:t>. Available at: NHS England (Accessed: 2 November 2025).</w:t>
      </w:r>
    </w:p>
    <w:p w14:paraId="6B9E3149"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NHS England, 2018. </w:t>
      </w:r>
      <w:r w:rsidRPr="00551EDD">
        <w:rPr>
          <w:rFonts w:ascii="Arial" w:eastAsia="Times New Roman" w:hAnsi="Arial" w:cs="Arial"/>
          <w:i/>
          <w:iCs/>
          <w:color w:val="3F3F46"/>
          <w:kern w:val="0"/>
          <w:sz w:val="22"/>
          <w:szCs w:val="22"/>
          <w:bdr w:val="single" w:sz="2" w:space="0" w:color="E4E4E7" w:frame="1"/>
          <w:lang w:eastAsia="en-GB"/>
          <w14:ligatures w14:val="none"/>
        </w:rPr>
        <w:t>Health Record Management Guidance</w:t>
      </w:r>
      <w:r w:rsidRPr="00551EDD">
        <w:rPr>
          <w:rFonts w:ascii="Arial" w:eastAsia="Times New Roman" w:hAnsi="Arial" w:cs="Arial"/>
          <w:i/>
          <w:iCs/>
          <w:color w:val="3F3F46"/>
          <w:kern w:val="0"/>
          <w:sz w:val="22"/>
          <w:szCs w:val="22"/>
          <w:lang w:eastAsia="en-GB"/>
          <w14:ligatures w14:val="none"/>
        </w:rPr>
        <w:t>. Available at: </w:t>
      </w:r>
      <w:hyperlink r:id="rId13" w:tgtFrame="_blank" w:history="1">
        <w:r w:rsidRPr="00551EDD">
          <w:rPr>
            <w:rFonts w:ascii="Arial" w:eastAsia="Times New Roman" w:hAnsi="Arial" w:cs="Arial"/>
            <w:i/>
            <w:iCs/>
            <w:color w:val="2563EB"/>
            <w:kern w:val="0"/>
            <w:sz w:val="22"/>
            <w:szCs w:val="22"/>
            <w:bdr w:val="single" w:sz="2" w:space="0" w:color="E4E4E7" w:frame="1"/>
            <w:lang w:eastAsia="en-GB"/>
            <w14:ligatures w14:val="none"/>
          </w:rPr>
          <w:t>https://www.england.nhs.uk</w:t>
        </w:r>
      </w:hyperlink>
      <w:r w:rsidRPr="00551EDD">
        <w:rPr>
          <w:rFonts w:ascii="Arial" w:eastAsia="Times New Roman" w:hAnsi="Arial" w:cs="Arial"/>
          <w:i/>
          <w:iCs/>
          <w:color w:val="3F3F46"/>
          <w:kern w:val="0"/>
          <w:sz w:val="22"/>
          <w:szCs w:val="22"/>
          <w:lang w:eastAsia="en-GB"/>
          <w14:ligatures w14:val="none"/>
        </w:rPr>
        <w:t> [Accessed 3 November 2025].</w:t>
      </w:r>
    </w:p>
    <w:p w14:paraId="2ED5B508"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NICE, 2022. </w:t>
      </w:r>
      <w:r w:rsidRPr="00551EDD">
        <w:rPr>
          <w:rFonts w:ascii="Arial" w:eastAsia="Times New Roman" w:hAnsi="Arial" w:cs="Arial"/>
          <w:i/>
          <w:iCs/>
          <w:color w:val="3F3F46"/>
          <w:kern w:val="0"/>
          <w:sz w:val="22"/>
          <w:szCs w:val="22"/>
          <w:bdr w:val="single" w:sz="2" w:space="0" w:color="E4E4E7" w:frame="1"/>
          <w:lang w:eastAsia="en-GB"/>
          <w14:ligatures w14:val="none"/>
        </w:rPr>
        <w:t>Effective teamwork in rehabilitation</w:t>
      </w:r>
      <w:r w:rsidRPr="00551EDD">
        <w:rPr>
          <w:rFonts w:ascii="Arial" w:eastAsia="Times New Roman" w:hAnsi="Arial" w:cs="Arial"/>
          <w:i/>
          <w:iCs/>
          <w:color w:val="3F3F46"/>
          <w:kern w:val="0"/>
          <w:sz w:val="22"/>
          <w:szCs w:val="22"/>
          <w:lang w:eastAsia="en-GB"/>
          <w14:ligatures w14:val="none"/>
        </w:rPr>
        <w:t>. Available at: </w:t>
      </w:r>
      <w:hyperlink r:id="rId14" w:tgtFrame="_blank" w:history="1">
        <w:r w:rsidRPr="00551EDD">
          <w:rPr>
            <w:rFonts w:ascii="Arial" w:eastAsia="Times New Roman" w:hAnsi="Arial" w:cs="Arial"/>
            <w:i/>
            <w:iCs/>
            <w:color w:val="2563EB"/>
            <w:kern w:val="0"/>
            <w:sz w:val="22"/>
            <w:szCs w:val="22"/>
            <w:bdr w:val="single" w:sz="2" w:space="0" w:color="E4E4E7" w:frame="1"/>
            <w:lang w:eastAsia="en-GB"/>
            <w14:ligatures w14:val="none"/>
          </w:rPr>
          <w:t>https://www.nice.org.uk</w:t>
        </w:r>
      </w:hyperlink>
      <w:r w:rsidRPr="00551EDD">
        <w:rPr>
          <w:rFonts w:ascii="Arial" w:eastAsia="Times New Roman" w:hAnsi="Arial" w:cs="Arial"/>
          <w:i/>
          <w:iCs/>
          <w:color w:val="3F3F46"/>
          <w:kern w:val="0"/>
          <w:sz w:val="22"/>
          <w:szCs w:val="22"/>
          <w:lang w:eastAsia="en-GB"/>
          <w14:ligatures w14:val="none"/>
        </w:rPr>
        <w:t> [Accessed 2 November 2025].</w:t>
      </w:r>
    </w:p>
    <w:p w14:paraId="578EC2F4"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NICE, 2022. </w:t>
      </w:r>
      <w:r w:rsidRPr="00551EDD">
        <w:rPr>
          <w:rFonts w:ascii="Arial" w:eastAsia="Times New Roman" w:hAnsi="Arial" w:cs="Arial"/>
          <w:i/>
          <w:iCs/>
          <w:color w:val="3F3F46"/>
          <w:kern w:val="0"/>
          <w:sz w:val="22"/>
          <w:szCs w:val="22"/>
          <w:bdr w:val="single" w:sz="2" w:space="0" w:color="E4E4E7" w:frame="1"/>
          <w:lang w:eastAsia="en-GB"/>
          <w14:ligatures w14:val="none"/>
        </w:rPr>
        <w:t>Guidelines on Culturally Sensitive and Collaborative Care</w:t>
      </w:r>
      <w:r w:rsidRPr="00551EDD">
        <w:rPr>
          <w:rFonts w:ascii="Arial" w:eastAsia="Times New Roman" w:hAnsi="Arial" w:cs="Arial"/>
          <w:i/>
          <w:iCs/>
          <w:color w:val="3F3F46"/>
          <w:kern w:val="0"/>
          <w:sz w:val="22"/>
          <w:szCs w:val="22"/>
          <w:lang w:eastAsia="en-GB"/>
          <w14:ligatures w14:val="none"/>
        </w:rPr>
        <w:t>. Available at: NICE Guidelines (Accessed: 2 November 2025).</w:t>
      </w:r>
    </w:p>
    <w:p w14:paraId="1AD9FCAF"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NICE, 2022. </w:t>
      </w:r>
      <w:r w:rsidRPr="00551EDD">
        <w:rPr>
          <w:rFonts w:ascii="Arial" w:eastAsia="Times New Roman" w:hAnsi="Arial" w:cs="Arial"/>
          <w:i/>
          <w:iCs/>
          <w:color w:val="3F3F46"/>
          <w:kern w:val="0"/>
          <w:sz w:val="22"/>
          <w:szCs w:val="22"/>
          <w:bdr w:val="single" w:sz="2" w:space="0" w:color="E4E4E7" w:frame="1"/>
          <w:lang w:eastAsia="en-GB"/>
          <w14:ligatures w14:val="none"/>
        </w:rPr>
        <w:t>Maintaining Accurate Records in Healthcare</w:t>
      </w:r>
      <w:r w:rsidRPr="00551EDD">
        <w:rPr>
          <w:rFonts w:ascii="Arial" w:eastAsia="Times New Roman" w:hAnsi="Arial" w:cs="Arial"/>
          <w:i/>
          <w:iCs/>
          <w:color w:val="3F3F46"/>
          <w:kern w:val="0"/>
          <w:sz w:val="22"/>
          <w:szCs w:val="22"/>
          <w:lang w:eastAsia="en-GB"/>
          <w14:ligatures w14:val="none"/>
        </w:rPr>
        <w:t>. Available at: </w:t>
      </w:r>
      <w:hyperlink r:id="rId15" w:tgtFrame="_blank" w:history="1">
        <w:r w:rsidRPr="00551EDD">
          <w:rPr>
            <w:rFonts w:ascii="Arial" w:eastAsia="Times New Roman" w:hAnsi="Arial" w:cs="Arial"/>
            <w:i/>
            <w:iCs/>
            <w:color w:val="2563EB"/>
            <w:kern w:val="0"/>
            <w:sz w:val="22"/>
            <w:szCs w:val="22"/>
            <w:bdr w:val="single" w:sz="2" w:space="0" w:color="E4E4E7" w:frame="1"/>
            <w:lang w:eastAsia="en-GB"/>
            <w14:ligatures w14:val="none"/>
          </w:rPr>
          <w:t>https://www.nice.org.uk</w:t>
        </w:r>
      </w:hyperlink>
      <w:r w:rsidRPr="00551EDD">
        <w:rPr>
          <w:rFonts w:ascii="Arial" w:eastAsia="Times New Roman" w:hAnsi="Arial" w:cs="Arial"/>
          <w:i/>
          <w:iCs/>
          <w:color w:val="3F3F46"/>
          <w:kern w:val="0"/>
          <w:sz w:val="22"/>
          <w:szCs w:val="22"/>
          <w:lang w:eastAsia="en-GB"/>
          <w14:ligatures w14:val="none"/>
        </w:rPr>
        <w:t> [Accessed 3 November 2025].</w:t>
      </w:r>
    </w:p>
    <w:p w14:paraId="37BF8A96" w14:textId="77777777" w:rsidR="00551EDD" w:rsidRPr="00551EDD"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51EDD">
        <w:rPr>
          <w:rFonts w:ascii="Arial" w:eastAsia="Times New Roman" w:hAnsi="Arial" w:cs="Arial"/>
          <w:i/>
          <w:iCs/>
          <w:color w:val="3F3F46"/>
          <w:kern w:val="0"/>
          <w:sz w:val="22"/>
          <w:szCs w:val="22"/>
          <w:lang w:eastAsia="en-GB"/>
          <w14:ligatures w14:val="none"/>
        </w:rPr>
        <w:t>Shannon, C.E. &amp; Weaver, W., 1948. </w:t>
      </w:r>
      <w:r w:rsidRPr="00551EDD">
        <w:rPr>
          <w:rFonts w:ascii="Arial" w:eastAsia="Times New Roman" w:hAnsi="Arial" w:cs="Arial"/>
          <w:i/>
          <w:iCs/>
          <w:color w:val="3F3F46"/>
          <w:kern w:val="0"/>
          <w:sz w:val="22"/>
          <w:szCs w:val="22"/>
          <w:bdr w:val="single" w:sz="2" w:space="0" w:color="E4E4E7" w:frame="1"/>
          <w:lang w:eastAsia="en-GB"/>
          <w14:ligatures w14:val="none"/>
        </w:rPr>
        <w:t>The mathematical theory of communication</w:t>
      </w:r>
      <w:r w:rsidRPr="00551EDD">
        <w:rPr>
          <w:rFonts w:ascii="Arial" w:eastAsia="Times New Roman" w:hAnsi="Arial" w:cs="Arial"/>
          <w:i/>
          <w:iCs/>
          <w:color w:val="3F3F46"/>
          <w:kern w:val="0"/>
          <w:sz w:val="22"/>
          <w:szCs w:val="22"/>
          <w:lang w:eastAsia="en-GB"/>
          <w14:ligatures w14:val="none"/>
        </w:rPr>
        <w:t>. Urbana-Champaign, IL: University of Illinois Press.</w:t>
      </w:r>
    </w:p>
    <w:p w14:paraId="2E3536CC" w14:textId="4A345B22" w:rsidR="009C2DA4" w:rsidRPr="004B60D5" w:rsidRDefault="009C2DA4" w:rsidP="004B60D5">
      <w:pPr>
        <w:pStyle w:val="NormalWeb"/>
        <w:spacing w:line="360" w:lineRule="auto"/>
        <w:rPr>
          <w:rFonts w:ascii="Arial" w:hAnsi="Arial" w:cs="Arial"/>
          <w:sz w:val="22"/>
          <w:szCs w:val="22"/>
        </w:rPr>
      </w:pPr>
    </w:p>
    <w:sectPr w:rsidR="009C2DA4" w:rsidRPr="004B60D5" w:rsidSect="00017363">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E84F3" w14:textId="77777777" w:rsidR="004F5D52" w:rsidRDefault="004F5D52" w:rsidP="00072DBC">
      <w:pPr>
        <w:spacing w:after="0" w:line="240" w:lineRule="auto"/>
      </w:pPr>
      <w:r>
        <w:separator/>
      </w:r>
    </w:p>
  </w:endnote>
  <w:endnote w:type="continuationSeparator" w:id="0">
    <w:p w14:paraId="5B737182" w14:textId="77777777" w:rsidR="004F5D52" w:rsidRDefault="004F5D52" w:rsidP="00072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__Figtree_2ca027">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EADA5" w14:textId="77777777" w:rsidR="004F5D52" w:rsidRDefault="004F5D52" w:rsidP="00072DBC">
      <w:pPr>
        <w:spacing w:after="0" w:line="240" w:lineRule="auto"/>
      </w:pPr>
      <w:r>
        <w:separator/>
      </w:r>
    </w:p>
  </w:footnote>
  <w:footnote w:type="continuationSeparator" w:id="0">
    <w:p w14:paraId="66D8C314" w14:textId="77777777" w:rsidR="004F5D52" w:rsidRDefault="004F5D52" w:rsidP="00072D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741070"/>
      <w:docPartObj>
        <w:docPartGallery w:val="Page Numbers (Top of Page)"/>
        <w:docPartUnique/>
      </w:docPartObj>
    </w:sdtPr>
    <w:sdtContent>
      <w:p w14:paraId="70DCD4BF" w14:textId="77BFF53D" w:rsidR="00F83584" w:rsidRDefault="00F83584">
        <w:pPr>
          <w:pStyle w:val="Header"/>
          <w:jc w:val="right"/>
        </w:pPr>
        <w:r>
          <w:fldChar w:fldCharType="begin"/>
        </w:r>
        <w:r>
          <w:instrText>PAGE   \* MERGEFORMAT</w:instrText>
        </w:r>
        <w:r>
          <w:fldChar w:fldCharType="separate"/>
        </w:r>
        <w:r>
          <w:t>2</w:t>
        </w:r>
        <w:r>
          <w:fldChar w:fldCharType="end"/>
        </w:r>
      </w:p>
    </w:sdtContent>
  </w:sdt>
  <w:p w14:paraId="659DE9A4" w14:textId="77777777" w:rsidR="00F83584" w:rsidRDefault="00F83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A15F3"/>
    <w:multiLevelType w:val="multilevel"/>
    <w:tmpl w:val="7F58E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72285A"/>
    <w:multiLevelType w:val="multilevel"/>
    <w:tmpl w:val="96B41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8D4ABD"/>
    <w:multiLevelType w:val="multilevel"/>
    <w:tmpl w:val="0BC62168"/>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Times New Roman" w:eastAsia="Times New Roman" w:hAnsi="Times New Roman" w:cs="Times New Roman"/>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194406F"/>
    <w:multiLevelType w:val="multilevel"/>
    <w:tmpl w:val="5AC4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A67D19"/>
    <w:multiLevelType w:val="multilevel"/>
    <w:tmpl w:val="136EC7FC"/>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5" w15:restartNumberingAfterBreak="0">
    <w:nsid w:val="4C8A0C16"/>
    <w:multiLevelType w:val="multilevel"/>
    <w:tmpl w:val="CBF03766"/>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E87C50"/>
    <w:multiLevelType w:val="multilevel"/>
    <w:tmpl w:val="B136D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21483A"/>
    <w:multiLevelType w:val="multilevel"/>
    <w:tmpl w:val="5A88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1C6BF5"/>
    <w:multiLevelType w:val="multilevel"/>
    <w:tmpl w:val="C11E3130"/>
    <w:lvl w:ilvl="0">
      <w:start w:val="1"/>
      <w:numFmt w:val="decimal"/>
      <w:lvlText w:val="%1."/>
      <w:lvlJc w:val="left"/>
      <w:pPr>
        <w:tabs>
          <w:tab w:val="num" w:pos="1069"/>
        </w:tabs>
        <w:ind w:left="1069" w:hanging="360"/>
      </w:pPr>
    </w:lvl>
    <w:lvl w:ilvl="1" w:tentative="1">
      <w:start w:val="1"/>
      <w:numFmt w:val="decimal"/>
      <w:lvlText w:val="%2."/>
      <w:lvlJc w:val="left"/>
      <w:pPr>
        <w:tabs>
          <w:tab w:val="num" w:pos="1789"/>
        </w:tabs>
        <w:ind w:left="1789" w:hanging="360"/>
      </w:pPr>
    </w:lvl>
    <w:lvl w:ilvl="2" w:tentative="1">
      <w:start w:val="1"/>
      <w:numFmt w:val="decimal"/>
      <w:lvlText w:val="%3."/>
      <w:lvlJc w:val="left"/>
      <w:pPr>
        <w:tabs>
          <w:tab w:val="num" w:pos="2509"/>
        </w:tabs>
        <w:ind w:left="2509" w:hanging="360"/>
      </w:pPr>
    </w:lvl>
    <w:lvl w:ilvl="3" w:tentative="1">
      <w:start w:val="1"/>
      <w:numFmt w:val="decimal"/>
      <w:lvlText w:val="%4."/>
      <w:lvlJc w:val="left"/>
      <w:pPr>
        <w:tabs>
          <w:tab w:val="num" w:pos="3229"/>
        </w:tabs>
        <w:ind w:left="3229" w:hanging="360"/>
      </w:pPr>
    </w:lvl>
    <w:lvl w:ilvl="4" w:tentative="1">
      <w:start w:val="1"/>
      <w:numFmt w:val="decimal"/>
      <w:lvlText w:val="%5."/>
      <w:lvlJc w:val="left"/>
      <w:pPr>
        <w:tabs>
          <w:tab w:val="num" w:pos="3949"/>
        </w:tabs>
        <w:ind w:left="3949" w:hanging="360"/>
      </w:pPr>
    </w:lvl>
    <w:lvl w:ilvl="5" w:tentative="1">
      <w:start w:val="1"/>
      <w:numFmt w:val="decimal"/>
      <w:lvlText w:val="%6."/>
      <w:lvlJc w:val="left"/>
      <w:pPr>
        <w:tabs>
          <w:tab w:val="num" w:pos="4669"/>
        </w:tabs>
        <w:ind w:left="4669" w:hanging="360"/>
      </w:pPr>
    </w:lvl>
    <w:lvl w:ilvl="6" w:tentative="1">
      <w:start w:val="1"/>
      <w:numFmt w:val="decimal"/>
      <w:lvlText w:val="%7."/>
      <w:lvlJc w:val="left"/>
      <w:pPr>
        <w:tabs>
          <w:tab w:val="num" w:pos="5389"/>
        </w:tabs>
        <w:ind w:left="5389" w:hanging="360"/>
      </w:pPr>
    </w:lvl>
    <w:lvl w:ilvl="7" w:tentative="1">
      <w:start w:val="1"/>
      <w:numFmt w:val="decimal"/>
      <w:lvlText w:val="%8."/>
      <w:lvlJc w:val="left"/>
      <w:pPr>
        <w:tabs>
          <w:tab w:val="num" w:pos="6109"/>
        </w:tabs>
        <w:ind w:left="6109" w:hanging="360"/>
      </w:pPr>
    </w:lvl>
    <w:lvl w:ilvl="8" w:tentative="1">
      <w:start w:val="1"/>
      <w:numFmt w:val="decimal"/>
      <w:lvlText w:val="%9."/>
      <w:lvlJc w:val="left"/>
      <w:pPr>
        <w:tabs>
          <w:tab w:val="num" w:pos="6829"/>
        </w:tabs>
        <w:ind w:left="6829" w:hanging="360"/>
      </w:pPr>
    </w:lvl>
  </w:abstractNum>
  <w:abstractNum w:abstractNumId="9" w15:restartNumberingAfterBreak="0">
    <w:nsid w:val="700C5A20"/>
    <w:multiLevelType w:val="hybridMultilevel"/>
    <w:tmpl w:val="937CA5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028580">
    <w:abstractNumId w:val="2"/>
  </w:num>
  <w:num w:numId="2" w16cid:durableId="511992774">
    <w:abstractNumId w:val="9"/>
  </w:num>
  <w:num w:numId="3" w16cid:durableId="871067960">
    <w:abstractNumId w:val="7"/>
  </w:num>
  <w:num w:numId="4" w16cid:durableId="1172179091">
    <w:abstractNumId w:val="1"/>
  </w:num>
  <w:num w:numId="5" w16cid:durableId="1699812414">
    <w:abstractNumId w:val="5"/>
  </w:num>
  <w:num w:numId="6" w16cid:durableId="1652755515">
    <w:abstractNumId w:val="4"/>
  </w:num>
  <w:num w:numId="7" w16cid:durableId="990986232">
    <w:abstractNumId w:val="6"/>
  </w:num>
  <w:num w:numId="8" w16cid:durableId="1451245064">
    <w:abstractNumId w:val="3"/>
  </w:num>
  <w:num w:numId="9" w16cid:durableId="226191196">
    <w:abstractNumId w:val="0"/>
  </w:num>
  <w:num w:numId="10" w16cid:durableId="7737501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64E"/>
    <w:rsid w:val="00017363"/>
    <w:rsid w:val="000260D9"/>
    <w:rsid w:val="00053379"/>
    <w:rsid w:val="00072DBC"/>
    <w:rsid w:val="00075E86"/>
    <w:rsid w:val="000C769A"/>
    <w:rsid w:val="000D29DE"/>
    <w:rsid w:val="000D6C8C"/>
    <w:rsid w:val="000F6441"/>
    <w:rsid w:val="00172336"/>
    <w:rsid w:val="001F117C"/>
    <w:rsid w:val="00214510"/>
    <w:rsid w:val="00236EC0"/>
    <w:rsid w:val="00240228"/>
    <w:rsid w:val="00242785"/>
    <w:rsid w:val="0025562F"/>
    <w:rsid w:val="00271C17"/>
    <w:rsid w:val="00282B2E"/>
    <w:rsid w:val="0029464E"/>
    <w:rsid w:val="002C7058"/>
    <w:rsid w:val="002E5D8D"/>
    <w:rsid w:val="002F0CA2"/>
    <w:rsid w:val="002F26F9"/>
    <w:rsid w:val="003061C2"/>
    <w:rsid w:val="00312B58"/>
    <w:rsid w:val="003339B9"/>
    <w:rsid w:val="00355012"/>
    <w:rsid w:val="00370252"/>
    <w:rsid w:val="003733AD"/>
    <w:rsid w:val="00383F40"/>
    <w:rsid w:val="00385917"/>
    <w:rsid w:val="003B417D"/>
    <w:rsid w:val="003E22DE"/>
    <w:rsid w:val="004179C9"/>
    <w:rsid w:val="0047768B"/>
    <w:rsid w:val="004929F8"/>
    <w:rsid w:val="00497380"/>
    <w:rsid w:val="004B60D5"/>
    <w:rsid w:val="004B6594"/>
    <w:rsid w:val="004B7F9D"/>
    <w:rsid w:val="004F5D52"/>
    <w:rsid w:val="005165C7"/>
    <w:rsid w:val="0051678A"/>
    <w:rsid w:val="00523243"/>
    <w:rsid w:val="005312AA"/>
    <w:rsid w:val="0053254E"/>
    <w:rsid w:val="00544E4C"/>
    <w:rsid w:val="00551EDD"/>
    <w:rsid w:val="005865FC"/>
    <w:rsid w:val="005E7AC8"/>
    <w:rsid w:val="0061742D"/>
    <w:rsid w:val="00640962"/>
    <w:rsid w:val="006509E9"/>
    <w:rsid w:val="0069194C"/>
    <w:rsid w:val="00692C4C"/>
    <w:rsid w:val="006A420C"/>
    <w:rsid w:val="006B2D75"/>
    <w:rsid w:val="006C03AD"/>
    <w:rsid w:val="006C5D39"/>
    <w:rsid w:val="0075525D"/>
    <w:rsid w:val="007622D4"/>
    <w:rsid w:val="00790DFD"/>
    <w:rsid w:val="007C4BA4"/>
    <w:rsid w:val="00800786"/>
    <w:rsid w:val="00805A5E"/>
    <w:rsid w:val="0085526C"/>
    <w:rsid w:val="00874E83"/>
    <w:rsid w:val="00886B9D"/>
    <w:rsid w:val="008B0E31"/>
    <w:rsid w:val="008C04BB"/>
    <w:rsid w:val="008D334C"/>
    <w:rsid w:val="00914807"/>
    <w:rsid w:val="009209ED"/>
    <w:rsid w:val="009334B1"/>
    <w:rsid w:val="00961E8F"/>
    <w:rsid w:val="00961EEC"/>
    <w:rsid w:val="009747A6"/>
    <w:rsid w:val="009C2DA4"/>
    <w:rsid w:val="009E3A8B"/>
    <w:rsid w:val="00A312A5"/>
    <w:rsid w:val="00A62632"/>
    <w:rsid w:val="00A71204"/>
    <w:rsid w:val="00A75930"/>
    <w:rsid w:val="00A805E9"/>
    <w:rsid w:val="00A872DD"/>
    <w:rsid w:val="00AB75B5"/>
    <w:rsid w:val="00AD0F78"/>
    <w:rsid w:val="00B17405"/>
    <w:rsid w:val="00B2696D"/>
    <w:rsid w:val="00B32DB3"/>
    <w:rsid w:val="00B358FC"/>
    <w:rsid w:val="00B42FC2"/>
    <w:rsid w:val="00B4359D"/>
    <w:rsid w:val="00BA7BE4"/>
    <w:rsid w:val="00BC68E6"/>
    <w:rsid w:val="00BD5B7D"/>
    <w:rsid w:val="00BF688E"/>
    <w:rsid w:val="00C029D3"/>
    <w:rsid w:val="00C425B4"/>
    <w:rsid w:val="00CD6D54"/>
    <w:rsid w:val="00D01337"/>
    <w:rsid w:val="00D461A9"/>
    <w:rsid w:val="00D5266F"/>
    <w:rsid w:val="00D5664F"/>
    <w:rsid w:val="00D62BA6"/>
    <w:rsid w:val="00D663FE"/>
    <w:rsid w:val="00DA1423"/>
    <w:rsid w:val="00DB5187"/>
    <w:rsid w:val="00DC5ED1"/>
    <w:rsid w:val="00DF4E49"/>
    <w:rsid w:val="00DF6DE2"/>
    <w:rsid w:val="00E13743"/>
    <w:rsid w:val="00E34E89"/>
    <w:rsid w:val="00E37972"/>
    <w:rsid w:val="00E73B62"/>
    <w:rsid w:val="00E838B9"/>
    <w:rsid w:val="00EA0EB2"/>
    <w:rsid w:val="00EA5A2D"/>
    <w:rsid w:val="00EC4901"/>
    <w:rsid w:val="00EC543C"/>
    <w:rsid w:val="00EC6E1C"/>
    <w:rsid w:val="00F17F75"/>
    <w:rsid w:val="00F30919"/>
    <w:rsid w:val="00F761D2"/>
    <w:rsid w:val="00F83584"/>
    <w:rsid w:val="00F91829"/>
    <w:rsid w:val="00FA3B40"/>
    <w:rsid w:val="00FA5AC2"/>
    <w:rsid w:val="00FE525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4DA66"/>
  <w15:chartTrackingRefBased/>
  <w15:docId w15:val="{28FF279C-DBF1-484C-BC65-0D4E66D95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EB2"/>
  </w:style>
  <w:style w:type="paragraph" w:styleId="Heading1">
    <w:name w:val="heading 1"/>
    <w:basedOn w:val="Normal"/>
    <w:next w:val="Normal"/>
    <w:link w:val="Heading1Char"/>
    <w:uiPriority w:val="9"/>
    <w:qFormat/>
    <w:rsid w:val="0029464E"/>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29464E"/>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29464E"/>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946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46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46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46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46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46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64E"/>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29464E"/>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29464E"/>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946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46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46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46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46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464E"/>
    <w:rPr>
      <w:rFonts w:eastAsiaTheme="majorEastAsia" w:cstheme="majorBidi"/>
      <w:color w:val="272727" w:themeColor="text1" w:themeTint="D8"/>
    </w:rPr>
  </w:style>
  <w:style w:type="paragraph" w:styleId="Title">
    <w:name w:val="Title"/>
    <w:basedOn w:val="Normal"/>
    <w:next w:val="Normal"/>
    <w:link w:val="TitleChar"/>
    <w:uiPriority w:val="10"/>
    <w:qFormat/>
    <w:rsid w:val="0029464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9464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9464E"/>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9464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9464E"/>
    <w:pPr>
      <w:spacing w:before="160"/>
      <w:jc w:val="center"/>
    </w:pPr>
    <w:rPr>
      <w:i/>
      <w:iCs/>
      <w:color w:val="404040" w:themeColor="text1" w:themeTint="BF"/>
    </w:rPr>
  </w:style>
  <w:style w:type="character" w:customStyle="1" w:styleId="QuoteChar">
    <w:name w:val="Quote Char"/>
    <w:basedOn w:val="DefaultParagraphFont"/>
    <w:link w:val="Quote"/>
    <w:uiPriority w:val="29"/>
    <w:rsid w:val="0029464E"/>
    <w:rPr>
      <w:i/>
      <w:iCs/>
      <w:color w:val="404040" w:themeColor="text1" w:themeTint="BF"/>
    </w:rPr>
  </w:style>
  <w:style w:type="paragraph" w:styleId="ListParagraph">
    <w:name w:val="List Paragraph"/>
    <w:basedOn w:val="Normal"/>
    <w:uiPriority w:val="34"/>
    <w:qFormat/>
    <w:rsid w:val="0029464E"/>
    <w:pPr>
      <w:ind w:left="720"/>
      <w:contextualSpacing/>
    </w:pPr>
  </w:style>
  <w:style w:type="character" w:styleId="IntenseEmphasis">
    <w:name w:val="Intense Emphasis"/>
    <w:basedOn w:val="DefaultParagraphFont"/>
    <w:uiPriority w:val="21"/>
    <w:qFormat/>
    <w:rsid w:val="0029464E"/>
    <w:rPr>
      <w:i/>
      <w:iCs/>
      <w:color w:val="0F4761" w:themeColor="accent1" w:themeShade="BF"/>
    </w:rPr>
  </w:style>
  <w:style w:type="paragraph" w:styleId="IntenseQuote">
    <w:name w:val="Intense Quote"/>
    <w:basedOn w:val="Normal"/>
    <w:next w:val="Normal"/>
    <w:link w:val="IntenseQuoteChar"/>
    <w:uiPriority w:val="30"/>
    <w:qFormat/>
    <w:rsid w:val="002946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464E"/>
    <w:rPr>
      <w:i/>
      <w:iCs/>
      <w:color w:val="0F4761" w:themeColor="accent1" w:themeShade="BF"/>
    </w:rPr>
  </w:style>
  <w:style w:type="character" w:styleId="IntenseReference">
    <w:name w:val="Intense Reference"/>
    <w:basedOn w:val="DefaultParagraphFont"/>
    <w:uiPriority w:val="32"/>
    <w:qFormat/>
    <w:rsid w:val="0029464E"/>
    <w:rPr>
      <w:b/>
      <w:bCs/>
      <w:smallCaps/>
      <w:color w:val="0F4761" w:themeColor="accent1" w:themeShade="BF"/>
      <w:spacing w:val="5"/>
    </w:rPr>
  </w:style>
  <w:style w:type="character" w:customStyle="1" w:styleId="extn-css-0">
    <w:name w:val="extn-css-0"/>
    <w:basedOn w:val="DefaultParagraphFont"/>
    <w:rsid w:val="0029464E"/>
  </w:style>
  <w:style w:type="character" w:customStyle="1" w:styleId="extn-css-1tmeul0">
    <w:name w:val="extn-css-1tmeul0"/>
    <w:basedOn w:val="DefaultParagraphFont"/>
    <w:rsid w:val="0029464E"/>
  </w:style>
  <w:style w:type="paragraph" w:styleId="NormalWeb">
    <w:name w:val="Normal (Web)"/>
    <w:basedOn w:val="Normal"/>
    <w:uiPriority w:val="99"/>
    <w:unhideWhenUsed/>
    <w:rsid w:val="0029464E"/>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172336"/>
    <w:rPr>
      <w:b/>
      <w:bCs/>
    </w:rPr>
  </w:style>
  <w:style w:type="paragraph" w:styleId="NoSpacing">
    <w:name w:val="No Spacing"/>
    <w:uiPriority w:val="1"/>
    <w:qFormat/>
    <w:rsid w:val="00017363"/>
    <w:pPr>
      <w:spacing w:after="0" w:line="240" w:lineRule="auto"/>
    </w:pPr>
    <w:rPr>
      <w:color w:val="0E2841" w:themeColor="text2"/>
      <w:kern w:val="0"/>
      <w:sz w:val="20"/>
      <w:szCs w:val="20"/>
      <w:lang w:val="en-US" w:bidi="ar-SA"/>
      <w14:ligatures w14:val="none"/>
    </w:rPr>
  </w:style>
  <w:style w:type="paragraph" w:styleId="Header">
    <w:name w:val="header"/>
    <w:basedOn w:val="Normal"/>
    <w:link w:val="HeaderChar"/>
    <w:uiPriority w:val="99"/>
    <w:unhideWhenUsed/>
    <w:rsid w:val="00072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DBC"/>
  </w:style>
  <w:style w:type="paragraph" w:styleId="Footer">
    <w:name w:val="footer"/>
    <w:basedOn w:val="Normal"/>
    <w:link w:val="FooterChar"/>
    <w:uiPriority w:val="99"/>
    <w:unhideWhenUsed/>
    <w:rsid w:val="00072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DBC"/>
  </w:style>
  <w:style w:type="paragraph" w:styleId="TOCHeading">
    <w:name w:val="TOC Heading"/>
    <w:basedOn w:val="Heading1"/>
    <w:next w:val="Normal"/>
    <w:uiPriority w:val="39"/>
    <w:unhideWhenUsed/>
    <w:qFormat/>
    <w:rsid w:val="00961E8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61E8F"/>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961E8F"/>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961E8F"/>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6509E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www.nice.org.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4ea8c85e508c6e5ba0698c88474a7a7c">
  <xsd:schema xmlns:xsd="http://www.w3.org/2001/XMLSchema" xmlns:xs="http://www.w3.org/2001/XMLSchema" xmlns:p="http://schemas.microsoft.com/office/2006/metadata/properties" xmlns:ns3="f799553d-1ac0-48da-9ae3-fe400ced9c3b" targetNamespace="http://schemas.microsoft.com/office/2006/metadata/properties" ma:root="true" ma:fieldsID="d67928f2f03a57e5de3c5283f1e84347"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A0CC55-7057-43DD-B8BA-C0C71A858621}">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902AF844-7717-47AE-A9A6-F120F2AA1B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F30242-B896-43CD-82CC-2AC5312FE2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8</Pages>
  <Words>1840</Words>
  <Characters>12060</Characters>
  <Application>Microsoft Office Word</Application>
  <DocSecurity>0</DocSecurity>
  <Lines>205</Lines>
  <Paragraphs>56</Paragraphs>
  <ScaleCrop>false</ScaleCrop>
  <HeadingPairs>
    <vt:vector size="2" baseType="variant">
      <vt:variant>
        <vt:lpstr>Title</vt:lpstr>
      </vt:variant>
      <vt:variant>
        <vt:i4>1</vt:i4>
      </vt:variant>
    </vt:vector>
  </HeadingPairs>
  <TitlesOfParts>
    <vt:vector size="1" baseType="lpstr">
      <vt:lpstr>MODUL COD- LCHS 4003                                                                   ASSIGNMENT TITLE- CASE STUDY: MRS. MANN</vt:lpstr>
    </vt:vector>
  </TitlesOfParts>
  <Company/>
  <LinksUpToDate>false</LinksUpToDate>
  <CharactersWithSpaces>13840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 CODE- LCHS 4003                                                                   ASSIGNMENT TITLE- CASE STUDY: MRS. MANN</dc:title>
  <dc:subject/>
  <dc:creator>Tahmina Sultana (2431922)</dc:creator>
  <cp:keywords/>
  <dc:description/>
  <cp:lastModifiedBy>Tahmina Sultana (2431922)</cp:lastModifiedBy>
  <cp:revision>72</cp:revision>
  <dcterms:created xsi:type="dcterms:W3CDTF">2025-11-08T20:33:00Z</dcterms:created>
  <dcterms:modified xsi:type="dcterms:W3CDTF">2025-11-10T21:53:00Z</dcterms:modified>
  <cp:category>COURSE TITLE: INTRODUCTION TO HEALTH AND SOCIAL CARE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