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96A30" w14:textId="77777777" w:rsidR="005426DD" w:rsidRPr="00CD2D2C" w:rsidRDefault="005426DD" w:rsidP="005426DD">
      <w:pPr>
        <w:rPr>
          <w:rFonts w:ascii="Arial" w:hAnsi="Arial" w:cs="Arial"/>
        </w:rPr>
      </w:pPr>
      <w:r w:rsidRPr="00CD2D2C">
        <w:rPr>
          <w:rFonts w:ascii="Arial" w:hAnsi="Arial" w:cs="Arial"/>
        </w:rPr>
        <w:t xml:space="preserve">Throughout this essay, the </w:t>
      </w:r>
      <w:proofErr w:type="gramStart"/>
      <w:r w:rsidRPr="00CD2D2C">
        <w:rPr>
          <w:rFonts w:ascii="Arial" w:hAnsi="Arial" w:cs="Arial"/>
        </w:rPr>
        <w:t>main focus</w:t>
      </w:r>
      <w:proofErr w:type="gramEnd"/>
      <w:r w:rsidRPr="00CD2D2C">
        <w:rPr>
          <w:rFonts w:ascii="Arial" w:hAnsi="Arial" w:cs="Arial"/>
        </w:rPr>
        <w:t xml:space="preserve"> is to come to a conclusion whether equity is important within the twenty first century. This will be achieved by combing through the history of common law and equity itself, as well as considering the impact of equity alongside the issues in relation to equity. </w:t>
      </w:r>
    </w:p>
    <w:p w14:paraId="073BAC87" w14:textId="6066CD4E" w:rsidR="005426DD" w:rsidRPr="00CD2D2C" w:rsidRDefault="005426DD" w:rsidP="005426DD">
      <w:pPr>
        <w:rPr>
          <w:rFonts w:ascii="Arial" w:hAnsi="Arial" w:cs="Arial"/>
        </w:rPr>
      </w:pPr>
      <w:r w:rsidRPr="00CD2D2C">
        <w:rPr>
          <w:rFonts w:ascii="Arial" w:hAnsi="Arial" w:cs="Arial"/>
        </w:rPr>
        <w:t xml:space="preserve">Watt (2021) suggests that </w:t>
      </w:r>
      <w:proofErr w:type="gramStart"/>
      <w:r w:rsidRPr="00CD2D2C">
        <w:rPr>
          <w:rFonts w:ascii="Arial" w:hAnsi="Arial" w:cs="Arial"/>
        </w:rPr>
        <w:t>in order to</w:t>
      </w:r>
      <w:proofErr w:type="gramEnd"/>
      <w:r w:rsidRPr="00CD2D2C">
        <w:rPr>
          <w:rFonts w:ascii="Arial" w:hAnsi="Arial" w:cs="Arial"/>
        </w:rPr>
        <w:t xml:space="preserve"> provide a detailed critical evaluation of the law, in this case equity and trusts, it is essential to understand the origins of the law in question. Parrington (2012) provides that the common law began in 1066, dating back to the Battle of Hastings, also the beginning of the Norman rule of England. Before the common law had begun, an Anglo-Saxon law was practised within England. This law held that each county had right to separately rule in disputes, according to the customary law of their county, as well as by the Court of the King. Within the twelfth century, the chancellor was advising within the King’s privy council and by the thirteenth century the chancellor, as keeper of the King’s ‘great seal’, the chancellor frames common law writs. The ‘use’ (trust) of land is established. Within the thirteenth century there were two courts in which trials were heard. These courts were, the Local Courts and the Royal Courts. The Local courts were set up within the feudal structure and administered by the feudal lords and the Royal Courts consisted of the King’s bench, Court of Common Pleas, and the Exchequer, (Courts and Tribunals Judiciary, 2023). There was however a system in order, where a member of the public could petition for a hearing within the royal court if they felt as though justice was not served. This was a typical occurrence as the only remedy available was damages. </w:t>
      </w:r>
    </w:p>
    <w:p w14:paraId="668F6106" w14:textId="77777777" w:rsidR="005426DD" w:rsidRPr="00CD2D2C" w:rsidRDefault="005426DD" w:rsidP="005426DD">
      <w:pPr>
        <w:rPr>
          <w:rFonts w:ascii="Arial" w:hAnsi="Arial" w:cs="Arial"/>
        </w:rPr>
      </w:pPr>
      <w:r w:rsidRPr="00CD2D2C">
        <w:rPr>
          <w:rFonts w:ascii="Arial" w:hAnsi="Arial" w:cs="Arial"/>
        </w:rPr>
        <w:t>The thirteenth century also became the period where the Writ system was in place. According to Kenton (2022),</w:t>
      </w:r>
      <w:r w:rsidRPr="00CD2D2C">
        <w:t xml:space="preserve"> </w:t>
      </w:r>
      <w:r w:rsidRPr="00CD2D2C">
        <w:rPr>
          <w:rFonts w:ascii="Arial" w:hAnsi="Arial" w:cs="Arial"/>
        </w:rPr>
        <w:t xml:space="preserve">writs are formal legal documents that impose obligations on people and/or entities. Warrants and subpoenas are two of the most common types of writs. As part of common law, these documents are often issued after a judgement is rendered, allowing those involved in a lawsuit to carry out the decision. The said writs are drafted by courts or other entities that have jurisdictional or legal authority. Although writs provided a new way of common law, the system was not without issues. Laws were formed from traditions, a common law for common people, a precedent. However, if an individual desired to bring an action upon the royal court, it was required that a writ was needed provided by the chancellor himself. The chancellor would use old writs however was rather limited with using and/or providing new ones. This was </w:t>
      </w:r>
      <w:proofErr w:type="gramStart"/>
      <w:r w:rsidRPr="00CD2D2C">
        <w:rPr>
          <w:rFonts w:ascii="Arial" w:hAnsi="Arial" w:cs="Arial"/>
        </w:rPr>
        <w:t>due to the fact that</w:t>
      </w:r>
      <w:proofErr w:type="gramEnd"/>
      <w:r w:rsidRPr="00CD2D2C">
        <w:rPr>
          <w:rFonts w:ascii="Arial" w:hAnsi="Arial" w:cs="Arial"/>
        </w:rPr>
        <w:t xml:space="preserve"> new writs meant new remedies which the King’s council did not want.  The fact that the King’s council lacked interest in new writs and were practically against them was perhaps due to their ability to control such matters. In 1258, Simon de Montfort led a group of barons to create the Provisions of Oxford. Henry III was forced to accept a new form of government </w:t>
      </w:r>
      <w:proofErr w:type="gramStart"/>
      <w:r w:rsidRPr="00CD2D2C">
        <w:rPr>
          <w:rFonts w:ascii="Arial" w:hAnsi="Arial" w:cs="Arial"/>
        </w:rPr>
        <w:t>as a result of</w:t>
      </w:r>
      <w:proofErr w:type="gramEnd"/>
      <w:r w:rsidRPr="00CD2D2C">
        <w:rPr>
          <w:rFonts w:ascii="Arial" w:hAnsi="Arial" w:cs="Arial"/>
        </w:rPr>
        <w:t xml:space="preserve"> the provisions. All contemporary counties of England received written confirmations of the Provisions of Oxford. According to the 'Provisions of Oxford,' the king was to be ruled by a Council of Fifteen, which consisted of twenty-four men, twelve from the king's side and twelve from the </w:t>
      </w:r>
      <w:r w:rsidRPr="00CD2D2C">
        <w:rPr>
          <w:rFonts w:ascii="Arial" w:hAnsi="Arial" w:cs="Arial"/>
        </w:rPr>
        <w:lastRenderedPageBreak/>
        <w:t xml:space="preserve">reformers' side. Three times a year, the Council of Fifteen would select the chief ministers, the justiciar, and the chancellor, and ultimately, they would be accountable to the community of the realm. This was a revolutionary move. Before King Charles I's arrest and execution in the 1640s, it was the most radical reform attempt. Along with controlling the central government, the reformers began investigating abuses of local officials and reforming local government, urged on by swelling discontent among the lesser aristocracy, townsmen, merchants, and freemen. Although still leading the reform, major barons evidently felt they could not ignore popular discontent </w:t>
      </w:r>
      <w:proofErr w:type="gramStart"/>
      <w:r w:rsidRPr="00CD2D2C">
        <w:rPr>
          <w:rFonts w:ascii="Arial" w:hAnsi="Arial" w:cs="Arial"/>
        </w:rPr>
        <w:t>as a result of</w:t>
      </w:r>
      <w:proofErr w:type="gramEnd"/>
      <w:r w:rsidRPr="00CD2D2C">
        <w:rPr>
          <w:rFonts w:ascii="Arial" w:hAnsi="Arial" w:cs="Arial"/>
        </w:rPr>
        <w:t xml:space="preserve"> these reforms. In this regard they introduced reforms that were even harmful to their own local interests, UK Gov (2024).</w:t>
      </w:r>
    </w:p>
    <w:p w14:paraId="258A1A8B" w14:textId="77777777" w:rsidR="005426DD" w:rsidRPr="00CD2D2C" w:rsidRDefault="005426DD" w:rsidP="005426DD">
      <w:pPr>
        <w:rPr>
          <w:rFonts w:ascii="Arial" w:hAnsi="Arial" w:cs="Arial"/>
        </w:rPr>
      </w:pPr>
      <w:r w:rsidRPr="00CD2D2C">
        <w:rPr>
          <w:rFonts w:ascii="Arial" w:hAnsi="Arial" w:cs="Arial"/>
        </w:rPr>
        <w:t xml:space="preserve">With this provided, the provision of Oxford 1258 stated that there could be no new writs without the permission from the King’s council. This amount of power appointed to the King’s council was essentially the source to the issues concerned with the writ system. </w:t>
      </w:r>
    </w:p>
    <w:p w14:paraId="3A1D8497" w14:textId="63984E9F" w:rsidR="005426DD" w:rsidRPr="00CD2D2C" w:rsidRDefault="005426DD" w:rsidP="005426DD">
      <w:pPr>
        <w:tabs>
          <w:tab w:val="left" w:pos="2426"/>
        </w:tabs>
        <w:rPr>
          <w:rFonts w:ascii="Arial" w:hAnsi="Arial" w:cs="Arial"/>
        </w:rPr>
      </w:pPr>
      <w:r w:rsidRPr="00CD2D2C">
        <w:rPr>
          <w:rFonts w:ascii="Arial" w:hAnsi="Arial" w:cs="Arial"/>
        </w:rPr>
        <w:t xml:space="preserve">The Legal Information Institute from Cornell Law School, LII (2017), provides the definition of equity as the set of remedies and associated procedures involved with civil law. Essentially, equity is a body of law that provides remedies and procedures for cases where the common law or statutory law is insufficient or unfair. Furthermore, equity means fairness. The whole point of equity in a court of law is to prevent the law itself from being turned into an instrument of abuse. Hence the maximum ‘equity will not permit a statute to be used as an instrument of fraud’. Whereas prior to equity the only remedy available was that of damages, with equity, however, came </w:t>
      </w:r>
      <w:proofErr w:type="gramStart"/>
      <w:r w:rsidRPr="00CD2D2C">
        <w:rPr>
          <w:rFonts w:ascii="Arial" w:hAnsi="Arial" w:cs="Arial"/>
        </w:rPr>
        <w:t>a number of</w:t>
      </w:r>
      <w:proofErr w:type="gramEnd"/>
      <w:r w:rsidRPr="00CD2D2C">
        <w:rPr>
          <w:rFonts w:ascii="Arial" w:hAnsi="Arial" w:cs="Arial"/>
        </w:rPr>
        <w:t xml:space="preserve"> different remedies. These remedies consist of the </w:t>
      </w:r>
      <w:r w:rsidR="00FE65B8" w:rsidRPr="00CD2D2C">
        <w:rPr>
          <w:rFonts w:ascii="Arial" w:hAnsi="Arial" w:cs="Arial"/>
        </w:rPr>
        <w:t>following:</w:t>
      </w:r>
      <w:r w:rsidRPr="00CD2D2C">
        <w:rPr>
          <w:rFonts w:ascii="Arial" w:hAnsi="Arial" w:cs="Arial"/>
        </w:rPr>
        <w:t xml:space="preserve"> Specific performance, injunction, recission, rectification and more. </w:t>
      </w:r>
    </w:p>
    <w:p w14:paraId="19745A2B" w14:textId="796C9C3D" w:rsidR="005426DD" w:rsidRPr="00CD2D2C" w:rsidRDefault="005426DD" w:rsidP="005426DD">
      <w:pPr>
        <w:tabs>
          <w:tab w:val="left" w:pos="2426"/>
        </w:tabs>
        <w:rPr>
          <w:rFonts w:ascii="Arial" w:hAnsi="Arial" w:cs="Arial"/>
        </w:rPr>
      </w:pPr>
      <w:r w:rsidRPr="00CD2D2C">
        <w:rPr>
          <w:rFonts w:ascii="Arial" w:hAnsi="Arial" w:cs="Arial"/>
        </w:rPr>
        <w:t xml:space="preserve">In terms of specific performance, specific performance is an order from the court to uphold an agreement. In common law, if an individual decides that they do not wish to carry out their duty, they are provided with the opportunity to pay damages in place of this. Equity however is different unless the claimant has not upheld their side of the agreement. Specific performance is also typically concerned with contract law, for specific performance to take place there must be a contract in place (Arbel, 2015). </w:t>
      </w:r>
      <w:r w:rsidR="00FE65B8" w:rsidRPr="00CD2D2C">
        <w:rPr>
          <w:rFonts w:ascii="Arial" w:hAnsi="Arial" w:cs="Arial"/>
        </w:rPr>
        <w:t>Furthermore</w:t>
      </w:r>
      <w:r w:rsidRPr="00CD2D2C">
        <w:rPr>
          <w:rFonts w:ascii="Arial" w:hAnsi="Arial" w:cs="Arial"/>
        </w:rPr>
        <w:t xml:space="preserve">, the remedy injunctions, is typically concerned with mandatory, </w:t>
      </w:r>
      <w:proofErr w:type="spellStart"/>
      <w:proofErr w:type="gramStart"/>
      <w:r w:rsidRPr="00CD2D2C">
        <w:rPr>
          <w:rFonts w:ascii="Arial" w:hAnsi="Arial" w:cs="Arial"/>
        </w:rPr>
        <w:t>prohibitory</w:t>
      </w:r>
      <w:proofErr w:type="spellEnd"/>
      <w:proofErr w:type="gramEnd"/>
      <w:r w:rsidRPr="00CD2D2C">
        <w:rPr>
          <w:rFonts w:ascii="Arial" w:hAnsi="Arial" w:cs="Arial"/>
        </w:rPr>
        <w:t xml:space="preserve"> and interim injunctions, only were the legal right to protect is present. Mandatory injunctions are where specific performance is not possible, however, would imply that the party concerned would in fact lose their business. Bower v Bantam Investments Ltd [1972] provides that inconsistent conduct is not grounds for mandatory injunctions. Interim injunctions are provided to the party before the trial or until the trial. These Injunctions are typically concerned with stating that the claimant must give damages to the defendant for any consequences due to the injunction but only where there is an outcome that the trial favours the defendant, American </w:t>
      </w:r>
      <w:proofErr w:type="spellStart"/>
      <w:r w:rsidRPr="00CD2D2C">
        <w:rPr>
          <w:rFonts w:ascii="Arial" w:hAnsi="Arial" w:cs="Arial"/>
        </w:rPr>
        <w:t>Cyananamid</w:t>
      </w:r>
      <w:proofErr w:type="spellEnd"/>
      <w:r w:rsidRPr="00CD2D2C">
        <w:rPr>
          <w:rFonts w:ascii="Arial" w:hAnsi="Arial" w:cs="Arial"/>
        </w:rPr>
        <w:t xml:space="preserve"> Co v Ethicon Ltd, as provided in section 37 of the senior courts act 1981, (Bailey, 1985). Another remedy created through equity was that of rectification. </w:t>
      </w:r>
      <w:r w:rsidR="00FE65B8" w:rsidRPr="00CD2D2C">
        <w:rPr>
          <w:rFonts w:ascii="Arial" w:hAnsi="Arial" w:cs="Arial"/>
        </w:rPr>
        <w:t>Rectification</w:t>
      </w:r>
      <w:r w:rsidRPr="00CD2D2C">
        <w:rPr>
          <w:rFonts w:ascii="Arial" w:hAnsi="Arial" w:cs="Arial"/>
        </w:rPr>
        <w:t xml:space="preserve"> is essentially the correcting of a contract. </w:t>
      </w:r>
      <w:proofErr w:type="gramStart"/>
      <w:r w:rsidRPr="00CD2D2C">
        <w:rPr>
          <w:rFonts w:ascii="Arial" w:hAnsi="Arial" w:cs="Arial"/>
        </w:rPr>
        <w:t>In order to</w:t>
      </w:r>
      <w:proofErr w:type="gramEnd"/>
      <w:r w:rsidRPr="00CD2D2C">
        <w:rPr>
          <w:rFonts w:ascii="Arial" w:hAnsi="Arial" w:cs="Arial"/>
        </w:rPr>
        <w:t xml:space="preserve"> gain rectification, it </w:t>
      </w:r>
      <w:r w:rsidRPr="00CD2D2C">
        <w:rPr>
          <w:rFonts w:ascii="Arial" w:hAnsi="Arial" w:cs="Arial"/>
        </w:rPr>
        <w:lastRenderedPageBreak/>
        <w:t xml:space="preserve">is necessary to show that the parties were in complete agreement on the terms of their contract, hence, burden of proof is bestowed on the party who want to be rectified. </w:t>
      </w:r>
      <w:proofErr w:type="gramStart"/>
      <w:r w:rsidRPr="00CD2D2C">
        <w:rPr>
          <w:rFonts w:ascii="Arial" w:hAnsi="Arial" w:cs="Arial"/>
        </w:rPr>
        <w:t>In order to</w:t>
      </w:r>
      <w:proofErr w:type="gramEnd"/>
      <w:r w:rsidRPr="00CD2D2C">
        <w:rPr>
          <w:rFonts w:ascii="Arial" w:hAnsi="Arial" w:cs="Arial"/>
        </w:rPr>
        <w:t xml:space="preserve"> be able to successfully practice rectification there is a </w:t>
      </w:r>
      <w:r w:rsidR="00310939" w:rsidRPr="00CD2D2C">
        <w:rPr>
          <w:rFonts w:ascii="Arial" w:hAnsi="Arial" w:cs="Arial"/>
        </w:rPr>
        <w:t>criterion</w:t>
      </w:r>
      <w:r w:rsidRPr="00CD2D2C">
        <w:rPr>
          <w:rFonts w:ascii="Arial" w:hAnsi="Arial" w:cs="Arial"/>
        </w:rPr>
        <w:t xml:space="preserve"> that parties must meet. The criteria </w:t>
      </w:r>
      <w:r w:rsidR="00310939" w:rsidRPr="00CD2D2C">
        <w:rPr>
          <w:rFonts w:ascii="Arial" w:hAnsi="Arial" w:cs="Arial"/>
        </w:rPr>
        <w:t xml:space="preserve">provided </w:t>
      </w:r>
      <w:r w:rsidRPr="00CD2D2C">
        <w:rPr>
          <w:rFonts w:ascii="Arial" w:hAnsi="Arial" w:cs="Arial"/>
        </w:rPr>
        <w:t xml:space="preserve">that must be evidence of intention (trustee), problem, specific intention to achieve something different and finally, an issue capable of being contested, (McLauchlan, 2014). </w:t>
      </w:r>
    </w:p>
    <w:p w14:paraId="58F69D84" w14:textId="77777777" w:rsidR="005426DD" w:rsidRPr="00CD2D2C" w:rsidRDefault="005426DD" w:rsidP="005426DD">
      <w:pPr>
        <w:rPr>
          <w:rFonts w:ascii="Arial" w:hAnsi="Arial" w:cs="Arial"/>
        </w:rPr>
      </w:pPr>
      <w:r w:rsidRPr="00CD2D2C">
        <w:rPr>
          <w:rFonts w:ascii="Arial" w:hAnsi="Arial" w:cs="Arial"/>
        </w:rPr>
        <w:t xml:space="preserve">Holdsworth (1914) suggests that the King's common law was </w:t>
      </w:r>
      <w:proofErr w:type="gramStart"/>
      <w:r w:rsidRPr="00CD2D2C">
        <w:rPr>
          <w:rFonts w:ascii="Arial" w:hAnsi="Arial" w:cs="Arial"/>
        </w:rPr>
        <w:t>fairly well</w:t>
      </w:r>
      <w:proofErr w:type="gramEnd"/>
      <w:r w:rsidRPr="00CD2D2C">
        <w:rPr>
          <w:rFonts w:ascii="Arial" w:hAnsi="Arial" w:cs="Arial"/>
        </w:rPr>
        <w:t xml:space="preserve"> established by the early fourteenth century, and the chancellor was responsible for providing a remedy when it caused injustice in individual cases. Previously, unhappy individuals could petition the King for a hearing regarding their cases, but in the fourteenth century, the court of chancery brought about a remedy. As a result, equity originated in the court of chancery. To obtain a remedy, the unhappy individual would petition the Lord Chancellor. As a result of petitioning as well as remedies proposed by the Chancellor and the King, equity was born, essentially the beginning of British law as we know it today, (Chattopadhyay, 1975). </w:t>
      </w:r>
    </w:p>
    <w:p w14:paraId="60F98B6D" w14:textId="490BFF5B" w:rsidR="005426DD" w:rsidRPr="00CD2D2C" w:rsidRDefault="005426DD" w:rsidP="005426DD">
      <w:pPr>
        <w:rPr>
          <w:rFonts w:ascii="Arial" w:hAnsi="Arial" w:cs="Arial"/>
          <w:b/>
          <w:bCs/>
        </w:rPr>
      </w:pPr>
      <w:r w:rsidRPr="00CD2D2C">
        <w:rPr>
          <w:rFonts w:ascii="Arial" w:hAnsi="Arial" w:cs="Arial"/>
        </w:rPr>
        <w:t xml:space="preserve">Haskett (1996) provides that from Westminster, the chancellor, essentially the birthplace of equity, dispensed justice on his own authority by the end of the fourteenth century, aiming to remedy the rigid common law position on conscience grounds. Through the </w:t>
      </w:r>
      <w:r w:rsidR="00310939" w:rsidRPr="00CD2D2C">
        <w:rPr>
          <w:rFonts w:ascii="Arial" w:hAnsi="Arial" w:cs="Arial"/>
        </w:rPr>
        <w:t>fifteenth</w:t>
      </w:r>
      <w:r w:rsidRPr="00CD2D2C">
        <w:rPr>
          <w:rFonts w:ascii="Arial" w:hAnsi="Arial" w:cs="Arial"/>
        </w:rPr>
        <w:t xml:space="preserve"> century, petitions to the chancellor grew in number, as did the court of chancery, the chancellor's court. In the sixteenth century, however, common </w:t>
      </w:r>
      <w:r w:rsidR="00D60DBA" w:rsidRPr="00CD2D2C">
        <w:rPr>
          <w:rFonts w:ascii="Arial" w:hAnsi="Arial" w:cs="Arial"/>
        </w:rPr>
        <w:t>lawsuits</w:t>
      </w:r>
      <w:r w:rsidRPr="00CD2D2C">
        <w:rPr>
          <w:rFonts w:ascii="Arial" w:hAnsi="Arial" w:cs="Arial"/>
        </w:rPr>
        <w:t xml:space="preserve"> were governed by technical and inflexible forms of action, resulting in a just cause failing for lack of formality. More and more petitions were filed to remedy the harshness of the common law throughout the sixteenth century. Equity was accused of undermining the certainty of the law through Chancery's ad hoc dispensation of justice.</w:t>
      </w:r>
      <w:r w:rsidRPr="00CD2D2C">
        <w:t xml:space="preserve"> </w:t>
      </w:r>
      <w:r w:rsidRPr="00CD2D2C">
        <w:rPr>
          <w:rFonts w:ascii="Arial" w:hAnsi="Arial" w:cs="Arial"/>
        </w:rPr>
        <w:t xml:space="preserve">It caused controversy among sixteenth century chancellor lawyers like William </w:t>
      </w:r>
      <w:proofErr w:type="spellStart"/>
      <w:r w:rsidRPr="00CD2D2C">
        <w:rPr>
          <w:rFonts w:ascii="Arial" w:hAnsi="Arial" w:cs="Arial"/>
        </w:rPr>
        <w:t>Lambarde</w:t>
      </w:r>
      <w:proofErr w:type="spellEnd"/>
      <w:r w:rsidRPr="00CD2D2C">
        <w:rPr>
          <w:rFonts w:ascii="Arial" w:hAnsi="Arial" w:cs="Arial"/>
        </w:rPr>
        <w:t xml:space="preserve">, (Klinck (2010). In the early seventeenth century, the Earl of Oxford's case [1615] resulted in a competition between the chancery and the common law courts. Chief Justice Coke had indicated a defendant in a common law action who planned to petition the Lord Chancellor Ellesmere for an injunction against a common law judgment on grounds of fraud. According to Lord Ellesmere, an injunction like this would not offend the common law courts at all – it would only be effective in </w:t>
      </w:r>
      <w:proofErr w:type="spellStart"/>
      <w:r w:rsidRPr="00CD2D2C">
        <w:rPr>
          <w:rFonts w:ascii="Arial" w:hAnsi="Arial" w:cs="Arial"/>
        </w:rPr>
        <w:t>personam</w:t>
      </w:r>
      <w:proofErr w:type="spellEnd"/>
      <w:r w:rsidRPr="00CD2D2C">
        <w:rPr>
          <w:rFonts w:ascii="Arial" w:hAnsi="Arial" w:cs="Arial"/>
        </w:rPr>
        <w:t xml:space="preserve"> against a successful common law litigant. On the advice of his Attorney-General, Sir Francis Bacon, King James I resolved the dispute between Lord Ellesmere and Lord Chancellor in 1616 in </w:t>
      </w:r>
      <w:r w:rsidR="00FE65B8" w:rsidRPr="00CD2D2C">
        <w:rPr>
          <w:rFonts w:ascii="Arial" w:hAnsi="Arial" w:cs="Arial"/>
        </w:rPr>
        <w:t>favour</w:t>
      </w:r>
      <w:r w:rsidRPr="00CD2D2C">
        <w:rPr>
          <w:rFonts w:ascii="Arial" w:hAnsi="Arial" w:cs="Arial"/>
        </w:rPr>
        <w:t xml:space="preserve"> of Lord Ellesmere. Consequently, equity prevails over common law whenever the two conflict, (Lobban 2004).</w:t>
      </w:r>
      <w:r w:rsidR="00C01B4D" w:rsidRPr="00CD2D2C">
        <w:rPr>
          <w:rFonts w:ascii="Arial" w:hAnsi="Arial" w:cs="Arial"/>
        </w:rPr>
        <w:t xml:space="preserve"> </w:t>
      </w:r>
      <w:r w:rsidR="00C01B4D" w:rsidRPr="00CD2D2C">
        <w:rPr>
          <w:rFonts w:ascii="Arial" w:hAnsi="Arial" w:cs="Arial"/>
        </w:rPr>
        <w:t>The development of equity in the eighteenth century was attributed to chancellors such as Heneage Finch and Lord Nottingham, who has been referred to as the 'father' of modern equity (Holdsworth 2022, p547). Instead of competing with the common law, equity developed harmoniously with it during the eighteenth century.</w:t>
      </w:r>
    </w:p>
    <w:p w14:paraId="33606196" w14:textId="2B2C8719" w:rsidR="005426DD" w:rsidRPr="00CD2D2C" w:rsidRDefault="00C05193">
      <w:pPr>
        <w:rPr>
          <w:rFonts w:ascii="Arial" w:hAnsi="Arial" w:cs="Arial"/>
        </w:rPr>
      </w:pPr>
      <w:r w:rsidRPr="00CD2D2C">
        <w:rPr>
          <w:rFonts w:ascii="Arial" w:hAnsi="Arial" w:cs="Arial"/>
        </w:rPr>
        <w:t xml:space="preserve">Leeming (2011) presents that even though the Master of the Rolls had been appointed to sit as second judge in 1729, the court of chancery had become </w:t>
      </w:r>
      <w:r w:rsidRPr="00CD2D2C">
        <w:rPr>
          <w:rFonts w:ascii="Arial" w:hAnsi="Arial" w:cs="Arial"/>
        </w:rPr>
        <w:lastRenderedPageBreak/>
        <w:t xml:space="preserve">hopelessly busy by the early nineteenth century. There was an appointment of a vice-chancellor in 1813. Where once there had been only the Chancellor presiding in Chancery, now there are three judges. An early attempt to solve the procedural problems in the Court of Chancery was the Court of Chancery Act 1850 and the Court of Chancery Procedure Act 1852, (Charley (1875). The Judicature Act of 1873 was introduced into parliament by Lord Chancellor </w:t>
      </w:r>
      <w:proofErr w:type="spellStart"/>
      <w:r w:rsidRPr="00CD2D2C">
        <w:rPr>
          <w:rFonts w:ascii="Arial" w:hAnsi="Arial" w:cs="Arial"/>
        </w:rPr>
        <w:t>Selborne</w:t>
      </w:r>
      <w:proofErr w:type="spellEnd"/>
      <w:r w:rsidRPr="00CD2D2C">
        <w:rPr>
          <w:rFonts w:ascii="Arial" w:hAnsi="Arial" w:cs="Arial"/>
        </w:rPr>
        <w:t xml:space="preserve"> as a step towards expediting Chancery procedures. As a result of administrative delays, this act is now referred to as the Judicature Act 1873-5. Having concurrent jurisdiction over equity and law, the Supreme Court of Judicature was established by these enactments, (Baxter 1875).</w:t>
      </w:r>
    </w:p>
    <w:p w14:paraId="1DFBBC4A" w14:textId="77777777" w:rsidR="005A3C66" w:rsidRPr="00CD2D2C" w:rsidRDefault="005A3C66" w:rsidP="005A3C66">
      <w:pPr>
        <w:rPr>
          <w:rFonts w:ascii="Arial" w:hAnsi="Arial" w:cs="Arial"/>
        </w:rPr>
      </w:pPr>
      <w:r w:rsidRPr="00CD2D2C">
        <w:rPr>
          <w:rFonts w:ascii="Arial" w:hAnsi="Arial" w:cs="Arial"/>
        </w:rPr>
        <w:t xml:space="preserve">As Moffat (2005) presents, as equity provided numerous remedies, trusts and beneficiaries were created along with these </w:t>
      </w:r>
      <w:proofErr w:type="spellStart"/>
      <w:proofErr w:type="gramStart"/>
      <w:r w:rsidRPr="00CD2D2C">
        <w:rPr>
          <w:rFonts w:ascii="Arial" w:hAnsi="Arial" w:cs="Arial"/>
        </w:rPr>
        <w:t>remedies.There</w:t>
      </w:r>
      <w:proofErr w:type="spellEnd"/>
      <w:proofErr w:type="gramEnd"/>
      <w:r w:rsidRPr="00CD2D2C">
        <w:rPr>
          <w:rFonts w:ascii="Arial" w:hAnsi="Arial" w:cs="Arial"/>
        </w:rPr>
        <w:t xml:space="preserve"> is no doubt that the law of trusts has been regarded as one of the most important and enduring creations of the Court of Chancery, which administers equity law. Common law rules applied rigidly resulted in harsh outcomes, which led to the development of equity.</w:t>
      </w:r>
      <w:r w:rsidRPr="00CD2D2C">
        <w:t xml:space="preserve"> </w:t>
      </w:r>
      <w:r w:rsidRPr="00CD2D2C">
        <w:rPr>
          <w:rFonts w:ascii="Arial" w:hAnsi="Arial" w:cs="Arial"/>
        </w:rPr>
        <w:t xml:space="preserve">Contrary to common law's strict rules, equity emphasizes individual justice, morality, and fairness, as shown by its flexible remedies that are applied in a discretionary manner. </w:t>
      </w:r>
      <w:proofErr w:type="gramStart"/>
      <w:r w:rsidRPr="00CD2D2C">
        <w:rPr>
          <w:rFonts w:ascii="Arial" w:hAnsi="Arial" w:cs="Arial"/>
        </w:rPr>
        <w:t>In spite of the fact that</w:t>
      </w:r>
      <w:proofErr w:type="gramEnd"/>
      <w:r w:rsidRPr="00CD2D2C">
        <w:rPr>
          <w:rFonts w:ascii="Arial" w:hAnsi="Arial" w:cs="Arial"/>
        </w:rPr>
        <w:t xml:space="preserve"> equity and trust have evolved significantly since their creation, they still maintain the defining features that make them distinct from the common law.</w:t>
      </w:r>
    </w:p>
    <w:p w14:paraId="5D73177B" w14:textId="77777777" w:rsidR="005A3C66" w:rsidRPr="00CD2D2C" w:rsidRDefault="005A3C66" w:rsidP="005A3C66">
      <w:pPr>
        <w:rPr>
          <w:rFonts w:ascii="Arial" w:hAnsi="Arial" w:cs="Arial"/>
        </w:rPr>
      </w:pPr>
      <w:r w:rsidRPr="00CD2D2C">
        <w:rPr>
          <w:rFonts w:ascii="Arial" w:hAnsi="Arial" w:cs="Arial"/>
        </w:rPr>
        <w:t xml:space="preserve">In 1873, the Parliament of the United Kingdom enacted the Supreme Court of Judicature Act which fused the courts of equity and common law. There was much debate over the consequences of such a fusion, with some arguing that the two bodies of law had become one while the majority remained adamant that their substantive differences remained. Depending on the distinction between legal and equitable title, trust law has a wealth of cases that demonstrate how the two bodies of law have preserved their substantive differences. The fusion of the courts has only resulted in procedural differences, allowing both bodies of law to be pleaded in the same court. </w:t>
      </w:r>
    </w:p>
    <w:p w14:paraId="2358B728" w14:textId="77777777" w:rsidR="005A3C66" w:rsidRPr="00CD2D2C" w:rsidRDefault="005A3C66" w:rsidP="005A3C66">
      <w:pPr>
        <w:rPr>
          <w:rFonts w:ascii="Arial" w:hAnsi="Arial" w:cs="Arial"/>
        </w:rPr>
      </w:pPr>
      <w:r w:rsidRPr="00CD2D2C">
        <w:rPr>
          <w:rFonts w:ascii="Arial" w:hAnsi="Arial" w:cs="Arial"/>
        </w:rPr>
        <w:t xml:space="preserve">Previously known as the ‘use’ has now </w:t>
      </w:r>
      <w:proofErr w:type="gramStart"/>
      <w:r w:rsidRPr="00CD2D2C">
        <w:rPr>
          <w:rFonts w:ascii="Arial" w:hAnsi="Arial" w:cs="Arial"/>
        </w:rPr>
        <w:t>became</w:t>
      </w:r>
      <w:proofErr w:type="gramEnd"/>
      <w:r w:rsidRPr="00CD2D2C">
        <w:rPr>
          <w:rFonts w:ascii="Arial" w:hAnsi="Arial" w:cs="Arial"/>
        </w:rPr>
        <w:t xml:space="preserve">, as known within British law today, ‘trusts’. Existing since the thirteenth century, then known as the ‘use’ of land, became an important device during the crusades. With the intention of abolishing the uses of land, Henry VIII passed the statute of ‘uses’, which led to the development of ‘use’, because landowners were using ‘use’ to separate the benefit of the land from legal title and keep the benefits for themselves without paying the crown’s fees against legal title. Upon enactment of the statute, the legal title to the use was transferred to the beneficiary of the use. The only uses that were in fact executed were those concerning land where there was a single named beneficiary, typically the original absolute owner, and which therefore represented a sham device that for avoiding the payment of fees to the crown, (Hayton and Marshal (2005). </w:t>
      </w:r>
    </w:p>
    <w:p w14:paraId="238C0EC3" w14:textId="50E955EF" w:rsidR="00501D2B" w:rsidRPr="00CD2D2C" w:rsidRDefault="00501D2B" w:rsidP="005A3C66">
      <w:pPr>
        <w:rPr>
          <w:rFonts w:ascii="Arial" w:hAnsi="Arial" w:cs="Arial"/>
        </w:rPr>
      </w:pPr>
      <w:r w:rsidRPr="00CD2D2C">
        <w:rPr>
          <w:rFonts w:ascii="Arial" w:hAnsi="Arial" w:cs="Arial"/>
        </w:rPr>
        <w:lastRenderedPageBreak/>
        <w:t xml:space="preserve">Equity is still to this day a continuously evolving. Today's equity remedies include Anton Piller Orders, Mareva Injunctions, and Super Injunctions.  In Land Law and Mortgage Law, equity occupies a prominent role. Neither of these subjects can be discussed without equity's input. As far as land law and mortgages are concerned, Trusts may be the best example of equity. </w:t>
      </w:r>
      <w:proofErr w:type="gramStart"/>
      <w:r w:rsidRPr="00CD2D2C">
        <w:rPr>
          <w:rFonts w:ascii="Arial" w:hAnsi="Arial" w:cs="Arial"/>
        </w:rPr>
        <w:t>Last but not least</w:t>
      </w:r>
      <w:proofErr w:type="gramEnd"/>
      <w:r w:rsidRPr="00CD2D2C">
        <w:rPr>
          <w:rFonts w:ascii="Arial" w:hAnsi="Arial" w:cs="Arial"/>
        </w:rPr>
        <w:t xml:space="preserve">, in Tort law equity is seen through the use of injunctions to find equitable remedies to prevent tortious behaviour, (Virgo 2020). </w:t>
      </w:r>
      <w:proofErr w:type="gramStart"/>
      <w:r w:rsidRPr="00CD2D2C">
        <w:rPr>
          <w:rFonts w:ascii="Arial" w:hAnsi="Arial" w:cs="Arial"/>
        </w:rPr>
        <w:t>Therefore</w:t>
      </w:r>
      <w:proofErr w:type="gramEnd"/>
      <w:r w:rsidRPr="00CD2D2C">
        <w:rPr>
          <w:rFonts w:ascii="Arial" w:hAnsi="Arial" w:cs="Arial"/>
        </w:rPr>
        <w:t xml:space="preserve"> concluding that these very examples provide a core understanding of the importance of the role equity</w:t>
      </w:r>
      <w:r w:rsidR="005B009C" w:rsidRPr="00CD2D2C">
        <w:rPr>
          <w:rFonts w:ascii="Arial" w:hAnsi="Arial" w:cs="Arial"/>
        </w:rPr>
        <w:t xml:space="preserve"> and trusts</w:t>
      </w:r>
      <w:r w:rsidRPr="00CD2D2C">
        <w:rPr>
          <w:rFonts w:ascii="Arial" w:hAnsi="Arial" w:cs="Arial"/>
        </w:rPr>
        <w:t xml:space="preserve"> plays within British Law today.</w:t>
      </w:r>
      <w:r w:rsidR="005B009C" w:rsidRPr="00CD2D2C">
        <w:rPr>
          <w:rFonts w:ascii="Arial" w:hAnsi="Arial" w:cs="Arial"/>
        </w:rPr>
        <w:t xml:space="preserve"> </w:t>
      </w:r>
      <w:r w:rsidR="00375CA6" w:rsidRPr="00CD2D2C">
        <w:rPr>
          <w:rFonts w:ascii="Arial" w:hAnsi="Arial" w:cs="Arial"/>
        </w:rPr>
        <w:t xml:space="preserve">Equity, since its creation, has gone on to essentially better the </w:t>
      </w:r>
      <w:r w:rsidR="00E73B80" w:rsidRPr="00CD2D2C">
        <w:rPr>
          <w:rFonts w:ascii="Arial" w:hAnsi="Arial" w:cs="Arial"/>
        </w:rPr>
        <w:t>law and many aspects with</w:t>
      </w:r>
      <w:r w:rsidR="00F9514A" w:rsidRPr="00CD2D2C">
        <w:rPr>
          <w:rFonts w:ascii="Arial" w:hAnsi="Arial" w:cs="Arial"/>
        </w:rPr>
        <w:t xml:space="preserve"> </w:t>
      </w:r>
      <w:r w:rsidR="00E73B80" w:rsidRPr="00CD2D2C">
        <w:rPr>
          <w:rFonts w:ascii="Arial" w:hAnsi="Arial" w:cs="Arial"/>
        </w:rPr>
        <w:t xml:space="preserve">in it. </w:t>
      </w:r>
    </w:p>
    <w:p w14:paraId="658A767A" w14:textId="77777777" w:rsidR="00B5697F" w:rsidRDefault="00B5697F" w:rsidP="005A3C66">
      <w:pPr>
        <w:rPr>
          <w:rFonts w:ascii="Arial" w:hAnsi="Arial" w:cs="Arial"/>
        </w:rPr>
      </w:pPr>
    </w:p>
    <w:p w14:paraId="138D5C30" w14:textId="77777777" w:rsidR="00B5697F" w:rsidRDefault="00B5697F" w:rsidP="005A3C66">
      <w:pPr>
        <w:rPr>
          <w:rFonts w:ascii="Arial" w:hAnsi="Arial" w:cs="Arial"/>
        </w:rPr>
      </w:pPr>
    </w:p>
    <w:p w14:paraId="40982DC4" w14:textId="77777777" w:rsidR="00B5697F" w:rsidRDefault="00B5697F" w:rsidP="005A3C66">
      <w:pPr>
        <w:rPr>
          <w:rFonts w:ascii="Arial" w:hAnsi="Arial" w:cs="Arial"/>
        </w:rPr>
      </w:pPr>
    </w:p>
    <w:p w14:paraId="610587E0" w14:textId="77777777" w:rsidR="00B5697F" w:rsidRDefault="00B5697F" w:rsidP="005A3C66">
      <w:pPr>
        <w:rPr>
          <w:rFonts w:ascii="Arial" w:hAnsi="Arial" w:cs="Arial"/>
        </w:rPr>
      </w:pPr>
    </w:p>
    <w:p w14:paraId="5AAAA415" w14:textId="77777777" w:rsidR="00B5697F" w:rsidRDefault="00B5697F" w:rsidP="005A3C66">
      <w:pPr>
        <w:rPr>
          <w:rFonts w:ascii="Arial" w:hAnsi="Arial" w:cs="Arial"/>
        </w:rPr>
      </w:pPr>
    </w:p>
    <w:p w14:paraId="5710B1AE" w14:textId="77777777" w:rsidR="00B5697F" w:rsidRDefault="00B5697F" w:rsidP="005A3C66">
      <w:pPr>
        <w:rPr>
          <w:rFonts w:ascii="Arial" w:hAnsi="Arial" w:cs="Arial"/>
        </w:rPr>
      </w:pPr>
    </w:p>
    <w:p w14:paraId="7C3D20FF" w14:textId="77777777" w:rsidR="00B5697F" w:rsidRDefault="00B5697F" w:rsidP="005A3C66">
      <w:pPr>
        <w:rPr>
          <w:rFonts w:ascii="Arial" w:hAnsi="Arial" w:cs="Arial"/>
        </w:rPr>
      </w:pPr>
    </w:p>
    <w:p w14:paraId="223ED54E" w14:textId="77777777" w:rsidR="00B5697F" w:rsidRDefault="00B5697F" w:rsidP="005A3C66">
      <w:pPr>
        <w:rPr>
          <w:rFonts w:ascii="Arial" w:hAnsi="Arial" w:cs="Arial"/>
        </w:rPr>
      </w:pPr>
    </w:p>
    <w:p w14:paraId="45473A9A" w14:textId="77777777" w:rsidR="00B5697F" w:rsidRDefault="00B5697F" w:rsidP="005A3C66">
      <w:pPr>
        <w:rPr>
          <w:rFonts w:ascii="Arial" w:hAnsi="Arial" w:cs="Arial"/>
        </w:rPr>
      </w:pPr>
    </w:p>
    <w:p w14:paraId="0E3B6726" w14:textId="77777777" w:rsidR="00B5697F" w:rsidRDefault="00B5697F" w:rsidP="005A3C66">
      <w:pPr>
        <w:rPr>
          <w:rFonts w:ascii="Arial" w:hAnsi="Arial" w:cs="Arial"/>
        </w:rPr>
      </w:pPr>
    </w:p>
    <w:p w14:paraId="0FB7A633" w14:textId="77777777" w:rsidR="00B5697F" w:rsidRDefault="00B5697F" w:rsidP="005A3C66">
      <w:pPr>
        <w:rPr>
          <w:rFonts w:ascii="Arial" w:hAnsi="Arial" w:cs="Arial"/>
        </w:rPr>
      </w:pPr>
    </w:p>
    <w:p w14:paraId="3BB0B803" w14:textId="77777777" w:rsidR="00B5697F" w:rsidRDefault="00B5697F" w:rsidP="005A3C66">
      <w:pPr>
        <w:rPr>
          <w:rFonts w:ascii="Arial" w:hAnsi="Arial" w:cs="Arial"/>
        </w:rPr>
      </w:pPr>
    </w:p>
    <w:p w14:paraId="056FB570" w14:textId="77777777" w:rsidR="00B5697F" w:rsidRDefault="00B5697F" w:rsidP="005A3C66">
      <w:pPr>
        <w:rPr>
          <w:rFonts w:ascii="Arial" w:hAnsi="Arial" w:cs="Arial"/>
        </w:rPr>
      </w:pPr>
    </w:p>
    <w:p w14:paraId="1FC90BF0" w14:textId="77777777" w:rsidR="00B5697F" w:rsidRDefault="00B5697F" w:rsidP="005A3C66">
      <w:pPr>
        <w:rPr>
          <w:rFonts w:ascii="Arial" w:hAnsi="Arial" w:cs="Arial"/>
        </w:rPr>
      </w:pPr>
    </w:p>
    <w:p w14:paraId="4E50362D" w14:textId="77777777" w:rsidR="00B5697F" w:rsidRDefault="00B5697F" w:rsidP="005A3C66">
      <w:pPr>
        <w:rPr>
          <w:rFonts w:ascii="Arial" w:hAnsi="Arial" w:cs="Arial"/>
        </w:rPr>
      </w:pPr>
    </w:p>
    <w:p w14:paraId="59A8D4F4" w14:textId="77777777" w:rsidR="00B5697F" w:rsidRDefault="00B5697F" w:rsidP="005A3C66">
      <w:pPr>
        <w:rPr>
          <w:rFonts w:ascii="Arial" w:hAnsi="Arial" w:cs="Arial"/>
        </w:rPr>
      </w:pPr>
    </w:p>
    <w:p w14:paraId="07403D9A" w14:textId="77777777" w:rsidR="00B5697F" w:rsidRDefault="00B5697F" w:rsidP="005A3C66">
      <w:pPr>
        <w:rPr>
          <w:rFonts w:ascii="Arial" w:hAnsi="Arial" w:cs="Arial"/>
        </w:rPr>
      </w:pPr>
    </w:p>
    <w:p w14:paraId="6824F0A5" w14:textId="77777777" w:rsidR="00B5697F" w:rsidRDefault="00B5697F" w:rsidP="005A3C66">
      <w:pPr>
        <w:rPr>
          <w:rFonts w:ascii="Arial" w:hAnsi="Arial" w:cs="Arial"/>
        </w:rPr>
      </w:pPr>
    </w:p>
    <w:p w14:paraId="2A45EE1E" w14:textId="77777777" w:rsidR="00B5697F" w:rsidRDefault="00B5697F" w:rsidP="005A3C66">
      <w:pPr>
        <w:rPr>
          <w:rFonts w:ascii="Arial" w:hAnsi="Arial" w:cs="Arial"/>
        </w:rPr>
      </w:pPr>
    </w:p>
    <w:p w14:paraId="63FF1E8B" w14:textId="77777777" w:rsidR="00B5697F" w:rsidRDefault="00B5697F" w:rsidP="005A3C66">
      <w:pPr>
        <w:rPr>
          <w:rFonts w:ascii="Arial" w:hAnsi="Arial" w:cs="Arial"/>
        </w:rPr>
      </w:pPr>
    </w:p>
    <w:p w14:paraId="35003485" w14:textId="77777777" w:rsidR="00B5697F" w:rsidRDefault="00B5697F" w:rsidP="005A3C66">
      <w:pPr>
        <w:rPr>
          <w:rFonts w:ascii="Arial" w:hAnsi="Arial" w:cs="Arial"/>
        </w:rPr>
      </w:pPr>
    </w:p>
    <w:p w14:paraId="5F66F82C" w14:textId="77777777" w:rsidR="00B5697F" w:rsidRDefault="00B5697F" w:rsidP="005A3C66">
      <w:pPr>
        <w:rPr>
          <w:rFonts w:ascii="Arial" w:hAnsi="Arial" w:cs="Arial"/>
        </w:rPr>
      </w:pPr>
    </w:p>
    <w:p w14:paraId="4BE45371" w14:textId="77777777" w:rsidR="00B5697F" w:rsidRDefault="00B5697F" w:rsidP="005A3C66">
      <w:pPr>
        <w:rPr>
          <w:rFonts w:ascii="Arial" w:hAnsi="Arial" w:cs="Arial"/>
        </w:rPr>
      </w:pPr>
    </w:p>
    <w:p w14:paraId="1193FAE9" w14:textId="77777777" w:rsidR="00B5697F" w:rsidRDefault="00B5697F" w:rsidP="005A3C66">
      <w:pPr>
        <w:rPr>
          <w:rFonts w:ascii="Arial" w:hAnsi="Arial" w:cs="Arial"/>
        </w:rPr>
      </w:pPr>
    </w:p>
    <w:p w14:paraId="07BDE481" w14:textId="773F4F56" w:rsidR="00B5697F" w:rsidRDefault="00B5697F" w:rsidP="005A3C66">
      <w:pPr>
        <w:rPr>
          <w:rFonts w:ascii="Arial" w:hAnsi="Arial" w:cs="Arial"/>
        </w:rPr>
      </w:pPr>
      <w:r>
        <w:rPr>
          <w:rFonts w:ascii="Arial" w:hAnsi="Arial" w:cs="Arial"/>
        </w:rPr>
        <w:t xml:space="preserve">Reference List: </w:t>
      </w:r>
    </w:p>
    <w:p w14:paraId="435859B5" w14:textId="77777777" w:rsidR="008138E2" w:rsidRDefault="008138E2" w:rsidP="005A3C66">
      <w:pPr>
        <w:rPr>
          <w:rFonts w:ascii="Arial" w:hAnsi="Arial" w:cs="Arial"/>
        </w:rPr>
      </w:pPr>
    </w:p>
    <w:p w14:paraId="33058BD9" w14:textId="43FBDCB7" w:rsidR="00B5697F" w:rsidRPr="00B5697F" w:rsidRDefault="00B5697F" w:rsidP="00B5697F">
      <w:pPr>
        <w:rPr>
          <w:rFonts w:ascii="Arial" w:hAnsi="Arial" w:cs="Arial"/>
        </w:rPr>
      </w:pPr>
      <w:r w:rsidRPr="00B5697F">
        <w:rPr>
          <w:rFonts w:ascii="Arial" w:hAnsi="Arial" w:cs="Arial"/>
        </w:rPr>
        <w:t xml:space="preserve">Arbel, Y.A. (2015). Contract Remedies in Action: Specific Performance. West Virginia Law Review, [online] 118, p.369. Available at: https://heinonline.org/HOL/LandingPage?handle=hein.journals/wvb118&amp;div=12&amp;id=&amp;page=. </w:t>
      </w:r>
    </w:p>
    <w:p w14:paraId="76D2DD12" w14:textId="5F70B531" w:rsidR="00B5697F" w:rsidRPr="00B5697F" w:rsidRDefault="00B5697F" w:rsidP="00B5697F">
      <w:pPr>
        <w:rPr>
          <w:rFonts w:ascii="Arial" w:hAnsi="Arial" w:cs="Arial"/>
        </w:rPr>
      </w:pPr>
      <w:r w:rsidRPr="00B5697F">
        <w:rPr>
          <w:rFonts w:ascii="Arial" w:hAnsi="Arial" w:cs="Arial"/>
        </w:rPr>
        <w:t>Bailey, G. (1985). The Growth of the Equitable Remedy of Injunction. [online] Available at: https://scholarship.law.cornell.edu/cgi/viewcontent.cgi?article=1065&amp;context=historical_theses [Accessed 14 Mar. 2024].</w:t>
      </w:r>
    </w:p>
    <w:p w14:paraId="1277E232" w14:textId="16FC5A4B" w:rsidR="00B5697F" w:rsidRPr="00B5697F" w:rsidRDefault="00B5697F" w:rsidP="00B5697F">
      <w:pPr>
        <w:rPr>
          <w:rFonts w:ascii="Arial" w:hAnsi="Arial" w:cs="Arial"/>
        </w:rPr>
      </w:pPr>
      <w:r w:rsidRPr="00B5697F">
        <w:rPr>
          <w:rFonts w:ascii="Arial" w:hAnsi="Arial" w:cs="Arial"/>
        </w:rPr>
        <w:t xml:space="preserve">BAXTER, W.E. (1875). The Law and Practice of the Supreme Court of Judicature, Comprising the Supreme Court of Judicature Act, 1873, Supreme Court of Judicature-Commencement-Act, 1874, Rules of Court, Notes, Statutes Referred To, </w:t>
      </w:r>
      <w:proofErr w:type="gramStart"/>
      <w:r w:rsidRPr="00B5697F">
        <w:rPr>
          <w:rFonts w:ascii="Arial" w:hAnsi="Arial" w:cs="Arial"/>
        </w:rPr>
        <w:t>Etc.</w:t>
      </w:r>
      <w:proofErr w:type="gramEnd"/>
      <w:r w:rsidRPr="00B5697F">
        <w:rPr>
          <w:rFonts w:ascii="Arial" w:hAnsi="Arial" w:cs="Arial"/>
        </w:rPr>
        <w:t xml:space="preserve"> [online] Google Books. Butterworths. Available at: https://books.google.co.uk/books?hl=en&amp;lr=&amp;id=KXa8sOuLjDEC&amp;oi=fnd&amp;pg=PA1&amp;dq=Judicature+Act+1873-5&amp;ots=Hy6USSEkG8&amp;sig=b0fr7yprhby48zZE4WXH3b0rLlA#v=onepage&amp;q=Judicature%20Act%201873-5&amp;f=false [Accessed 14 Mar. 2024].</w:t>
      </w:r>
    </w:p>
    <w:p w14:paraId="1C2D45F3" w14:textId="603145B4" w:rsidR="00B5697F" w:rsidRPr="00B5697F" w:rsidRDefault="00B5697F" w:rsidP="00B5697F">
      <w:pPr>
        <w:rPr>
          <w:rFonts w:ascii="Arial" w:hAnsi="Arial" w:cs="Arial"/>
        </w:rPr>
      </w:pPr>
      <w:r w:rsidRPr="00B5697F">
        <w:rPr>
          <w:rFonts w:ascii="Arial" w:hAnsi="Arial" w:cs="Arial"/>
        </w:rPr>
        <w:t xml:space="preserve">Charley, S.W.T. (1875). The New System of Practice and Pleading Under the Supreme Court of Judicature Acts, 1873 &amp; 1875. [online] Google Books. </w:t>
      </w:r>
      <w:proofErr w:type="spellStart"/>
      <w:r w:rsidRPr="00B5697F">
        <w:rPr>
          <w:rFonts w:ascii="Arial" w:hAnsi="Arial" w:cs="Arial"/>
        </w:rPr>
        <w:t>Waterlow</w:t>
      </w:r>
      <w:proofErr w:type="spellEnd"/>
      <w:r w:rsidRPr="00B5697F">
        <w:rPr>
          <w:rFonts w:ascii="Arial" w:hAnsi="Arial" w:cs="Arial"/>
        </w:rPr>
        <w:t xml:space="preserve"> and Sons. Available at: https://books.google.co.uk/books?hl=en&amp;lr=&amp;id=QqYDAAAAQAAJ&amp;oi=fnd&amp;pg=PR16&amp;dq=Judicature+Act+1873-5&amp;ots=3SFZPRH5JW&amp;sig=QnXqSgkXBxat9zX_i4quTgA6WFI#v=onepage&amp;q=Judicature%20Act%201873-5&amp;f=false [Accessed 14 Mar. 2024]. </w:t>
      </w:r>
    </w:p>
    <w:p w14:paraId="0FE12E15" w14:textId="56B9A845" w:rsidR="00B5697F" w:rsidRPr="00B5697F" w:rsidRDefault="00B5697F" w:rsidP="00B5697F">
      <w:pPr>
        <w:rPr>
          <w:rFonts w:ascii="Arial" w:hAnsi="Arial" w:cs="Arial"/>
        </w:rPr>
      </w:pPr>
      <w:r w:rsidRPr="00B5697F">
        <w:rPr>
          <w:rFonts w:ascii="Arial" w:hAnsi="Arial" w:cs="Arial"/>
        </w:rPr>
        <w:t xml:space="preserve">Chattopadhyay, S.K. (1975). Equity in International Law: Its Growth and Development. </w:t>
      </w:r>
      <w:proofErr w:type="spellStart"/>
      <w:r w:rsidRPr="00B5697F">
        <w:rPr>
          <w:rFonts w:ascii="Arial" w:hAnsi="Arial" w:cs="Arial"/>
        </w:rPr>
        <w:t>Georiga</w:t>
      </w:r>
      <w:proofErr w:type="spellEnd"/>
      <w:r w:rsidRPr="00B5697F">
        <w:rPr>
          <w:rFonts w:ascii="Arial" w:hAnsi="Arial" w:cs="Arial"/>
        </w:rPr>
        <w:t xml:space="preserve"> Journal of International and Comparative Law, [online] 5, p.381. Available at: https://heinonline.org/HOL/LandingPage?handle=hein.journals/gjicl5&amp;div=26&amp;id=&amp;page= [Accessed 14 Mar. 2024]. </w:t>
      </w:r>
    </w:p>
    <w:p w14:paraId="4CB194F3" w14:textId="62069599" w:rsidR="00B5697F" w:rsidRPr="00B5697F" w:rsidRDefault="00B5697F" w:rsidP="00B5697F">
      <w:pPr>
        <w:rPr>
          <w:rFonts w:ascii="Arial" w:hAnsi="Arial" w:cs="Arial"/>
        </w:rPr>
      </w:pPr>
      <w:r w:rsidRPr="00B5697F">
        <w:rPr>
          <w:rFonts w:ascii="Arial" w:hAnsi="Arial" w:cs="Arial"/>
        </w:rPr>
        <w:t xml:space="preserve">Courts and Tribunals Judiciary (2023). Overview of the judiciary. [online] Courts and Tribunals Judiciary. Available at: https://www.judiciary.uk/about-the-judiciary/history-of-the-judiciary-in-england-and-wales/history-of-the-judiciary/. </w:t>
      </w:r>
    </w:p>
    <w:p w14:paraId="53AC0664" w14:textId="265B3D73" w:rsidR="00B5697F" w:rsidRPr="00B5697F" w:rsidRDefault="00B5697F" w:rsidP="00B5697F">
      <w:pPr>
        <w:rPr>
          <w:rFonts w:ascii="Arial" w:hAnsi="Arial" w:cs="Arial"/>
        </w:rPr>
      </w:pPr>
      <w:r w:rsidRPr="00B5697F">
        <w:rPr>
          <w:rFonts w:ascii="Arial" w:hAnsi="Arial" w:cs="Arial"/>
        </w:rPr>
        <w:t xml:space="preserve">Haskett, T.S. (1996). The Medieval English Court of Chancery. Law and History Review, 14(2), pp.245–313. </w:t>
      </w:r>
      <w:proofErr w:type="spellStart"/>
      <w:proofErr w:type="gramStart"/>
      <w:r w:rsidRPr="00B5697F">
        <w:rPr>
          <w:rFonts w:ascii="Arial" w:hAnsi="Arial" w:cs="Arial"/>
        </w:rPr>
        <w:t>doi:https</w:t>
      </w:r>
      <w:proofErr w:type="spellEnd"/>
      <w:r w:rsidRPr="00B5697F">
        <w:rPr>
          <w:rFonts w:ascii="Arial" w:hAnsi="Arial" w:cs="Arial"/>
        </w:rPr>
        <w:t>://doi.org/10.2307/743785</w:t>
      </w:r>
      <w:proofErr w:type="gramEnd"/>
      <w:r w:rsidRPr="00B5697F">
        <w:rPr>
          <w:rFonts w:ascii="Arial" w:hAnsi="Arial" w:cs="Arial"/>
        </w:rPr>
        <w:t xml:space="preserve">. </w:t>
      </w:r>
    </w:p>
    <w:p w14:paraId="097E1B8C" w14:textId="15133EB5" w:rsidR="00B5697F" w:rsidRPr="00B5697F" w:rsidRDefault="00B5697F" w:rsidP="00B5697F">
      <w:pPr>
        <w:rPr>
          <w:rFonts w:ascii="Arial" w:hAnsi="Arial" w:cs="Arial"/>
        </w:rPr>
      </w:pPr>
      <w:r w:rsidRPr="00B5697F">
        <w:rPr>
          <w:rFonts w:ascii="Arial" w:hAnsi="Arial" w:cs="Arial"/>
        </w:rPr>
        <w:lastRenderedPageBreak/>
        <w:t xml:space="preserve">Hayton and Marshal (2005). The Law of Trusts and Equitable </w:t>
      </w:r>
      <w:proofErr w:type="gramStart"/>
      <w:r w:rsidRPr="00B5697F">
        <w:rPr>
          <w:rFonts w:ascii="Arial" w:hAnsi="Arial" w:cs="Arial"/>
        </w:rPr>
        <w:t>Remedies .</w:t>
      </w:r>
      <w:proofErr w:type="gramEnd"/>
      <w:r w:rsidRPr="00B5697F">
        <w:rPr>
          <w:rFonts w:ascii="Arial" w:hAnsi="Arial" w:cs="Arial"/>
        </w:rPr>
        <w:t xml:space="preserve"> Sweet and Maxwell Ltd.</w:t>
      </w:r>
    </w:p>
    <w:p w14:paraId="45F38EF1" w14:textId="4E9E0711" w:rsidR="00B5697F" w:rsidRPr="00B5697F" w:rsidRDefault="00B5697F" w:rsidP="00B5697F">
      <w:pPr>
        <w:rPr>
          <w:rFonts w:ascii="Arial" w:hAnsi="Arial" w:cs="Arial"/>
        </w:rPr>
      </w:pPr>
      <w:proofErr w:type="gramStart"/>
      <w:r w:rsidRPr="00B5697F">
        <w:rPr>
          <w:rFonts w:ascii="Arial" w:hAnsi="Arial" w:cs="Arial"/>
        </w:rPr>
        <w:t>Holdsworth ,</w:t>
      </w:r>
      <w:proofErr w:type="gramEnd"/>
      <w:r w:rsidRPr="00B5697F">
        <w:rPr>
          <w:rFonts w:ascii="Arial" w:hAnsi="Arial" w:cs="Arial"/>
        </w:rPr>
        <w:t xml:space="preserve"> W.S. (2022). History of English </w:t>
      </w:r>
      <w:proofErr w:type="gramStart"/>
      <w:r w:rsidRPr="00B5697F">
        <w:rPr>
          <w:rFonts w:ascii="Arial" w:hAnsi="Arial" w:cs="Arial"/>
        </w:rPr>
        <w:t>Law .</w:t>
      </w:r>
      <w:proofErr w:type="gramEnd"/>
      <w:r w:rsidRPr="00B5697F">
        <w:rPr>
          <w:rFonts w:ascii="Arial" w:hAnsi="Arial" w:cs="Arial"/>
        </w:rPr>
        <w:t xml:space="preserve"> Legare Street Press, p.547. </w:t>
      </w:r>
    </w:p>
    <w:p w14:paraId="2BBF9F86" w14:textId="031313ED" w:rsidR="00B5697F" w:rsidRPr="00B5697F" w:rsidRDefault="00B5697F" w:rsidP="00B5697F">
      <w:pPr>
        <w:rPr>
          <w:rFonts w:ascii="Arial" w:hAnsi="Arial" w:cs="Arial"/>
        </w:rPr>
      </w:pPr>
      <w:r w:rsidRPr="00B5697F">
        <w:rPr>
          <w:rFonts w:ascii="Arial" w:hAnsi="Arial" w:cs="Arial"/>
        </w:rPr>
        <w:t xml:space="preserve">Holdsworth, W.S. (1914). Early History of Equity. Michigan Law Review, [online] 13, p.293. Available at: https://heinonline.org/HOL/LandingPage?handle=hein.journals/mlr13&amp;div=29&amp;id=&amp;page= [Accessed 14 Mar. 2024]. </w:t>
      </w:r>
    </w:p>
    <w:p w14:paraId="7157A7B3" w14:textId="636675CC" w:rsidR="00B5697F" w:rsidRPr="00B5697F" w:rsidRDefault="00B5697F" w:rsidP="00B5697F">
      <w:pPr>
        <w:rPr>
          <w:rFonts w:ascii="Arial" w:hAnsi="Arial" w:cs="Arial"/>
        </w:rPr>
      </w:pPr>
      <w:r w:rsidRPr="00B5697F">
        <w:rPr>
          <w:rFonts w:ascii="Arial" w:hAnsi="Arial" w:cs="Arial"/>
        </w:rPr>
        <w:t xml:space="preserve">Kenton, W. (2022). What Is a Writ? [online] Investopedia. Available at: https://www.investopedia.com/terms/w/writ.asp. </w:t>
      </w:r>
    </w:p>
    <w:p w14:paraId="4AC97DEE" w14:textId="63AB164D" w:rsidR="00B5697F" w:rsidRPr="00B5697F" w:rsidRDefault="00B5697F" w:rsidP="00B5697F">
      <w:pPr>
        <w:rPr>
          <w:rFonts w:ascii="Arial" w:hAnsi="Arial" w:cs="Arial"/>
        </w:rPr>
      </w:pPr>
      <w:r w:rsidRPr="00B5697F">
        <w:rPr>
          <w:rFonts w:ascii="Arial" w:hAnsi="Arial" w:cs="Arial"/>
        </w:rPr>
        <w:t xml:space="preserve">Klinck, D.R. (2010). Conscience, </w:t>
      </w:r>
      <w:proofErr w:type="gramStart"/>
      <w:r w:rsidRPr="00B5697F">
        <w:rPr>
          <w:rFonts w:ascii="Arial" w:hAnsi="Arial" w:cs="Arial"/>
        </w:rPr>
        <w:t>Equity</w:t>
      </w:r>
      <w:proofErr w:type="gramEnd"/>
      <w:r w:rsidRPr="00B5697F">
        <w:rPr>
          <w:rFonts w:ascii="Arial" w:hAnsi="Arial" w:cs="Arial"/>
        </w:rPr>
        <w:t xml:space="preserve"> and the Court of Chancery in Early Modern England (1st ed.). Routledge. https://doi.org/10.4324/9781315573465 </w:t>
      </w:r>
    </w:p>
    <w:p w14:paraId="2EF0EFB3" w14:textId="06D43683" w:rsidR="00B5697F" w:rsidRPr="00B5697F" w:rsidRDefault="00B5697F" w:rsidP="00B5697F">
      <w:pPr>
        <w:rPr>
          <w:rFonts w:ascii="Arial" w:hAnsi="Arial" w:cs="Arial"/>
        </w:rPr>
      </w:pPr>
      <w:r w:rsidRPr="00B5697F">
        <w:rPr>
          <w:rFonts w:ascii="Arial" w:hAnsi="Arial" w:cs="Arial"/>
        </w:rPr>
        <w:t>Leeming, M. (2011). Equity, the Judicature Acts and Restitution. [online] papers.ssrn.com. Available at: https://papers.ssrn.com/sol3/papers.cfm?abstract_id=1973391.</w:t>
      </w:r>
    </w:p>
    <w:p w14:paraId="6C287081" w14:textId="4E49D4B3" w:rsidR="00B5697F" w:rsidRPr="00B5697F" w:rsidRDefault="00B5697F" w:rsidP="00B5697F">
      <w:pPr>
        <w:rPr>
          <w:rFonts w:ascii="Arial" w:hAnsi="Arial" w:cs="Arial"/>
        </w:rPr>
      </w:pPr>
      <w:r w:rsidRPr="00B5697F">
        <w:rPr>
          <w:rFonts w:ascii="Arial" w:hAnsi="Arial" w:cs="Arial"/>
        </w:rPr>
        <w:t xml:space="preserve">LII Staff (2017). Equity. [online] LII / Legal Information Institute. Available at: https://www.law.cornell.edu/wex/equity. </w:t>
      </w:r>
    </w:p>
    <w:p w14:paraId="6670F3D4" w14:textId="146765D5" w:rsidR="00B5697F" w:rsidRPr="00B5697F" w:rsidRDefault="00B5697F" w:rsidP="00B5697F">
      <w:pPr>
        <w:rPr>
          <w:rFonts w:ascii="Arial" w:hAnsi="Arial" w:cs="Arial"/>
        </w:rPr>
      </w:pPr>
      <w:r w:rsidRPr="00B5697F">
        <w:rPr>
          <w:rFonts w:ascii="Arial" w:hAnsi="Arial" w:cs="Arial"/>
        </w:rPr>
        <w:t xml:space="preserve">Lobban M. Preparing for Fusion: Reforming the Nineteenth-Century Court of Chancery, Part I. </w:t>
      </w:r>
      <w:proofErr w:type="gramStart"/>
      <w:r w:rsidRPr="00B5697F">
        <w:rPr>
          <w:rFonts w:ascii="Arial" w:hAnsi="Arial" w:cs="Arial"/>
        </w:rPr>
        <w:t>Law</w:t>
      </w:r>
      <w:proofErr w:type="gramEnd"/>
      <w:r w:rsidRPr="00B5697F">
        <w:rPr>
          <w:rFonts w:ascii="Arial" w:hAnsi="Arial" w:cs="Arial"/>
        </w:rPr>
        <w:t xml:space="preserve"> and History Review. 2004;22(2):389-427. doi:10.2307/4141653 </w:t>
      </w:r>
    </w:p>
    <w:p w14:paraId="16470CAC" w14:textId="4E89AA37" w:rsidR="00B5697F" w:rsidRPr="00B5697F" w:rsidRDefault="00B5697F" w:rsidP="00B5697F">
      <w:pPr>
        <w:rPr>
          <w:rFonts w:ascii="Arial" w:hAnsi="Arial" w:cs="Arial"/>
        </w:rPr>
      </w:pPr>
      <w:r w:rsidRPr="00B5697F">
        <w:rPr>
          <w:rFonts w:ascii="Arial" w:hAnsi="Arial" w:cs="Arial"/>
        </w:rPr>
        <w:t xml:space="preserve">McLauchlan, D. (2014). Refining Rectification. SSRN Electronic Journal. </w:t>
      </w:r>
      <w:proofErr w:type="spellStart"/>
      <w:proofErr w:type="gramStart"/>
      <w:r w:rsidRPr="00B5697F">
        <w:rPr>
          <w:rFonts w:ascii="Arial" w:hAnsi="Arial" w:cs="Arial"/>
        </w:rPr>
        <w:t>doi:https</w:t>
      </w:r>
      <w:proofErr w:type="spellEnd"/>
      <w:r w:rsidRPr="00B5697F">
        <w:rPr>
          <w:rFonts w:ascii="Arial" w:hAnsi="Arial" w:cs="Arial"/>
        </w:rPr>
        <w:t>://doi.org/10.2139/ssrn.2416568</w:t>
      </w:r>
      <w:proofErr w:type="gramEnd"/>
      <w:r w:rsidRPr="00B5697F">
        <w:rPr>
          <w:rFonts w:ascii="Arial" w:hAnsi="Arial" w:cs="Arial"/>
        </w:rPr>
        <w:t>.</w:t>
      </w:r>
    </w:p>
    <w:p w14:paraId="3EBDD13D" w14:textId="6B3E5A73" w:rsidR="00B5697F" w:rsidRPr="00B5697F" w:rsidRDefault="00B5697F" w:rsidP="00B5697F">
      <w:pPr>
        <w:rPr>
          <w:rFonts w:ascii="Arial" w:hAnsi="Arial" w:cs="Arial"/>
        </w:rPr>
      </w:pPr>
      <w:r w:rsidRPr="00B5697F">
        <w:rPr>
          <w:rFonts w:ascii="Arial" w:hAnsi="Arial" w:cs="Arial"/>
        </w:rPr>
        <w:t xml:space="preserve">Moffat, G. (2005). Trusts </w:t>
      </w:r>
      <w:proofErr w:type="gramStart"/>
      <w:r w:rsidRPr="00B5697F">
        <w:rPr>
          <w:rFonts w:ascii="Arial" w:hAnsi="Arial" w:cs="Arial"/>
        </w:rPr>
        <w:t>Law .</w:t>
      </w:r>
      <w:proofErr w:type="gramEnd"/>
      <w:r w:rsidRPr="00B5697F">
        <w:rPr>
          <w:rFonts w:ascii="Arial" w:hAnsi="Arial" w:cs="Arial"/>
        </w:rPr>
        <w:t xml:space="preserve"> Cambridge University Press.</w:t>
      </w:r>
    </w:p>
    <w:p w14:paraId="1310F831" w14:textId="576518D9" w:rsidR="00B5697F" w:rsidRPr="00B5697F" w:rsidRDefault="00B5697F" w:rsidP="00B5697F">
      <w:pPr>
        <w:rPr>
          <w:rFonts w:ascii="Arial" w:hAnsi="Arial" w:cs="Arial"/>
        </w:rPr>
      </w:pPr>
      <w:r w:rsidRPr="00B5697F">
        <w:rPr>
          <w:rFonts w:ascii="Arial" w:hAnsi="Arial" w:cs="Arial"/>
        </w:rPr>
        <w:t xml:space="preserve">Parrington, M. (2012). A Short History of the Common Law | Michael’s General Musings. [online] archive.blogs.harvard.edu. Available at: https://archive.blogs.harvard.edu/mparrington73/2016/03/16/a-short-history-of-the-common-law/. </w:t>
      </w:r>
    </w:p>
    <w:p w14:paraId="0D0E19EA" w14:textId="2C79C826" w:rsidR="00B5697F" w:rsidRPr="00B5697F" w:rsidRDefault="00B5697F" w:rsidP="00B5697F">
      <w:pPr>
        <w:rPr>
          <w:rFonts w:ascii="Arial" w:hAnsi="Arial" w:cs="Arial"/>
        </w:rPr>
      </w:pPr>
      <w:r w:rsidRPr="00B5697F">
        <w:rPr>
          <w:rFonts w:ascii="Arial" w:hAnsi="Arial" w:cs="Arial"/>
        </w:rPr>
        <w:t xml:space="preserve">UK Gov (2024). The Provisions of Oxford. [online] UK Parliament. Available at: https://www.parliament.uk/about/living-heritage/evolutionofparliament/originsofparliament/birthofparliament/overview/simondemontfort/provisionsoxford/. </w:t>
      </w:r>
    </w:p>
    <w:p w14:paraId="7104DCA1" w14:textId="05BEFE24" w:rsidR="00B5697F" w:rsidRPr="00B5697F" w:rsidRDefault="00B5697F" w:rsidP="00B5697F">
      <w:pPr>
        <w:rPr>
          <w:rFonts w:ascii="Arial" w:hAnsi="Arial" w:cs="Arial"/>
        </w:rPr>
      </w:pPr>
      <w:r w:rsidRPr="00B5697F">
        <w:rPr>
          <w:rFonts w:ascii="Arial" w:hAnsi="Arial" w:cs="Arial"/>
        </w:rPr>
        <w:t>Virgo, G. (2020). The Principles of Equity and Trusts. Oxford University Press.</w:t>
      </w:r>
    </w:p>
    <w:p w14:paraId="1784E484" w14:textId="51E706CA" w:rsidR="00B5697F" w:rsidRDefault="00B5697F" w:rsidP="00B5697F">
      <w:pPr>
        <w:rPr>
          <w:rFonts w:ascii="Arial" w:hAnsi="Arial" w:cs="Arial"/>
        </w:rPr>
      </w:pPr>
      <w:r w:rsidRPr="00B5697F">
        <w:rPr>
          <w:rFonts w:ascii="Arial" w:hAnsi="Arial" w:cs="Arial"/>
        </w:rPr>
        <w:t>Watt, G. (2021). Equity &amp; Trusts Law. 7th Edition ed. Oxford University Press.</w:t>
      </w:r>
    </w:p>
    <w:p w14:paraId="72B22362" w14:textId="77777777" w:rsidR="005A3C66" w:rsidRDefault="005A3C66">
      <w:pPr>
        <w:rPr>
          <w:rFonts w:ascii="Arial" w:hAnsi="Arial" w:cs="Arial"/>
        </w:rPr>
      </w:pPr>
    </w:p>
    <w:p w14:paraId="36EC43BC" w14:textId="76E27B16" w:rsidR="00B5697F" w:rsidRDefault="00B5697F">
      <w:pPr>
        <w:rPr>
          <w:rFonts w:ascii="Arial" w:hAnsi="Arial" w:cs="Arial"/>
        </w:rPr>
      </w:pPr>
      <w:r>
        <w:rPr>
          <w:rFonts w:ascii="Arial" w:hAnsi="Arial" w:cs="Arial"/>
        </w:rPr>
        <w:t xml:space="preserve">Case Reference List: </w:t>
      </w:r>
    </w:p>
    <w:p w14:paraId="5A7FB700" w14:textId="77777777" w:rsidR="008138E2" w:rsidRDefault="008138E2">
      <w:pPr>
        <w:rPr>
          <w:rFonts w:ascii="Arial" w:hAnsi="Arial" w:cs="Arial"/>
        </w:rPr>
      </w:pPr>
    </w:p>
    <w:p w14:paraId="279DD389" w14:textId="3C43E826" w:rsidR="008138E2" w:rsidRDefault="008138E2">
      <w:pPr>
        <w:rPr>
          <w:rFonts w:ascii="Arial" w:hAnsi="Arial" w:cs="Arial"/>
        </w:rPr>
      </w:pPr>
      <w:r w:rsidRPr="008138E2">
        <w:rPr>
          <w:rFonts w:ascii="Arial" w:hAnsi="Arial" w:cs="Arial"/>
        </w:rPr>
        <w:lastRenderedPageBreak/>
        <w:t>American Cyanamid Co v Ethicon Ltd UKHL 1</w:t>
      </w:r>
    </w:p>
    <w:p w14:paraId="39D21A53" w14:textId="36C22DE3" w:rsidR="00BF3F3F" w:rsidRDefault="00BF3F3F">
      <w:pPr>
        <w:rPr>
          <w:rFonts w:ascii="Arial" w:hAnsi="Arial" w:cs="Arial"/>
        </w:rPr>
      </w:pPr>
      <w:r w:rsidRPr="00BF3F3F">
        <w:rPr>
          <w:rFonts w:ascii="Arial" w:hAnsi="Arial" w:cs="Arial"/>
        </w:rPr>
        <w:t>Bower v Bantam Investments [1972] 3 All E.R. 349</w:t>
      </w:r>
      <w:bookmarkStart w:id="0" w:name="_Hlk161422343"/>
      <w:r w:rsidR="005144ED">
        <w:rPr>
          <w:rFonts w:ascii="Arial" w:hAnsi="Arial" w:cs="Arial"/>
        </w:rPr>
        <w:t xml:space="preserve"> </w:t>
      </w:r>
    </w:p>
    <w:bookmarkEnd w:id="0"/>
    <w:p w14:paraId="2CB3AF6A" w14:textId="1445405A" w:rsidR="005144ED" w:rsidRDefault="00AC1918">
      <w:pPr>
        <w:rPr>
          <w:rFonts w:ascii="Arial" w:hAnsi="Arial" w:cs="Arial"/>
        </w:rPr>
      </w:pPr>
      <w:r w:rsidRPr="00AC1918">
        <w:rPr>
          <w:rFonts w:ascii="Arial" w:hAnsi="Arial" w:cs="Arial"/>
        </w:rPr>
        <w:t>Earl of Oxford's case (1615) 21 ER 485</w:t>
      </w:r>
      <w:r>
        <w:rPr>
          <w:rFonts w:ascii="Arial" w:hAnsi="Arial" w:cs="Arial"/>
        </w:rPr>
        <w:t xml:space="preserve"> </w:t>
      </w:r>
    </w:p>
    <w:p w14:paraId="24417809" w14:textId="77777777" w:rsidR="00AC1918" w:rsidRPr="00C05193" w:rsidRDefault="00AC1918">
      <w:pPr>
        <w:rPr>
          <w:rFonts w:ascii="Arial" w:hAnsi="Arial" w:cs="Arial"/>
        </w:rPr>
      </w:pPr>
    </w:p>
    <w:sectPr w:rsidR="00AC1918" w:rsidRPr="00C051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6DD"/>
    <w:rsid w:val="00310939"/>
    <w:rsid w:val="00375CA6"/>
    <w:rsid w:val="00501D2B"/>
    <w:rsid w:val="005144ED"/>
    <w:rsid w:val="005426DD"/>
    <w:rsid w:val="005A3C66"/>
    <w:rsid w:val="005B009C"/>
    <w:rsid w:val="008138E2"/>
    <w:rsid w:val="00AC1918"/>
    <w:rsid w:val="00B5697F"/>
    <w:rsid w:val="00BF3F3F"/>
    <w:rsid w:val="00C01B4D"/>
    <w:rsid w:val="00C05193"/>
    <w:rsid w:val="00CD2D2C"/>
    <w:rsid w:val="00D60DBA"/>
    <w:rsid w:val="00E73B80"/>
    <w:rsid w:val="00F9514A"/>
    <w:rsid w:val="00FE65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A2999"/>
  <w15:chartTrackingRefBased/>
  <w15:docId w15:val="{BFA1439C-74A4-41FE-9BE0-9BC95C2A7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26DD"/>
  </w:style>
  <w:style w:type="paragraph" w:styleId="Heading1">
    <w:name w:val="heading 1"/>
    <w:basedOn w:val="Normal"/>
    <w:next w:val="Normal"/>
    <w:link w:val="Heading1Char"/>
    <w:uiPriority w:val="9"/>
    <w:qFormat/>
    <w:rsid w:val="005426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26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26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26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26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26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26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26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26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6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26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26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26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26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26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26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26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26DD"/>
    <w:rPr>
      <w:rFonts w:eastAsiaTheme="majorEastAsia" w:cstheme="majorBidi"/>
      <w:color w:val="272727" w:themeColor="text1" w:themeTint="D8"/>
    </w:rPr>
  </w:style>
  <w:style w:type="paragraph" w:styleId="Title">
    <w:name w:val="Title"/>
    <w:basedOn w:val="Normal"/>
    <w:next w:val="Normal"/>
    <w:link w:val="TitleChar"/>
    <w:uiPriority w:val="10"/>
    <w:qFormat/>
    <w:rsid w:val="005426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26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26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26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26DD"/>
    <w:pPr>
      <w:spacing w:before="160"/>
      <w:jc w:val="center"/>
    </w:pPr>
    <w:rPr>
      <w:i/>
      <w:iCs/>
      <w:color w:val="404040" w:themeColor="text1" w:themeTint="BF"/>
    </w:rPr>
  </w:style>
  <w:style w:type="character" w:customStyle="1" w:styleId="QuoteChar">
    <w:name w:val="Quote Char"/>
    <w:basedOn w:val="DefaultParagraphFont"/>
    <w:link w:val="Quote"/>
    <w:uiPriority w:val="29"/>
    <w:rsid w:val="005426DD"/>
    <w:rPr>
      <w:i/>
      <w:iCs/>
      <w:color w:val="404040" w:themeColor="text1" w:themeTint="BF"/>
    </w:rPr>
  </w:style>
  <w:style w:type="paragraph" w:styleId="ListParagraph">
    <w:name w:val="List Paragraph"/>
    <w:basedOn w:val="Normal"/>
    <w:uiPriority w:val="34"/>
    <w:qFormat/>
    <w:rsid w:val="005426DD"/>
    <w:pPr>
      <w:ind w:left="720"/>
      <w:contextualSpacing/>
    </w:pPr>
  </w:style>
  <w:style w:type="character" w:styleId="IntenseEmphasis">
    <w:name w:val="Intense Emphasis"/>
    <w:basedOn w:val="DefaultParagraphFont"/>
    <w:uiPriority w:val="21"/>
    <w:qFormat/>
    <w:rsid w:val="005426DD"/>
    <w:rPr>
      <w:i/>
      <w:iCs/>
      <w:color w:val="0F4761" w:themeColor="accent1" w:themeShade="BF"/>
    </w:rPr>
  </w:style>
  <w:style w:type="paragraph" w:styleId="IntenseQuote">
    <w:name w:val="Intense Quote"/>
    <w:basedOn w:val="Normal"/>
    <w:next w:val="Normal"/>
    <w:link w:val="IntenseQuoteChar"/>
    <w:uiPriority w:val="30"/>
    <w:qFormat/>
    <w:rsid w:val="005426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26DD"/>
    <w:rPr>
      <w:i/>
      <w:iCs/>
      <w:color w:val="0F4761" w:themeColor="accent1" w:themeShade="BF"/>
    </w:rPr>
  </w:style>
  <w:style w:type="character" w:styleId="IntenseReference">
    <w:name w:val="Intense Reference"/>
    <w:basedOn w:val="DefaultParagraphFont"/>
    <w:uiPriority w:val="32"/>
    <w:qFormat/>
    <w:rsid w:val="005426D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1287</TotalTime>
  <Pages>8</Pages>
  <Words>2685</Words>
  <Characters>15306</Characters>
  <Application>Microsoft Office Word</Application>
  <DocSecurity>0</DocSecurity>
  <Lines>127</Lines>
  <Paragraphs>35</Paragraphs>
  <ScaleCrop>false</ScaleCrop>
  <Company/>
  <LinksUpToDate>false</LinksUpToDate>
  <CharactersWithSpaces>17956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Meigon Peters</dc:creator>
  <cp:keywords/>
  <dc:description/>
  <cp:lastModifiedBy>Meigon Peters</cp:lastModifiedBy>
  <cp:revision>18</cp:revision>
  <dcterms:created xsi:type="dcterms:W3CDTF">2024-03-14T19:54:00Z</dcterms:created>
  <dcterms:modified xsi:type="dcterms:W3CDTF">2024-03-15T19:18:00Z</dcterms:modified>
</cp:coreProperties>
</file>