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688" w:rsidRDefault="00565930">
      <w:r>
        <w:t>Active classrooms: Research into student engagement, classroom climate and movement within the classroom.</w:t>
      </w:r>
    </w:p>
    <w:p w:rsidR="00565930" w:rsidRDefault="00B86F53">
      <w:r>
        <w:t>Opportunities to interact in meaningful discursive practices and learning activities have been seen to be key factors in high-quality education around the world (National Research Council, 2000; OECD, 2016a, 2018; UNESCO, 2016). It is thought that these activities should enhance pupil’s communicative and reflective potential which is related to the different subject domains (</w:t>
      </w:r>
      <w:proofErr w:type="spellStart"/>
      <w:r>
        <w:t>Hiebert</w:t>
      </w:r>
      <w:proofErr w:type="spellEnd"/>
      <w:r>
        <w:t xml:space="preserve"> &amp; </w:t>
      </w:r>
      <w:proofErr w:type="spellStart"/>
      <w:r>
        <w:t>Grouws</w:t>
      </w:r>
      <w:proofErr w:type="spellEnd"/>
      <w:r>
        <w:t xml:space="preserve">, 2007; </w:t>
      </w:r>
      <w:proofErr w:type="spellStart"/>
      <w:r>
        <w:t>Nystrand</w:t>
      </w:r>
      <w:proofErr w:type="spellEnd"/>
      <w:r>
        <w:t xml:space="preserve">, 1997; </w:t>
      </w:r>
      <w:proofErr w:type="spellStart"/>
      <w:r>
        <w:t>Sfard</w:t>
      </w:r>
      <w:proofErr w:type="spellEnd"/>
      <w:r>
        <w:t xml:space="preserve">, 2015) in addition to their conceptual and discursive understanding of those subjects (Branden, 2000; </w:t>
      </w:r>
      <w:proofErr w:type="spellStart"/>
      <w:r>
        <w:t>Marton</w:t>
      </w:r>
      <w:proofErr w:type="spellEnd"/>
      <w:r>
        <w:t xml:space="preserve"> &amp; </w:t>
      </w:r>
      <w:proofErr w:type="spellStart"/>
      <w:r>
        <w:t>Saljo</w:t>
      </w:r>
      <w:proofErr w:type="spellEnd"/>
      <w:r>
        <w:t>, 1976; Smith &amp; Stein, 2011).</w:t>
      </w:r>
    </w:p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/>
    <w:p w:rsidR="00B86F53" w:rsidRDefault="00B86F53">
      <w:r>
        <w:lastRenderedPageBreak/>
        <w:t>Bibliography</w:t>
      </w:r>
    </w:p>
    <w:p w:rsidR="00215B15" w:rsidRDefault="00215B15">
      <w:r>
        <w:t xml:space="preserve">Branden, K. (2000). Does negotiation of meaning promote reading comprehension? A study of multilingual primary school classes. Reading Research Quarterly, 35(3), 426–443. </w:t>
      </w:r>
      <w:proofErr w:type="gramStart"/>
      <w:r>
        <w:t>doi:</w:t>
      </w:r>
      <w:proofErr w:type="gramEnd"/>
      <w:r>
        <w:t>10.1598/ RRQ.35.3.6</w:t>
      </w:r>
    </w:p>
    <w:p w:rsidR="00215B15" w:rsidRDefault="00215B15">
      <w:proofErr w:type="spellStart"/>
      <w:r>
        <w:t>Hiebert</w:t>
      </w:r>
      <w:proofErr w:type="spellEnd"/>
      <w:r>
        <w:t xml:space="preserve">, J., &amp; </w:t>
      </w:r>
      <w:proofErr w:type="spellStart"/>
      <w:r>
        <w:t>Grouws</w:t>
      </w:r>
      <w:proofErr w:type="spellEnd"/>
      <w:r>
        <w:t>, A. D. (2007). The effects of classroom mathematics teaching on students’ learning. In F. K. Lester Jr (Ed.), Second handbook of research on mathematics teaching and learning (pp. 371–404). Charlotte, NC: Information Age.</w:t>
      </w:r>
    </w:p>
    <w:p w:rsidR="00215B15" w:rsidRDefault="00215B15">
      <w:proofErr w:type="spellStart"/>
      <w:r>
        <w:t>Marton</w:t>
      </w:r>
      <w:proofErr w:type="spellEnd"/>
      <w:r>
        <w:t xml:space="preserve">, F., &amp; </w:t>
      </w:r>
      <w:proofErr w:type="spellStart"/>
      <w:r>
        <w:t>Säljö</w:t>
      </w:r>
      <w:proofErr w:type="spellEnd"/>
      <w:r>
        <w:t>, R. (1976). On qualitative differences in learning: I—Outcome and process. British Journal of Educational Psychology, 46(1), 4–11. doi:10.1111/bjep.1976.46.issue-1</w:t>
      </w:r>
    </w:p>
    <w:p w:rsidR="00B86F53" w:rsidRDefault="00F4254F">
      <w:r>
        <w:t xml:space="preserve">National Research Council. (2000). </w:t>
      </w:r>
      <w:proofErr w:type="gramStart"/>
      <w:r>
        <w:t>How</w:t>
      </w:r>
      <w:proofErr w:type="gramEnd"/>
      <w:r>
        <w:t xml:space="preserve"> people learn: Brain, mind, experience, and school, expanded edition. Washington, DC: The National Academies Press. Retrieved from https:// doi.org/10.17226/9853</w:t>
      </w:r>
    </w:p>
    <w:p w:rsidR="00215B15" w:rsidRDefault="00215B15">
      <w:proofErr w:type="spellStart"/>
      <w:r>
        <w:t>Nystrand</w:t>
      </w:r>
      <w:proofErr w:type="spellEnd"/>
      <w:r>
        <w:t>, M. (1997). Opening dialogue: Understanding the dynamics of language and learning in the English classroom. New York, NY: Teachers College Press.</w:t>
      </w:r>
    </w:p>
    <w:p w:rsidR="00F4254F" w:rsidRDefault="00F4254F">
      <w:r>
        <w:t xml:space="preserve">OECD. (2016a). Global competence for an inclusive world. Paris: Author. Retrieved from https:// </w:t>
      </w:r>
      <w:hyperlink r:id="rId4" w:history="1">
        <w:r w:rsidRPr="00852388">
          <w:rPr>
            <w:rStyle w:val="Hyperlink"/>
          </w:rPr>
          <w:t>www.oecd.org/education/Global-competency-for-an-inclusive-world.pdf</w:t>
        </w:r>
      </w:hyperlink>
    </w:p>
    <w:p w:rsidR="00215B15" w:rsidRDefault="00215B15">
      <w:proofErr w:type="spellStart"/>
      <w:r>
        <w:t>Sfard</w:t>
      </w:r>
      <w:proofErr w:type="spellEnd"/>
      <w:r>
        <w:t xml:space="preserve">, A. (2015). Learning, </w:t>
      </w:r>
      <w:proofErr w:type="spellStart"/>
      <w:r>
        <w:t>commognition</w:t>
      </w:r>
      <w:proofErr w:type="spellEnd"/>
      <w:r>
        <w:t xml:space="preserve"> and mathematics. In D. Scott &amp; E. Hargreaves (Eds.), The Sage handbook of learning (pp. 129–138). London: Sage</w:t>
      </w:r>
    </w:p>
    <w:p w:rsidR="00215B15" w:rsidRDefault="00215B15">
      <w:r>
        <w:t>Smith, M., &amp; Stein, M. (2011). 5 practices for orchestrating productive mathematics discussions. Reston, VA: NCTM.</w:t>
      </w:r>
      <w:bookmarkStart w:id="0" w:name="_GoBack"/>
      <w:bookmarkEnd w:id="0"/>
    </w:p>
    <w:p w:rsidR="00F4254F" w:rsidRDefault="00F4254F">
      <w:r>
        <w:t>UNESCO. (2016). Measures of quality through classroom observation for the sustainable development goals: Lessons from low-and-middle-income countries. Retrieved from http://unesdoc. unesco.org/images/0024/002458/245841e.pdf</w:t>
      </w:r>
    </w:p>
    <w:p w:rsidR="00215B15" w:rsidRDefault="00215B15"/>
    <w:sectPr w:rsidR="00215B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930"/>
    <w:rsid w:val="00215B15"/>
    <w:rsid w:val="00565930"/>
    <w:rsid w:val="00B86F53"/>
    <w:rsid w:val="00EE6688"/>
    <w:rsid w:val="00F4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FBAEF6-485C-486A-A17F-178FB4488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25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6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0026">
          <w:marLeft w:val="0"/>
          <w:marRight w:val="-12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70308">
          <w:marLeft w:val="0"/>
          <w:marRight w:val="-12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0882">
          <w:marLeft w:val="0"/>
          <w:marRight w:val="-12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2604">
          <w:marLeft w:val="0"/>
          <w:marRight w:val="-12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984">
          <w:marLeft w:val="0"/>
          <w:marRight w:val="-12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9227">
          <w:marLeft w:val="0"/>
          <w:marRight w:val="-12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1471">
          <w:marLeft w:val="0"/>
          <w:marRight w:val="-12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ecd.org/education/Global-competency-for-an-inclusive-worl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Focus Learning Trust</Company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Withy | OSG Swansea</dc:creator>
  <cp:keywords/>
  <dc:description/>
  <cp:lastModifiedBy>Sarah Withey | OSG Swansea</cp:lastModifiedBy>
  <cp:revision>1</cp:revision>
  <dcterms:created xsi:type="dcterms:W3CDTF">2019-01-24T09:59:00Z</dcterms:created>
  <dcterms:modified xsi:type="dcterms:W3CDTF">2019-01-24T10:43:00Z</dcterms:modified>
</cp:coreProperties>
</file>