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22031032"/>
        <w:docPartObj>
          <w:docPartGallery w:val="Cover Pages"/>
          <w:docPartUnique/>
        </w:docPartObj>
      </w:sdtPr>
      <w:sdtEndPr>
        <w:rPr>
          <w:rFonts w:ascii="Arial" w:hAnsi="Arial" w:cs="Arial"/>
        </w:rPr>
      </w:sdtEndPr>
      <w:sdtContent>
        <w:p w14:paraId="21DBAF28" w14:textId="68F308D3" w:rsidR="00780E67" w:rsidRDefault="003702D8">
          <w:r>
            <w:rPr>
              <w:noProof/>
            </w:rPr>
            <mc:AlternateContent>
              <mc:Choice Requires="wps">
                <w:drawing>
                  <wp:anchor distT="0" distB="0" distL="114300" distR="114300" simplePos="0" relativeHeight="251659264" behindDoc="0" locked="0" layoutInCell="1" allowOverlap="1" wp14:anchorId="0A06726B" wp14:editId="108CF0FE">
                    <wp:simplePos x="0" y="0"/>
                    <wp:positionH relativeFrom="page">
                      <wp:posOffset>-952500</wp:posOffset>
                    </wp:positionH>
                    <wp:positionV relativeFrom="page">
                      <wp:posOffset>1504950</wp:posOffset>
                    </wp:positionV>
                    <wp:extent cx="9163050" cy="56007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9163050" cy="560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D5D6D2" w14:textId="409A04C4" w:rsidR="00780E67" w:rsidRPr="00F30A79" w:rsidRDefault="006227CA" w:rsidP="00585309">
                                <w:pPr>
                                  <w:spacing w:after="0" w:line="240" w:lineRule="auto"/>
                                  <w:jc w:val="center"/>
                                  <w:rPr>
                                    <w:color w:val="FF0000"/>
                                    <w:sz w:val="64"/>
                                    <w:szCs w:val="64"/>
                                  </w:rPr>
                                </w:pPr>
                                <w:sdt>
                                  <w:sdtPr>
                                    <w:rPr>
                                      <w:caps/>
                                      <w:kern w:val="0"/>
                                      <w:sz w:val="50"/>
                                      <w:szCs w:val="50"/>
                                      <w14:ligatures w14:val="none"/>
                                    </w:rPr>
                                    <w:alias w:val="Title"/>
                                    <w:tag w:val=""/>
                                    <w:id w:val="-1556155353"/>
                                    <w:dataBinding w:prefixMappings="xmlns:ns0='http://purl.org/dc/elements/1.1/' xmlns:ns1='http://schemas.openxmlformats.org/package/2006/metadata/core-properties' " w:xpath="/ns1:coreProperties[1]/ns0:title[1]" w:storeItemID="{6C3C8BC8-F283-45AE-878A-BAB7291924A1}"/>
                                    <w:text w:multiLine="1"/>
                                  </w:sdtPr>
                                  <w:sdtEndPr/>
                                  <w:sdtContent>
                                    <w:r w:rsidR="006F140C" w:rsidRPr="006F140C">
                                      <w:rPr>
                                        <w:caps/>
                                        <w:kern w:val="0"/>
                                        <w:sz w:val="50"/>
                                        <w:szCs w:val="50"/>
                                        <w14:ligatures w14:val="none"/>
                                      </w:rPr>
                                      <w:t xml:space="preserve">LOCAL AUTHORITY cOMMUNITY </w:t>
                                    </w:r>
                                    <w:r w:rsidR="006F140C" w:rsidRPr="006F140C">
                                      <w:rPr>
                                        <w:caps/>
                                        <w:kern w:val="0"/>
                                        <w:sz w:val="50"/>
                                        <w:szCs w:val="50"/>
                                        <w14:ligatures w14:val="none"/>
                                      </w:rPr>
                                      <w:br/>
                                      <w:t xml:space="preserve">ENGAGEMENT PROCESS    </w:t>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0F4962" w:rsidRPr="006F140C">
                                      <w:rPr>
                                        <w:caps/>
                                        <w:kern w:val="0"/>
                                        <w:sz w:val="50"/>
                                        <w:szCs w:val="50"/>
                                        <w14:ligatures w14:val="none"/>
                                      </w:rPr>
                                      <w:br/>
                                    </w:r>
                                    <w:r w:rsidR="000F4962" w:rsidRPr="006F140C">
                                      <w:rPr>
                                        <w:caps/>
                                        <w:kern w:val="0"/>
                                        <w:sz w:val="50"/>
                                        <w:szCs w:val="50"/>
                                        <w14:ligatures w14:val="none"/>
                                      </w:rPr>
                                      <w:br/>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C9F1B8D" w14:textId="0E445CBE" w:rsidR="00780E67" w:rsidRDefault="001160CA">
                                    <w:pPr>
                                      <w:jc w:val="right"/>
                                      <w:rPr>
                                        <w:smallCaps/>
                                        <w:color w:val="404040" w:themeColor="text1" w:themeTint="BF"/>
                                        <w:sz w:val="36"/>
                                        <w:szCs w:val="36"/>
                                      </w:rPr>
                                    </w:pPr>
                                    <w:r w:rsidRPr="006F140C">
                                      <w:rPr>
                                        <w:sz w:val="36"/>
                                        <w:szCs w:val="36"/>
                                      </w:rPr>
                                      <w:t>COMMUNITY ENGAGEMENT</w:t>
                                    </w:r>
                                    <w:r w:rsidR="006F140C">
                                      <w:rPr>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A06726B" id="_x0000_t202" coordsize="21600,21600" o:spt="202" path="m,l,21600r21600,l21600,xe">
                    <v:stroke joinstyle="miter"/>
                    <v:path gradientshapeok="t" o:connecttype="rect"/>
                  </v:shapetype>
                  <v:shape id="Text Box 154" o:spid="_x0000_s1026" type="#_x0000_t202" style="position:absolute;margin-left:-75pt;margin-top:118.5pt;width:721.5pt;height:44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" filled="f" stroked="f" strokeweight=".5pt">
                    <v:textbox inset="126pt,0,54pt,0">
                      <w:txbxContent>
                        <w:p w14:paraId="3ED5D6D2" w14:textId="409A04C4" w:rsidR="00780E67" w:rsidRPr="00F30A79" w:rsidRDefault="00457CCE" w:rsidP="00585309">
                          <w:pPr>
                            <w:spacing w:after="0" w:line="240" w:lineRule="auto"/>
                            <w:jc w:val="center"/>
                            <w:rPr>
                              <w:color w:val="FF0000"/>
                              <w:sz w:val="64"/>
                              <w:szCs w:val="64"/>
                            </w:rPr>
                          </w:pPr>
                          <w:sdt>
                            <w:sdtPr>
                              <w:rPr>
                                <w:caps/>
                                <w:kern w:val="0"/>
                                <w:sz w:val="50"/>
                                <w:szCs w:val="50"/>
                                <w14:ligatures w14:val="none"/>
                              </w:rPr>
                              <w:alias w:val="Title"/>
                              <w:tag w:val=""/>
                              <w:id w:val="-1556155353"/>
                              <w:dataBinding w:prefixMappings="xmlns:ns0='http://purl.org/dc/elements/1.1/' xmlns:ns1='http://schemas.openxmlformats.org/package/2006/metadata/core-properties' " w:xpath="/ns1:coreProperties[1]/ns0:title[1]" w:storeItemID="{6C3C8BC8-F283-45AE-878A-BAB7291924A1}"/>
                              <w:text w:multiLine="1"/>
                            </w:sdtPr>
                            <w:sdtEndPr/>
                            <w:sdtContent>
                              <w:r w:rsidR="006F140C" w:rsidRPr="006F140C">
                                <w:rPr>
                                  <w:caps/>
                                  <w:kern w:val="0"/>
                                  <w:sz w:val="50"/>
                                  <w:szCs w:val="50"/>
                                  <w14:ligatures w14:val="none"/>
                                </w:rPr>
                                <w:t xml:space="preserve">LOCAL AUTHORITY cOMMUNITY </w:t>
                              </w:r>
                              <w:r w:rsidR="006F140C" w:rsidRPr="006F140C">
                                <w:rPr>
                                  <w:caps/>
                                  <w:kern w:val="0"/>
                                  <w:sz w:val="50"/>
                                  <w:szCs w:val="50"/>
                                  <w14:ligatures w14:val="none"/>
                                </w:rPr>
                                <w:br/>
                                <w:t xml:space="preserve">ENGAGEMENT PROCESS    </w:t>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6F140C" w:rsidRPr="006F140C">
                                <w:rPr>
                                  <w:caps/>
                                  <w:kern w:val="0"/>
                                  <w:sz w:val="50"/>
                                  <w:szCs w:val="50"/>
                                  <w14:ligatures w14:val="none"/>
                                </w:rPr>
                                <w:br/>
                              </w:r>
                              <w:r w:rsidR="000F4962" w:rsidRPr="006F140C">
                                <w:rPr>
                                  <w:caps/>
                                  <w:kern w:val="0"/>
                                  <w:sz w:val="50"/>
                                  <w:szCs w:val="50"/>
                                  <w14:ligatures w14:val="none"/>
                                </w:rPr>
                                <w:br/>
                              </w:r>
                              <w:r w:rsidR="000F4962" w:rsidRPr="006F140C">
                                <w:rPr>
                                  <w:caps/>
                                  <w:kern w:val="0"/>
                                  <w:sz w:val="50"/>
                                  <w:szCs w:val="50"/>
                                  <w14:ligatures w14:val="none"/>
                                </w:rPr>
                                <w:br/>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C9F1B8D" w14:textId="0E445CBE" w:rsidR="00780E67" w:rsidRDefault="001160CA">
                              <w:pPr>
                                <w:jc w:val="right"/>
                                <w:rPr>
                                  <w:smallCaps/>
                                  <w:color w:val="404040" w:themeColor="text1" w:themeTint="BF"/>
                                  <w:sz w:val="36"/>
                                  <w:szCs w:val="36"/>
                                </w:rPr>
                              </w:pPr>
                              <w:r w:rsidRPr="006F140C">
                                <w:rPr>
                                  <w:sz w:val="36"/>
                                  <w:szCs w:val="36"/>
                                </w:rPr>
                                <w:t>COMMUNITY ENGAGEMENT</w:t>
                              </w:r>
                              <w:r w:rsidR="006F140C">
                                <w:rPr>
                                  <w:sz w:val="36"/>
                                  <w:szCs w:val="36"/>
                                </w:rPr>
                                <w:t xml:space="preserve">                               </w:t>
                              </w:r>
                            </w:p>
                          </w:sdtContent>
                        </w:sdt>
                      </w:txbxContent>
                    </v:textbox>
                    <w10:wrap type="square" anchorx="page" anchory="page"/>
                  </v:shape>
                </w:pict>
              </mc:Fallback>
            </mc:AlternateContent>
          </w:r>
          <w:r w:rsidR="00780E67">
            <w:rPr>
              <w:noProof/>
            </w:rPr>
            <mc:AlternateContent>
              <mc:Choice Requires="wpg">
                <w:drawing>
                  <wp:anchor distT="0" distB="0" distL="114300" distR="114300" simplePos="0" relativeHeight="251662336" behindDoc="0" locked="0" layoutInCell="1" allowOverlap="1" wp14:anchorId="03DB5AE4" wp14:editId="5EFAB9A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7A68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OyzcAA&#10;AADcAAAADwAAAGRycy9kb3ducmV2LnhtbESPzWrCQBDH7wXfYRmht7oxoJXoKpIg2KNpH2DITpNg&#10;djZkV13f3jkUepth/h+/2R2SG9SdptB7NrBcZKCIG297bg38fJ8+NqBCRLY4eCYDTwpw2M/edlhY&#10;/+AL3evYKgnhUKCBLsax0Do0HTkMCz8Sy+3XTw6jrFOr7YQPCXeDzrNsrR32LA0djlR21Fzrm5Pe&#10;elOt+DMn+io5S8tTXrVXZ8z7PB23oCKl+C/+c5+t4K8EX56RCfT+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WOyzcAAAADcAAAADwAAAAAAAAAAAAAAAACYAgAAZHJzL2Rvd25y&#10;ZXYueG1sUEsFBgAAAAAEAAQA9QAAAIUD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WODsIA&#10;AADcAAAADwAAAGRycy9kb3ducmV2LnhtbERPS2sCMRC+F/ofwhS81ewKFrs1ioivW6kV7HFIxt1l&#10;N5Mlie76702h0Nt8fM+ZLwfbihv5UDtWkI8zEMTamZpLBafv7esMRIjIBlvHpOBOAZaL56c5Fsb1&#10;/EW3YyxFCuFQoIIqxq6QMuiKLIax64gTd3HeYkzQl9J47FO4beUky96kxZpTQ4UdrSvSzfFqFfQr&#10;+e5/zr0+TPLN7jL7bHTYN0qNXobVB4hIQ/wX/7kPJs2f5vD7TLpAL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pY4OwgAAANwAAAAPAAAAAAAAAAAAAAAAAJgCAABkcnMvZG93&#10;bnJldi54bWxQSwUGAAAAAAQABAD1AAAAhwMAAAAA&#10;" stroked="f" strokeweight="2pt">
                      <v:fill r:id="rId10" o:title="" recolor="t" rotate="t" type="frame"/>
                    </v:rect>
                    <w10:wrap anchorx="page" anchory="page"/>
                  </v:group>
                </w:pict>
              </mc:Fallback>
            </mc:AlternateContent>
          </w:r>
          <w:r w:rsidR="00780E67">
            <w:rPr>
              <w:noProof/>
            </w:rPr>
            <mc:AlternateContent>
              <mc:Choice Requires="wps">
                <w:drawing>
                  <wp:anchor distT="0" distB="0" distL="114300" distR="114300" simplePos="0" relativeHeight="251660288" behindDoc="0" locked="0" layoutInCell="1" allowOverlap="1" wp14:anchorId="0DBEFD85" wp14:editId="73109FD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9403C8" w14:textId="7A326A0A" w:rsidR="00780E67" w:rsidRDefault="00780E67" w:rsidP="0059637D">
                                <w:pPr>
                                  <w:pStyle w:val="NoSpacing"/>
                                  <w:rPr>
                                    <w:color w:val="595959" w:themeColor="text1" w:themeTint="A6"/>
                                    <w:sz w:val="28"/>
                                    <w:szCs w:val="28"/>
                                  </w:rPr>
                                </w:pPr>
                              </w:p>
                              <w:p w14:paraId="28620406" w14:textId="55A6A5F9" w:rsidR="00780E67" w:rsidRDefault="006227C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9637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DBEFD85"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p w14:paraId="6B9403C8" w14:textId="7A326A0A" w:rsidR="00780E67" w:rsidRDefault="00780E67" w:rsidP="0059637D">
                          <w:pPr>
                            <w:pStyle w:val="NoSpacing"/>
                            <w:rPr>
                              <w:color w:val="595959" w:themeColor="text1" w:themeTint="A6"/>
                              <w:sz w:val="28"/>
                              <w:szCs w:val="28"/>
                            </w:rPr>
                          </w:pPr>
                        </w:p>
                        <w:p w14:paraId="28620406" w14:textId="55A6A5F9" w:rsidR="00780E67" w:rsidRDefault="00457CC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9637D">
                                <w:rPr>
                                  <w:color w:val="595959" w:themeColor="text1" w:themeTint="A6"/>
                                  <w:sz w:val="18"/>
                                  <w:szCs w:val="18"/>
                                </w:rPr>
                                <w:t xml:space="preserve">     </w:t>
                              </w:r>
                            </w:sdtContent>
                          </w:sdt>
                        </w:p>
                      </w:txbxContent>
                    </v:textbox>
                    <w10:wrap type="square" anchorx="page" anchory="page"/>
                  </v:shape>
                </w:pict>
              </mc:Fallback>
            </mc:AlternateContent>
          </w:r>
        </w:p>
        <w:p w14:paraId="74709721" w14:textId="1FB7CAFD" w:rsidR="00780E67" w:rsidRDefault="00585309">
          <w:pPr>
            <w:rPr>
              <w:rFonts w:ascii="Arial" w:hAnsi="Arial" w:cs="Arial"/>
            </w:rPr>
          </w:pPr>
          <w:r>
            <w:rPr>
              <w:noProof/>
            </w:rPr>
            <mc:AlternateContent>
              <mc:Choice Requires="wps">
                <w:drawing>
                  <wp:anchor distT="0" distB="0" distL="114300" distR="114300" simplePos="0" relativeHeight="251661312" behindDoc="0" locked="0" layoutInCell="1" allowOverlap="1" wp14:anchorId="5FD11B13" wp14:editId="14C9F27B">
                    <wp:simplePos x="0" y="0"/>
                    <wp:positionH relativeFrom="margin">
                      <wp:align>center</wp:align>
                    </wp:positionH>
                    <wp:positionV relativeFrom="margin">
                      <wp:posOffset>6286500</wp:posOffset>
                    </wp:positionV>
                    <wp:extent cx="7315200" cy="22479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247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EndPr/>
                                <w:sdtContent>
                                  <w:p w14:paraId="3BACDA27" w14:textId="0F699039" w:rsidR="0059637D" w:rsidRPr="000F4962" w:rsidRDefault="000F4962" w:rsidP="003702D8">
                                    <w:pPr>
                                      <w:spacing w:after="0" w:line="259" w:lineRule="auto"/>
                                      <w:jc w:val="center"/>
                                      <w:rPr>
                                        <w:rFonts w:ascii="Arial" w:hAnsi="Arial" w:cs="Arial"/>
                                        <w:sz w:val="32"/>
                                        <w:szCs w:val="32"/>
                                      </w:rPr>
                                    </w:pPr>
                                    <w:r w:rsidRPr="000F4962">
                                      <w:rPr>
                                        <w:rFonts w:ascii="Arial" w:hAnsi="Arial" w:cs="Arial"/>
                                        <w:sz w:val="32"/>
                                        <w:szCs w:val="32"/>
                                      </w:rPr>
                                      <w:t xml:space="preserve">BA Business Management                                                                                            LCBB4002_BIRM                                                         Zahra </w:t>
                                    </w:r>
                                    <w:proofErr w:type="spellStart"/>
                                    <w:r w:rsidRPr="000F4962">
                                      <w:rPr>
                                        <w:rFonts w:ascii="Arial" w:hAnsi="Arial" w:cs="Arial"/>
                                        <w:sz w:val="32"/>
                                        <w:szCs w:val="32"/>
                                      </w:rPr>
                                      <w:t>Mohammadnazari</w:t>
                                    </w:r>
                                    <w:proofErr w:type="spellEnd"/>
                                    <w:r w:rsidR="003702D8" w:rsidRPr="000F4962">
                                      <w:rPr>
                                        <w:rFonts w:ascii="Arial" w:hAnsi="Arial" w:cs="Arial"/>
                                        <w:sz w:val="32"/>
                                        <w:szCs w:val="32"/>
                                      </w:rPr>
                                      <w:t xml:space="preserve">                                                                                            </w:t>
                                    </w:r>
                                    <w:proofErr w:type="spellStart"/>
                                    <w:r w:rsidRPr="000F4962">
                                      <w:rPr>
                                        <w:rFonts w:ascii="Arial" w:hAnsi="Arial" w:cs="Arial"/>
                                        <w:sz w:val="32"/>
                                        <w:szCs w:val="32"/>
                                      </w:rPr>
                                      <w:t>Georgi</w:t>
                                    </w:r>
                                    <w:proofErr w:type="spellEnd"/>
                                    <w:r w:rsidRPr="000F4962">
                                      <w:rPr>
                                        <w:rFonts w:ascii="Arial" w:hAnsi="Arial" w:cs="Arial"/>
                                        <w:sz w:val="32"/>
                                        <w:szCs w:val="32"/>
                                      </w:rPr>
                                      <w:t xml:space="preserve"> </w:t>
                                    </w:r>
                                    <w:proofErr w:type="spellStart"/>
                                    <w:r w:rsidRPr="000F4962">
                                      <w:rPr>
                                        <w:rFonts w:ascii="Arial" w:hAnsi="Arial" w:cs="Arial"/>
                                        <w:sz w:val="32"/>
                                        <w:szCs w:val="32"/>
                                      </w:rPr>
                                      <w:t>Dimitrov</w:t>
                                    </w:r>
                                    <w:proofErr w:type="spellEnd"/>
                                    <w:r w:rsidRPr="000F4962">
                                      <w:rPr>
                                        <w:rFonts w:ascii="Arial" w:hAnsi="Arial" w:cs="Arial"/>
                                        <w:sz w:val="32"/>
                                        <w:szCs w:val="32"/>
                                      </w:rPr>
                                      <w:t xml:space="preserve">                                                          Student number                                                            2230344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FD11B13" id="Text Box 153" o:spid="_x0000_s1028" type="#_x0000_t202" style="position:absolute;margin-left:0;margin-top:495pt;width:8in;height:177pt;z-index:251661312;visibility:visible;mso-wrap-style:square;mso-width-percent:941;mso-height-percent:0;mso-wrap-distance-left:9pt;mso-wrap-distance-top:0;mso-wrap-distance-right:9pt;mso-wrap-distance-bottom:0;mso-position-horizontal:center;mso-position-horizontal-relative:margin;mso-position-vertical:absolute;mso-position-vertical-relative:margin;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" filled="f" stroked="f" strokeweight=".5pt">
                    <v:textbox inset="126pt,0,54pt,0">
                      <w:txbxContent>
                        <w:sdt>
                          <w:sdtPr>
                            <w:rPr>
                              <w:rFonts w:ascii="Arial" w:hAnsi="Arial" w:cs="Arial"/>
                              <w:sz w:val="32"/>
                              <w:szCs w:val="32"/>
                            </w:rPr>
                            <w:alias w:val="Abstract"/>
                            <w:tag w:val=""/>
                            <w:id w:val="1944726443"/>
                            <w:dataBinding w:prefixMappings="xmlns:ns0='http://schemas.microsoft.com/office/2006/coverPageProps' " w:xpath="/ns0:CoverPageProperties[1]/ns0:Abstract[1]" w:storeItemID="{55AF091B-3C7A-41E3-B477-F2FDAA23CFDA}"/>
                            <w:text/>
                          </w:sdtPr>
                          <w:sdtContent>
                            <w:p w14:paraId="3BACDA27" w14:textId="0F699039" w:rsidR="0059637D" w:rsidRPr="000F4962" w:rsidRDefault="000F4962" w:rsidP="003702D8">
                              <w:pPr>
                                <w:spacing w:after="0" w:line="259" w:lineRule="auto"/>
                                <w:jc w:val="center"/>
                                <w:rPr>
                                  <w:rFonts w:ascii="Arial" w:hAnsi="Arial" w:cs="Arial"/>
                                  <w:sz w:val="32"/>
                                  <w:szCs w:val="32"/>
                                </w:rPr>
                              </w:pPr>
                              <w:r w:rsidRPr="000F4962">
                                <w:rPr>
                                  <w:rFonts w:ascii="Arial" w:hAnsi="Arial" w:cs="Arial"/>
                                  <w:sz w:val="32"/>
                                  <w:szCs w:val="32"/>
                                </w:rPr>
                                <w:t xml:space="preserve">BA Business Management                                                                                            LCBB4002_BIRM                                                         Zahra </w:t>
                              </w:r>
                              <w:proofErr w:type="spellStart"/>
                              <w:r w:rsidRPr="000F4962">
                                <w:rPr>
                                  <w:rFonts w:ascii="Arial" w:hAnsi="Arial" w:cs="Arial"/>
                                  <w:sz w:val="32"/>
                                  <w:szCs w:val="32"/>
                                </w:rPr>
                                <w:t>Mohammadnazari</w:t>
                              </w:r>
                              <w:proofErr w:type="spellEnd"/>
                              <w:r w:rsidR="003702D8" w:rsidRPr="000F4962">
                                <w:rPr>
                                  <w:rFonts w:ascii="Arial" w:hAnsi="Arial" w:cs="Arial"/>
                                  <w:sz w:val="32"/>
                                  <w:szCs w:val="32"/>
                                </w:rPr>
                                <w:t xml:space="preserve">                                                                                            </w:t>
                              </w:r>
                              <w:proofErr w:type="spellStart"/>
                              <w:r w:rsidRPr="000F4962">
                                <w:rPr>
                                  <w:rFonts w:ascii="Arial" w:hAnsi="Arial" w:cs="Arial"/>
                                  <w:sz w:val="32"/>
                                  <w:szCs w:val="32"/>
                                </w:rPr>
                                <w:t>Georgi</w:t>
                              </w:r>
                              <w:proofErr w:type="spellEnd"/>
                              <w:r w:rsidRPr="000F4962">
                                <w:rPr>
                                  <w:rFonts w:ascii="Arial" w:hAnsi="Arial" w:cs="Arial"/>
                                  <w:sz w:val="32"/>
                                  <w:szCs w:val="32"/>
                                </w:rPr>
                                <w:t xml:space="preserve"> </w:t>
                              </w:r>
                              <w:proofErr w:type="spellStart"/>
                              <w:r w:rsidRPr="000F4962">
                                <w:rPr>
                                  <w:rFonts w:ascii="Arial" w:hAnsi="Arial" w:cs="Arial"/>
                                  <w:sz w:val="32"/>
                                  <w:szCs w:val="32"/>
                                </w:rPr>
                                <w:t>Dimitrov</w:t>
                              </w:r>
                              <w:proofErr w:type="spellEnd"/>
                              <w:r w:rsidRPr="000F4962">
                                <w:rPr>
                                  <w:rFonts w:ascii="Arial" w:hAnsi="Arial" w:cs="Arial"/>
                                  <w:sz w:val="32"/>
                                  <w:szCs w:val="32"/>
                                </w:rPr>
                                <w:t xml:space="preserve">                                                          Student number                                                            2230344</w:t>
                              </w:r>
                            </w:p>
                          </w:sdtContent>
                        </w:sdt>
                      </w:txbxContent>
                    </v:textbox>
                    <w10:wrap type="square" anchorx="margin" anchory="margin"/>
                  </v:shape>
                </w:pict>
              </mc:Fallback>
            </mc:AlternateContent>
          </w:r>
          <w:r w:rsidR="00780E67">
            <w:rPr>
              <w:rFonts w:ascii="Arial" w:hAnsi="Arial" w:cs="Arial"/>
            </w:rPr>
            <w:br w:type="page"/>
          </w:r>
        </w:p>
      </w:sdtContent>
    </w:sdt>
    <w:p w14:paraId="495D5A88" w14:textId="77777777" w:rsidR="00D55136" w:rsidRPr="00CD1F1C" w:rsidRDefault="00D55136" w:rsidP="00D55136">
      <w:pPr>
        <w:spacing w:after="0" w:line="360" w:lineRule="auto"/>
        <w:ind w:firstLine="720"/>
        <w:jc w:val="both"/>
        <w:rPr>
          <w:rFonts w:ascii="Arial" w:hAnsi="Arial" w:cs="Arial"/>
          <w:b/>
          <w:i/>
        </w:rPr>
      </w:pPr>
      <w:r w:rsidRPr="00CD1F1C">
        <w:rPr>
          <w:rFonts w:ascii="Arial" w:hAnsi="Arial" w:cs="Arial"/>
          <w:b/>
          <w:i/>
        </w:rPr>
        <w:lastRenderedPageBreak/>
        <w:t>Introduction</w:t>
      </w:r>
    </w:p>
    <w:p w14:paraId="1D6701A1" w14:textId="21251424"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The Green Gym is one of the community engagement projects in the United Kingdom aimed at fostering community involvement by integrating physical activity with environmentalism to elevate the status of the natural environment. In this instance, its objective is to enhance the participants' physical health and environmental protection by providing physical activities that benefit the environment. The approach advocates for better environmental conditions and human physical health. The Green Gym demonstrates a commitment to community engagement principles through its proactive approach to engaging local residents in the planning and design of activities. According to Hogan (2022), the activity fosters inclusiveness by extending a warm invitation to individuals of diverse ages and abilities to engage in it (7). </w:t>
      </w:r>
      <w:r w:rsidR="00734049" w:rsidRPr="00CD1F1C">
        <w:rPr>
          <w:rFonts w:ascii="Arial" w:hAnsi="Arial" w:cs="Arial"/>
        </w:rPr>
        <w:t>It</w:t>
      </w:r>
      <w:r w:rsidRPr="00CD1F1C">
        <w:rPr>
          <w:rFonts w:ascii="Arial" w:hAnsi="Arial" w:cs="Arial"/>
        </w:rPr>
        <w:t xml:space="preserve"> maintains standards by imparting training and supporting volunteers, thereby ensuring the safe and efficient execution of activities. The Green Gym </w:t>
      </w:r>
      <w:r w:rsidR="00140374" w:rsidRPr="00CD1F1C">
        <w:rPr>
          <w:rFonts w:ascii="Arial" w:hAnsi="Arial" w:cs="Arial"/>
        </w:rPr>
        <w:t>endeavors</w:t>
      </w:r>
      <w:r w:rsidRPr="00CD1F1C">
        <w:rPr>
          <w:rFonts w:ascii="Arial" w:hAnsi="Arial" w:cs="Arial"/>
        </w:rPr>
        <w:t xml:space="preserve"> to advance sustainability by implementing environmentally sound practices and materials in its conservation initiatives. Its methodology incorporates the essential components of evaluation and impact assessment. The evaluation of the project's effectiveness is based on the analysis of alterations in the physical fitness, mental well-being, and affinity to the participants' natural environment. To enhance comprehension of this community </w:t>
      </w:r>
      <w:r w:rsidR="00140374" w:rsidRPr="00CD1F1C">
        <w:rPr>
          <w:rFonts w:ascii="Arial" w:hAnsi="Arial" w:cs="Arial"/>
        </w:rPr>
        <w:t>endeavor</w:t>
      </w:r>
      <w:r w:rsidRPr="00CD1F1C">
        <w:rPr>
          <w:rFonts w:ascii="Arial" w:hAnsi="Arial" w:cs="Arial"/>
        </w:rPr>
        <w:t>, assessing its principles of community engagement, planning and design, standards, evaluation, and impact is imperative.</w:t>
      </w:r>
    </w:p>
    <w:p w14:paraId="13B63863" w14:textId="77777777" w:rsidR="00D55136" w:rsidRPr="00CD1F1C" w:rsidRDefault="00D55136" w:rsidP="00D55136">
      <w:pPr>
        <w:spacing w:after="0" w:line="360" w:lineRule="auto"/>
        <w:ind w:firstLine="720"/>
        <w:jc w:val="both"/>
        <w:rPr>
          <w:rFonts w:ascii="Arial" w:hAnsi="Arial" w:cs="Arial"/>
          <w:b/>
          <w:i/>
        </w:rPr>
      </w:pPr>
      <w:r w:rsidRPr="00CD1F1C">
        <w:rPr>
          <w:rFonts w:ascii="Arial" w:hAnsi="Arial" w:cs="Arial"/>
          <w:b/>
          <w:i/>
        </w:rPr>
        <w:t>Community Engagement Principles</w:t>
      </w:r>
    </w:p>
    <w:p w14:paraId="509DD899" w14:textId="77777777"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The Green Gym initiative upholds various principles of community engagement that are integral to promoting community involvement and ecological responsibility. Inclusivity is a fundamental principle that the Green Gym embraces as it plays a more crucial role in community engagement (Welldoing.org, 2015, 6). The project aims to involve people from various age groups, skill levels, and socio-cultural backgrounds, acknowledging that multiple viewpoints and competencies can augment communal unity and ecological achievements. The Green Gym fosters an inclusive atmosphere that promotes widespread engagement, ensuring all participants feel esteemed and integrated into the program's undertakings (Smyth et al., 2022, 978). The principle holds significance as it advances social equity and facilitates a more inclusive representation across the various initiatives of the project. </w:t>
      </w:r>
    </w:p>
    <w:p w14:paraId="528B4CFB" w14:textId="77777777"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Collaboration is a crucial principle of this community-based initiative. The Green Gym acknowledges the significance of engaging local inhabitants and community establishments in decision-making, as it results in more efficient and enduring consequences. According to </w:t>
      </w:r>
      <w:proofErr w:type="spellStart"/>
      <w:r w:rsidRPr="00CD1F1C">
        <w:rPr>
          <w:rFonts w:ascii="Arial" w:hAnsi="Arial" w:cs="Arial"/>
        </w:rPr>
        <w:t>Ardoin</w:t>
      </w:r>
      <w:proofErr w:type="spellEnd"/>
      <w:r w:rsidRPr="00CD1F1C">
        <w:rPr>
          <w:rFonts w:ascii="Arial" w:hAnsi="Arial" w:cs="Arial"/>
        </w:rPr>
        <w:t xml:space="preserve"> et al. (2020), collaboration facilitates a more profound comprehension of the community's requirements, inclinations, and assets, guaranteeing that the undertakings of the project are in </w:t>
      </w:r>
      <w:r w:rsidRPr="00CD1F1C">
        <w:rPr>
          <w:rFonts w:ascii="Arial" w:hAnsi="Arial" w:cs="Arial"/>
        </w:rPr>
        <w:lastRenderedPageBreak/>
        <w:t>accordance with the preferences of the nearby region (6). Through the active engagement of stakeholders in the planning and design of activities, the Green Gym cultivates a sense of ownership and enables participants to make valuable contributions to the project's overall success.</w:t>
      </w:r>
    </w:p>
    <w:p w14:paraId="45152C80" w14:textId="58A6F4B0"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To effectively convey these principles, the Green Gym employs a range of platforms and tools. The website serves as a primary communication channel, offering comprehensive details regarding the project's aims, undertakings, and prospects for volunteer engagement. It is a central location for individuals to obtain materials, </w:t>
      </w:r>
      <w:r w:rsidR="00140374" w:rsidRPr="00CD1F1C">
        <w:rPr>
          <w:rFonts w:ascii="Arial" w:hAnsi="Arial" w:cs="Arial"/>
        </w:rPr>
        <w:t>enroll</w:t>
      </w:r>
      <w:r w:rsidRPr="00CD1F1C">
        <w:rPr>
          <w:rFonts w:ascii="Arial" w:hAnsi="Arial" w:cs="Arial"/>
        </w:rPr>
        <w:t xml:space="preserve"> in activities, and remain informed about the initiative's most recent developments and accomplishments. Social media platforms, such as Facebook and Twitter, disseminate narratives, images, and forthcoming occasions, facilitating instantaneous interaction and involvement with the community. </w:t>
      </w:r>
    </w:p>
    <w:p w14:paraId="5858F2E1" w14:textId="77777777" w:rsidR="00D55136" w:rsidRPr="00CD1F1C" w:rsidRDefault="00D55136" w:rsidP="00D55136">
      <w:pPr>
        <w:spacing w:after="0" w:line="360" w:lineRule="auto"/>
        <w:ind w:firstLine="720"/>
        <w:jc w:val="both"/>
        <w:rPr>
          <w:rFonts w:ascii="Arial" w:hAnsi="Arial" w:cs="Arial"/>
        </w:rPr>
      </w:pPr>
      <w:r w:rsidRPr="00CD1F1C">
        <w:rPr>
          <w:rFonts w:ascii="Arial" w:hAnsi="Arial" w:cs="Arial"/>
        </w:rPr>
        <w:t>The Green Gym also utilizes interpersonal communication by means of frequent gatherings, seminars, and instructional sessions. Utilizing these platforms facilitates a direct and interacti</w:t>
      </w:r>
      <w:bookmarkStart w:id="0" w:name="_GoBack"/>
      <w:bookmarkEnd w:id="0"/>
      <w:r w:rsidRPr="00CD1F1C">
        <w:rPr>
          <w:rFonts w:ascii="Arial" w:hAnsi="Arial" w:cs="Arial"/>
        </w:rPr>
        <w:t>ve mode of communication with the involved parties, thereby ensuring a comprehensive comprehension and acceptance of the fundamental tenets of the project. The Green Gym fosters a supportive network that promotes continuous participation and feedback from the community by upholding transparent communication channels.</w:t>
      </w:r>
    </w:p>
    <w:p w14:paraId="676A8D68" w14:textId="77777777" w:rsidR="00D55136" w:rsidRPr="00CD1F1C" w:rsidRDefault="00D55136" w:rsidP="00D55136">
      <w:pPr>
        <w:spacing w:after="0" w:line="360" w:lineRule="auto"/>
        <w:ind w:firstLine="720"/>
        <w:jc w:val="both"/>
        <w:rPr>
          <w:rFonts w:ascii="Arial" w:hAnsi="Arial" w:cs="Arial"/>
          <w:b/>
          <w:i/>
        </w:rPr>
      </w:pPr>
      <w:r w:rsidRPr="00CD1F1C">
        <w:rPr>
          <w:rFonts w:ascii="Arial" w:hAnsi="Arial" w:cs="Arial"/>
          <w:b/>
          <w:i/>
        </w:rPr>
        <w:t>Planning and Design</w:t>
      </w:r>
    </w:p>
    <w:p w14:paraId="7DBFCFA8" w14:textId="77777777" w:rsidR="00D55136" w:rsidRPr="00CD1F1C" w:rsidRDefault="00D55136" w:rsidP="00D55136">
      <w:pPr>
        <w:spacing w:after="0" w:line="360" w:lineRule="auto"/>
        <w:ind w:firstLine="720"/>
        <w:jc w:val="both"/>
        <w:rPr>
          <w:rFonts w:ascii="Arial" w:hAnsi="Arial" w:cs="Arial"/>
        </w:rPr>
      </w:pPr>
      <w:r w:rsidRPr="00CD1F1C">
        <w:rPr>
          <w:rFonts w:ascii="Arial" w:hAnsi="Arial" w:cs="Arial"/>
        </w:rPr>
        <w:t>The Green Gym's planning and design process involved comprehensively evaluating the community's requirements and interests. Its project team consulted with residents, community groups, and relevant stakeholders to understand the environmental challenges and opportunities within the area (Hogan, 2022, 7). Such evaluation facilitated the identification of distinct conservation requirements alongside the community's inclinations and ambitions concerning outdoor pursuits and physical activity.</w:t>
      </w:r>
    </w:p>
    <w:p w14:paraId="428E4A0E" w14:textId="5E11E9C9"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The project's design was formulated based on a comprehensive needs assessment, which considered the identified objectives, available resources, and community preferences. During the design phase, the team deliberated on the various physical activities that could be incorporated with environmental conservation initiatives to optimize participant involvement and satisfaction. Activity design was primarily </w:t>
      </w:r>
      <w:r w:rsidR="00A45AB4" w:rsidRPr="00CD1F1C">
        <w:rPr>
          <w:rFonts w:ascii="Arial" w:hAnsi="Arial" w:cs="Arial"/>
        </w:rPr>
        <w:t>centered</w:t>
      </w:r>
      <w:r w:rsidRPr="00CD1F1C">
        <w:rPr>
          <w:rFonts w:ascii="Arial" w:hAnsi="Arial" w:cs="Arial"/>
        </w:rPr>
        <w:t xml:space="preserve"> on ensuring accessibility and inclusivity, accommodating individuals with diverse abilities and levels of physical fitness.</w:t>
      </w:r>
    </w:p>
    <w:p w14:paraId="67BBD5D2" w14:textId="77777777"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During the planning and design phase, stakeholder engagement was given utmost importance. The Green Gym initiative effectively engaged the participation of nearby inhabitants, communal groups, and pertinent institutions in decision-making and strategizing. It is an approach that ensures the initiative's practices align with the values and interests of the community. In this </w:t>
      </w:r>
      <w:r w:rsidRPr="00CD1F1C">
        <w:rPr>
          <w:rFonts w:ascii="Arial" w:hAnsi="Arial" w:cs="Arial"/>
        </w:rPr>
        <w:lastRenderedPageBreak/>
        <w:t>instance, stakeholder engagement entailed the determination of the activities to be carried out, conservation site selection, and project objectives' establishment. Frequent gatherings, educational sessions, and public discussions allowed stakeholders to offer their insights, specialized knowledge, and apprehensions.</w:t>
      </w:r>
    </w:p>
    <w:p w14:paraId="2C06D838" w14:textId="77777777"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The Green Gym project was implemented to address the community's identified needs efficiently. The project team ensured the availability of necessary resources and logistics for the activities, including tools, safety equipment, and supervision. The team also collaborated with regional officials, proprietors, and pertinent organizations to obtain required authorizations and entry to appropriate preservation locations, an approach instrumental to sustaining teams. During the implementation phase, volunteers were recruited and trained to assume leadership roles and provide assistance for various activities. </w:t>
      </w:r>
    </w:p>
    <w:p w14:paraId="1DA1AAA5" w14:textId="77777777" w:rsidR="00D55136" w:rsidRPr="00CD1F1C" w:rsidRDefault="00D55136" w:rsidP="00D55136">
      <w:pPr>
        <w:spacing w:after="0" w:line="360" w:lineRule="auto"/>
        <w:ind w:firstLine="720"/>
        <w:jc w:val="both"/>
        <w:rPr>
          <w:rFonts w:ascii="Arial" w:hAnsi="Arial" w:cs="Arial"/>
        </w:rPr>
      </w:pPr>
      <w:r w:rsidRPr="00CD1F1C">
        <w:rPr>
          <w:rFonts w:ascii="Arial" w:hAnsi="Arial" w:cs="Arial"/>
        </w:rPr>
        <w:t>The implementation process was improved with mechanisms for continuous evaluation and feedback. As such, the initiative carried out periodic evaluations to measure its influence on the physical and psychological welfare of the participants, in addition to the ecological accomplishments attained. In this instance, findings could be utilized to enhance and optimize the project's framework and execution approaches.</w:t>
      </w:r>
    </w:p>
    <w:p w14:paraId="5E1C4EA9" w14:textId="77777777" w:rsidR="00D55136" w:rsidRPr="00CD1F1C" w:rsidRDefault="00D55136" w:rsidP="00D55136">
      <w:pPr>
        <w:spacing w:after="0" w:line="360" w:lineRule="auto"/>
        <w:ind w:firstLine="720"/>
        <w:jc w:val="both"/>
        <w:rPr>
          <w:rFonts w:ascii="Arial" w:hAnsi="Arial" w:cs="Arial"/>
          <w:b/>
          <w:i/>
        </w:rPr>
      </w:pPr>
      <w:r w:rsidRPr="00CD1F1C">
        <w:rPr>
          <w:rFonts w:ascii="Arial" w:hAnsi="Arial" w:cs="Arial"/>
          <w:b/>
          <w:i/>
        </w:rPr>
        <w:t>Standards</w:t>
      </w:r>
    </w:p>
    <w:p w14:paraId="7F02979C" w14:textId="4794C83F"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The Green Gym initiative upholds rigorous criteria to guarantee its </w:t>
      </w:r>
      <w:r w:rsidR="00A45AB4" w:rsidRPr="00CD1F1C">
        <w:rPr>
          <w:rFonts w:ascii="Arial" w:hAnsi="Arial" w:cs="Arial"/>
        </w:rPr>
        <w:t>endeavors’</w:t>
      </w:r>
      <w:r w:rsidRPr="00CD1F1C">
        <w:rPr>
          <w:rFonts w:ascii="Arial" w:hAnsi="Arial" w:cs="Arial"/>
        </w:rPr>
        <w:t xml:space="preserve"> security, efficiency, and longevity. The project's standards conform to pertinent guidelines and optimal practices in health and safety, environmental preservation, and volunteer administration. According to Reed et al. (2017), standards are pivotal in facilitating a project's objective of fostering community involvement (12). The implementation of safety standards is of utmost importance in the Green Gym initiative, as it safeguards the physical well-being of individuals engaged in physical exercise. In this instance, the project adheres to established safety protocols, including conducting risk assessments and providing suitable safety equipment, which minimizes potential hazards and establishes a secure volunteer setting (Smyth et al., 2022, 978). The Green Gym's adherence to safety standards bolsters participant confidence and mitigates the likelihood of injuries, thereby facilitating a positive and secure experience for all parties involved.</w:t>
      </w:r>
    </w:p>
    <w:p w14:paraId="217F434B" w14:textId="050B329A"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Moreover, the Green Gym initiative integrates environmental standards and optimal methodologies in its conservation </w:t>
      </w:r>
      <w:r w:rsidR="00A45AB4" w:rsidRPr="00CD1F1C">
        <w:rPr>
          <w:rFonts w:ascii="Arial" w:hAnsi="Arial" w:cs="Arial"/>
        </w:rPr>
        <w:t>endeavors</w:t>
      </w:r>
      <w:r w:rsidRPr="00CD1F1C">
        <w:rPr>
          <w:rFonts w:ascii="Arial" w:hAnsi="Arial" w:cs="Arial"/>
        </w:rPr>
        <w:t xml:space="preserve">. The guidelines encompass sustainable land management, restoration of habitats, and biodiversity conservation, which are instrumental for environmental conservation for community-based organizations (Zhang et al., 2020, 6). The adherence to these standards by the project guarantees a </w:t>
      </w:r>
      <w:r w:rsidR="00A45AB4" w:rsidRPr="00CD1F1C">
        <w:rPr>
          <w:rFonts w:ascii="Arial" w:hAnsi="Arial" w:cs="Arial"/>
        </w:rPr>
        <w:t>favorable</w:t>
      </w:r>
      <w:r w:rsidRPr="00CD1F1C">
        <w:rPr>
          <w:rFonts w:ascii="Arial" w:hAnsi="Arial" w:cs="Arial"/>
        </w:rPr>
        <w:t xml:space="preserve"> ecological outcome and aids in preserving the natural environment's long-term well-being and sustainability. Adherence to </w:t>
      </w:r>
      <w:r w:rsidRPr="00CD1F1C">
        <w:rPr>
          <w:rFonts w:ascii="Arial" w:hAnsi="Arial" w:cs="Arial"/>
        </w:rPr>
        <w:lastRenderedPageBreak/>
        <w:t>ecological regulations also showcases the undertaking's dedication to conscientious and principled methodologies.</w:t>
      </w:r>
    </w:p>
    <w:p w14:paraId="2A456565" w14:textId="77777777" w:rsidR="00D55136" w:rsidRPr="00CD1F1C" w:rsidRDefault="00D55136" w:rsidP="00D55136">
      <w:pPr>
        <w:spacing w:after="0" w:line="360" w:lineRule="auto"/>
        <w:ind w:firstLine="720"/>
        <w:jc w:val="both"/>
        <w:rPr>
          <w:rFonts w:ascii="Arial" w:hAnsi="Arial" w:cs="Arial"/>
        </w:rPr>
      </w:pPr>
      <w:r w:rsidRPr="00CD1F1C">
        <w:rPr>
          <w:rFonts w:ascii="Arial" w:hAnsi="Arial" w:cs="Arial"/>
        </w:rPr>
        <w:t>Effective dissemination of these standards is essential to guarantee that all involved parties know and comply with them. The Green Gym employs diverse platforms and tools to communicate these standards proficiently. The website and digital resources of the project are employed to furnish comprehensive information and direction regarding safety and environmental protocols. Furthermore, the project team can effectively convey the established standards and guidelines to participants through training sessions and volunteer orientations, thereby ensuring a comprehensive understanding of their respective roles and responsibilities.</w:t>
      </w:r>
    </w:p>
    <w:p w14:paraId="434FA2AA" w14:textId="4DD0941D"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In the event of a lack of explicit references, it is crucial to acknowledge that the preceding discourse is grounded in broad comprehension of community involvement initiatives and their conformity to established norms. The Green Gym project exemplifies comparable </w:t>
      </w:r>
      <w:r w:rsidR="00A45AB4" w:rsidRPr="00CD1F1C">
        <w:rPr>
          <w:rFonts w:ascii="Arial" w:hAnsi="Arial" w:cs="Arial"/>
        </w:rPr>
        <w:t>endeavors</w:t>
      </w:r>
      <w:r w:rsidRPr="00CD1F1C">
        <w:rPr>
          <w:rFonts w:ascii="Arial" w:hAnsi="Arial" w:cs="Arial"/>
        </w:rPr>
        <w:t xml:space="preserve"> within the domain. The project conforms to safety and environmental protocols (Welldoing.org, 2015, 8). The standards are crucial for upholding the project's objectives, safeguarding the welfare of the participants, and fostering environmentally sustainable practices. Effective dissemination of these guidelines across diverse channels and mediums is imperative to guarantee that all stakeholders are cognizant of and comply with them, cultivating a secure and ecologically conscious community involvement.</w:t>
      </w:r>
    </w:p>
    <w:p w14:paraId="61203ED4" w14:textId="77777777" w:rsidR="00D55136" w:rsidRPr="00CD1F1C" w:rsidRDefault="00D55136" w:rsidP="00D55136">
      <w:pPr>
        <w:spacing w:after="0" w:line="360" w:lineRule="auto"/>
        <w:ind w:firstLine="720"/>
        <w:jc w:val="both"/>
        <w:rPr>
          <w:rFonts w:ascii="Arial" w:hAnsi="Arial" w:cs="Arial"/>
          <w:b/>
          <w:i/>
        </w:rPr>
      </w:pPr>
      <w:r w:rsidRPr="00CD1F1C">
        <w:rPr>
          <w:rFonts w:ascii="Arial" w:hAnsi="Arial" w:cs="Arial"/>
          <w:b/>
          <w:i/>
        </w:rPr>
        <w:t>Evaluation and Impact</w:t>
      </w:r>
    </w:p>
    <w:p w14:paraId="2D173A83" w14:textId="77777777"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The Green Gym initiative integrates assessment and impact evaluation to gauge its efficacy in fostering community involvement and ecological preservation. One critical approach that the initiative employs is quantitative methods used to evaluate its effects on the physical and mental well-being of its participants. For instance, it implements pre- and post-program fitness assessments, questionnaires, and surveys to monitor participants' health indicators and advancements in physical fitness. </w:t>
      </w:r>
      <w:proofErr w:type="spellStart"/>
      <w:r w:rsidRPr="00CD1F1C">
        <w:rPr>
          <w:rFonts w:ascii="Arial" w:hAnsi="Arial" w:cs="Arial"/>
        </w:rPr>
        <w:t>Battaglia</w:t>
      </w:r>
      <w:proofErr w:type="spellEnd"/>
      <w:r w:rsidRPr="00CD1F1C">
        <w:rPr>
          <w:rFonts w:ascii="Arial" w:hAnsi="Arial" w:cs="Arial"/>
        </w:rPr>
        <w:t xml:space="preserve"> et al. (2019) contend that surveys broadly reveal the engagement level of the community and the participants (211). By implementing a structured and standardized data collection methodology, the project can objectively assess the influence of habitual physical exercise on the general welfare of the individuals involved.</w:t>
      </w:r>
    </w:p>
    <w:p w14:paraId="6F2C71DA" w14:textId="77777777"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Along with quantitative measures, qualitative techniques such as interviews, focus groups, and participant feedback can be utilized to capture study participants' subjective experiences and perceptions. The tools facilitate the articulation of participants' cognitive and affective states and the interpersonal ties they have forged as a result of their engagement with the Green Gym initiative. Utilizing qualitative data can yield significant findings about a project's influence on community cohesiveness, sense of direction, and environmental consciousness (David-Chavez </w:t>
      </w:r>
      <w:r w:rsidRPr="00CD1F1C">
        <w:rPr>
          <w:rFonts w:ascii="Arial" w:hAnsi="Arial" w:cs="Arial"/>
        </w:rPr>
        <w:lastRenderedPageBreak/>
        <w:t>&amp; Gavin, 2018, 12). In this instance, it becomes crucial to align such tools to the project goals, something that Green Gym has adhered to since its founding.</w:t>
      </w:r>
    </w:p>
    <w:p w14:paraId="1718B63A" w14:textId="77777777" w:rsidR="00D55136" w:rsidRPr="00CD1F1C" w:rsidRDefault="00D55136" w:rsidP="00D55136">
      <w:pPr>
        <w:spacing w:after="0" w:line="360" w:lineRule="auto"/>
        <w:ind w:firstLine="720"/>
        <w:jc w:val="both"/>
        <w:rPr>
          <w:rFonts w:ascii="Arial" w:hAnsi="Arial" w:cs="Arial"/>
        </w:rPr>
      </w:pPr>
      <w:r w:rsidRPr="00CD1F1C">
        <w:rPr>
          <w:rFonts w:ascii="Arial" w:hAnsi="Arial" w:cs="Arial"/>
        </w:rPr>
        <w:t>The Green Gym project's assessment instruments should incorporate ethical considerations, such as safeguarding participant confidentiality and obtaining informed consent. The observance of moral principles is paramount in upholding the confidence and privacy of study subjects, particularly in the context of gathering delicate data pertaining to health and welfare. The preceding discourse relies on conventional wisdom regarding the assessment methodologies employed in community involvement and ecological preservation initiatives in the absence of explicit references. In this instance, the Green Gym initiative utilizes quantitative and qualitative assessment methodologies to gauge its efficacy. The instruments are designed to record alterations in the physiological and psychological welfare of individuals, in addition to their attitudes towards social relationships and ecological consciousness. Employing evaluation tools suitable for the intended purpose guarantees a thorough comprehension of the project's efficacy and provides direction for future enhancements.</w:t>
      </w:r>
    </w:p>
    <w:p w14:paraId="2A1396A1" w14:textId="77777777" w:rsidR="00D55136" w:rsidRPr="00CD1F1C" w:rsidRDefault="00D55136" w:rsidP="00D55136">
      <w:pPr>
        <w:spacing w:after="0" w:line="360" w:lineRule="auto"/>
        <w:ind w:firstLine="720"/>
        <w:jc w:val="both"/>
        <w:rPr>
          <w:rFonts w:ascii="Arial" w:hAnsi="Arial" w:cs="Arial"/>
          <w:b/>
          <w:i/>
        </w:rPr>
      </w:pPr>
      <w:r w:rsidRPr="00CD1F1C">
        <w:rPr>
          <w:rFonts w:ascii="Arial" w:hAnsi="Arial" w:cs="Arial"/>
          <w:b/>
          <w:i/>
        </w:rPr>
        <w:t>Conclusion</w:t>
      </w:r>
    </w:p>
    <w:p w14:paraId="5AB2437E" w14:textId="0F6D1F25" w:rsidR="00D55136" w:rsidRPr="00CD1F1C" w:rsidRDefault="00D55136" w:rsidP="00D55136">
      <w:pPr>
        <w:spacing w:after="0" w:line="360" w:lineRule="auto"/>
        <w:ind w:firstLine="720"/>
        <w:jc w:val="both"/>
        <w:rPr>
          <w:rFonts w:ascii="Arial" w:hAnsi="Arial" w:cs="Arial"/>
        </w:rPr>
      </w:pPr>
      <w:r w:rsidRPr="00CD1F1C">
        <w:rPr>
          <w:rFonts w:ascii="Arial" w:hAnsi="Arial" w:cs="Arial"/>
        </w:rPr>
        <w:t xml:space="preserve">The Green Gym initiative exhibits multiple attributes that enhance its efficacy in fostering community involvement and promoting ecological preservation. The project's commitment to upholding principles of inclusivity and collaboration cultivates a sentiment of membership and accountability among participants, thereby advancing a heterogeneous and unified community. The process of planning and designing, which encompasses the evaluation of community needs and the engagement of stakeholders, guarantees that </w:t>
      </w:r>
      <w:r w:rsidR="00A45AB4" w:rsidRPr="00CD1F1C">
        <w:rPr>
          <w:rFonts w:ascii="Arial" w:hAnsi="Arial" w:cs="Arial"/>
        </w:rPr>
        <w:t>endeavors</w:t>
      </w:r>
      <w:r w:rsidRPr="00CD1F1C">
        <w:rPr>
          <w:rFonts w:ascii="Arial" w:hAnsi="Arial" w:cs="Arial"/>
        </w:rPr>
        <w:t xml:space="preserve"> are congruent with the concerns and preferences of the regional vicinity. The project's adherence to safety and environmental protocols promotes the welfare of its participants and supports the implementation of sustainable measures. Notwithstanding, there exist prospective domains for amelioration that can additionally augment the community involvement facet of the Green Gym initiative. Implementing focused outreach strategies can enhance the efficacy of conveying project principles, such as inclusivity and collaboration, to stakeholders. Interacting with marginalized or underrepresented factions, such as persons with disabilities or minority groups, can facilitate the realization of a genuinely comprehensive and diverse cohort of participants. The project gains advantages by broadening its assessment and quantifying its effects. The utilization of both quantitative and qualitative methodologies is probable in the project. However, including extended monitoring and evaluation procedures would furnish a more all-encompassing comprehension of the enduring effects on the well-being of participants and the environment. The task at hand may encompass monitoring participants' sustained engagement and involvement alongside evaluating the ecological </w:t>
      </w:r>
      <w:r w:rsidRPr="00CD1F1C">
        <w:rPr>
          <w:rFonts w:ascii="Arial" w:hAnsi="Arial" w:cs="Arial"/>
        </w:rPr>
        <w:lastRenderedPageBreak/>
        <w:t xml:space="preserve">consequences of conservation </w:t>
      </w:r>
      <w:r w:rsidR="00A45AB4" w:rsidRPr="00CD1F1C">
        <w:rPr>
          <w:rFonts w:ascii="Arial" w:hAnsi="Arial" w:cs="Arial"/>
        </w:rPr>
        <w:t>endeavors</w:t>
      </w:r>
      <w:r w:rsidRPr="00CD1F1C">
        <w:rPr>
          <w:rFonts w:ascii="Arial" w:hAnsi="Arial" w:cs="Arial"/>
        </w:rPr>
        <w:t xml:space="preserve"> over a protracted duration. The Green Gym initiative can potentially establish collaborative relationships with nearby community-based entities and academic establishments. Engaging in partnerships with educational institutions, healthcare providers, and nearby enterprises can effectively broaden the project's scope and optimize its influence. Collaborative alliances have the potential to streamline the assimilation of the Green Gym model into more extensive communal initiatives, promoting enduring viability and expandability. The Green Gym initiative exhibits notable competencies in community involvement, strategic planning, and adherence to established benchmarks. The project can augment its impact on community engagement by prioritizing enhancing communication of project principles, broadening evaluation efforts, and cultivating strategic partnerships. Implementing these measures is expected to strengthen the </w:t>
      </w:r>
      <w:r w:rsidR="00A45AB4" w:rsidRPr="00CD1F1C">
        <w:rPr>
          <w:rFonts w:ascii="Arial" w:hAnsi="Arial" w:cs="Arial"/>
        </w:rPr>
        <w:t>favorable</w:t>
      </w:r>
      <w:r w:rsidRPr="00CD1F1C">
        <w:rPr>
          <w:rFonts w:ascii="Arial" w:hAnsi="Arial" w:cs="Arial"/>
        </w:rPr>
        <w:t xml:space="preserve"> impact of the project on the well-being of the participants, the cohesion of the community, and the conservation of the environment, thereby promoting a more sustainable and inclusive future for all stakeholders.</w:t>
      </w:r>
    </w:p>
    <w:p w14:paraId="2D140AE8" w14:textId="77777777" w:rsidR="00F30A79" w:rsidRPr="00CD1F1C" w:rsidRDefault="00F30A79" w:rsidP="00D55136">
      <w:pPr>
        <w:spacing w:after="0" w:line="360" w:lineRule="auto"/>
        <w:ind w:firstLine="720"/>
        <w:jc w:val="both"/>
        <w:rPr>
          <w:rFonts w:ascii="Arial" w:hAnsi="Arial" w:cs="Arial"/>
        </w:rPr>
      </w:pPr>
    </w:p>
    <w:p w14:paraId="74F34344" w14:textId="77777777" w:rsidR="00F30A79" w:rsidRPr="00CD1F1C" w:rsidRDefault="00F30A79" w:rsidP="00D55136">
      <w:pPr>
        <w:spacing w:after="0" w:line="360" w:lineRule="auto"/>
        <w:ind w:firstLine="720"/>
        <w:jc w:val="both"/>
        <w:rPr>
          <w:rFonts w:ascii="Arial" w:hAnsi="Arial" w:cs="Arial"/>
        </w:rPr>
      </w:pPr>
    </w:p>
    <w:p w14:paraId="33687181" w14:textId="77777777" w:rsidR="00F30A79" w:rsidRPr="00CD1F1C" w:rsidRDefault="00F30A79" w:rsidP="00D55136">
      <w:pPr>
        <w:spacing w:after="0" w:line="360" w:lineRule="auto"/>
        <w:ind w:firstLine="720"/>
        <w:jc w:val="both"/>
        <w:rPr>
          <w:rFonts w:ascii="Arial" w:hAnsi="Arial" w:cs="Arial"/>
        </w:rPr>
      </w:pPr>
    </w:p>
    <w:p w14:paraId="48D7279F" w14:textId="77777777" w:rsidR="00F30A79" w:rsidRPr="00CD1F1C" w:rsidRDefault="00F30A79" w:rsidP="00D55136">
      <w:pPr>
        <w:spacing w:after="0" w:line="360" w:lineRule="auto"/>
        <w:ind w:firstLine="720"/>
        <w:jc w:val="both"/>
        <w:rPr>
          <w:rFonts w:ascii="Arial" w:hAnsi="Arial" w:cs="Arial"/>
        </w:rPr>
      </w:pPr>
    </w:p>
    <w:p w14:paraId="0117DCBA" w14:textId="77777777" w:rsidR="00F30A79" w:rsidRPr="00CD1F1C" w:rsidRDefault="00F30A79" w:rsidP="00D55136">
      <w:pPr>
        <w:spacing w:after="0" w:line="360" w:lineRule="auto"/>
        <w:ind w:firstLine="720"/>
        <w:jc w:val="both"/>
        <w:rPr>
          <w:rFonts w:ascii="Arial" w:hAnsi="Arial" w:cs="Arial"/>
        </w:rPr>
      </w:pPr>
    </w:p>
    <w:p w14:paraId="0B7B7682" w14:textId="77777777" w:rsidR="00F30A79" w:rsidRPr="00CD1F1C" w:rsidRDefault="00F30A79" w:rsidP="00D55136">
      <w:pPr>
        <w:spacing w:after="0" w:line="360" w:lineRule="auto"/>
        <w:ind w:firstLine="720"/>
        <w:jc w:val="both"/>
        <w:rPr>
          <w:rFonts w:ascii="Arial" w:hAnsi="Arial" w:cs="Arial"/>
        </w:rPr>
      </w:pPr>
    </w:p>
    <w:p w14:paraId="1A7E0FC7" w14:textId="77777777" w:rsidR="00F30A79" w:rsidRPr="00CD1F1C" w:rsidRDefault="00F30A79" w:rsidP="00D55136">
      <w:pPr>
        <w:spacing w:after="0" w:line="360" w:lineRule="auto"/>
        <w:ind w:firstLine="720"/>
        <w:jc w:val="both"/>
        <w:rPr>
          <w:rFonts w:ascii="Arial" w:hAnsi="Arial" w:cs="Arial"/>
        </w:rPr>
      </w:pPr>
    </w:p>
    <w:p w14:paraId="71300D42" w14:textId="77777777" w:rsidR="00F30A79" w:rsidRPr="00CD1F1C" w:rsidRDefault="00F30A79" w:rsidP="00D55136">
      <w:pPr>
        <w:spacing w:after="0" w:line="360" w:lineRule="auto"/>
        <w:ind w:firstLine="720"/>
        <w:jc w:val="both"/>
        <w:rPr>
          <w:rFonts w:ascii="Arial" w:hAnsi="Arial" w:cs="Arial"/>
        </w:rPr>
      </w:pPr>
    </w:p>
    <w:p w14:paraId="5B799BDE" w14:textId="77777777" w:rsidR="00F30A79" w:rsidRPr="00CD1F1C" w:rsidRDefault="00F30A79" w:rsidP="00D55136">
      <w:pPr>
        <w:spacing w:after="0" w:line="360" w:lineRule="auto"/>
        <w:ind w:firstLine="720"/>
        <w:jc w:val="both"/>
        <w:rPr>
          <w:rFonts w:ascii="Arial" w:hAnsi="Arial" w:cs="Arial"/>
        </w:rPr>
      </w:pPr>
    </w:p>
    <w:p w14:paraId="635D71AE" w14:textId="77777777" w:rsidR="00F30A79" w:rsidRPr="00CD1F1C" w:rsidRDefault="00F30A79" w:rsidP="00D55136">
      <w:pPr>
        <w:spacing w:after="0" w:line="360" w:lineRule="auto"/>
        <w:ind w:firstLine="720"/>
        <w:jc w:val="both"/>
        <w:rPr>
          <w:rFonts w:ascii="Arial" w:hAnsi="Arial" w:cs="Arial"/>
        </w:rPr>
      </w:pPr>
    </w:p>
    <w:p w14:paraId="12DF1ED8" w14:textId="77777777" w:rsidR="00F30A79" w:rsidRPr="00CD1F1C" w:rsidRDefault="00F30A79" w:rsidP="00D55136">
      <w:pPr>
        <w:spacing w:after="0" w:line="360" w:lineRule="auto"/>
        <w:ind w:firstLine="720"/>
        <w:jc w:val="both"/>
        <w:rPr>
          <w:rFonts w:ascii="Arial" w:hAnsi="Arial" w:cs="Arial"/>
        </w:rPr>
      </w:pPr>
    </w:p>
    <w:p w14:paraId="14AEF6E6" w14:textId="77777777" w:rsidR="00F30A79" w:rsidRPr="00CD1F1C" w:rsidRDefault="00F30A79" w:rsidP="00D55136">
      <w:pPr>
        <w:spacing w:after="0" w:line="360" w:lineRule="auto"/>
        <w:ind w:firstLine="720"/>
        <w:jc w:val="both"/>
        <w:rPr>
          <w:rFonts w:ascii="Arial" w:hAnsi="Arial" w:cs="Arial"/>
        </w:rPr>
      </w:pPr>
    </w:p>
    <w:p w14:paraId="17429266" w14:textId="77777777" w:rsidR="00F30A79" w:rsidRPr="00CD1F1C" w:rsidRDefault="00F30A79" w:rsidP="00D55136">
      <w:pPr>
        <w:spacing w:after="0" w:line="360" w:lineRule="auto"/>
        <w:ind w:firstLine="720"/>
        <w:jc w:val="both"/>
        <w:rPr>
          <w:rFonts w:ascii="Arial" w:hAnsi="Arial" w:cs="Arial"/>
        </w:rPr>
      </w:pPr>
    </w:p>
    <w:p w14:paraId="6FF71969" w14:textId="77777777" w:rsidR="00F30A79" w:rsidRPr="00CD1F1C" w:rsidRDefault="00F30A79" w:rsidP="00D55136">
      <w:pPr>
        <w:spacing w:after="0" w:line="360" w:lineRule="auto"/>
        <w:ind w:firstLine="720"/>
        <w:jc w:val="both"/>
        <w:rPr>
          <w:rFonts w:ascii="Arial" w:hAnsi="Arial" w:cs="Arial"/>
        </w:rPr>
      </w:pPr>
    </w:p>
    <w:p w14:paraId="7596C07C" w14:textId="77777777" w:rsidR="00F30A79" w:rsidRPr="00CD1F1C" w:rsidRDefault="00F30A79" w:rsidP="00D55136">
      <w:pPr>
        <w:spacing w:after="0" w:line="360" w:lineRule="auto"/>
        <w:ind w:firstLine="720"/>
        <w:jc w:val="both"/>
        <w:rPr>
          <w:rFonts w:ascii="Arial" w:hAnsi="Arial" w:cs="Arial"/>
        </w:rPr>
      </w:pPr>
    </w:p>
    <w:p w14:paraId="33635241" w14:textId="77777777" w:rsidR="00F30A79" w:rsidRPr="00CD1F1C" w:rsidRDefault="00F30A79" w:rsidP="00D55136">
      <w:pPr>
        <w:spacing w:after="0" w:line="360" w:lineRule="auto"/>
        <w:ind w:firstLine="720"/>
        <w:jc w:val="both"/>
        <w:rPr>
          <w:rFonts w:ascii="Arial" w:hAnsi="Arial" w:cs="Arial"/>
        </w:rPr>
      </w:pPr>
    </w:p>
    <w:p w14:paraId="04574F2C" w14:textId="77777777" w:rsidR="00F30A79" w:rsidRPr="00CD1F1C" w:rsidRDefault="00F30A79" w:rsidP="00D55136">
      <w:pPr>
        <w:spacing w:after="0" w:line="360" w:lineRule="auto"/>
        <w:ind w:firstLine="720"/>
        <w:jc w:val="both"/>
        <w:rPr>
          <w:rFonts w:ascii="Arial" w:hAnsi="Arial" w:cs="Arial"/>
        </w:rPr>
      </w:pPr>
    </w:p>
    <w:p w14:paraId="2485105F" w14:textId="77777777" w:rsidR="00F30A79" w:rsidRPr="00CD1F1C" w:rsidRDefault="00F30A79" w:rsidP="00D55136">
      <w:pPr>
        <w:spacing w:after="0" w:line="360" w:lineRule="auto"/>
        <w:ind w:firstLine="720"/>
        <w:jc w:val="both"/>
        <w:rPr>
          <w:rFonts w:ascii="Arial" w:hAnsi="Arial" w:cs="Arial"/>
        </w:rPr>
      </w:pPr>
    </w:p>
    <w:p w14:paraId="1FD1C7A2" w14:textId="77777777" w:rsidR="00F30A79" w:rsidRDefault="00F30A79" w:rsidP="00D55136">
      <w:pPr>
        <w:spacing w:after="0" w:line="360" w:lineRule="auto"/>
        <w:ind w:firstLine="720"/>
        <w:jc w:val="both"/>
        <w:rPr>
          <w:rFonts w:ascii="Arial" w:hAnsi="Arial" w:cs="Arial"/>
        </w:rPr>
      </w:pPr>
    </w:p>
    <w:p w14:paraId="492AFA72" w14:textId="77777777" w:rsidR="00734049" w:rsidRPr="00CD1F1C" w:rsidRDefault="00734049" w:rsidP="00D55136">
      <w:pPr>
        <w:spacing w:after="0" w:line="360" w:lineRule="auto"/>
        <w:ind w:firstLine="720"/>
        <w:jc w:val="both"/>
        <w:rPr>
          <w:rFonts w:ascii="Arial" w:hAnsi="Arial" w:cs="Arial"/>
        </w:rPr>
      </w:pPr>
    </w:p>
    <w:p w14:paraId="7674977E" w14:textId="625D089E" w:rsidR="00D55136" w:rsidRPr="00CD1F1C" w:rsidRDefault="00D55136" w:rsidP="00D55136">
      <w:pPr>
        <w:pStyle w:val="NormalWeb"/>
        <w:shd w:val="clear" w:color="auto" w:fill="FFFFFF"/>
        <w:spacing w:before="0" w:beforeAutospacing="0" w:after="240" w:afterAutospacing="0"/>
        <w:jc w:val="center"/>
        <w:rPr>
          <w:rFonts w:ascii="Arial" w:hAnsi="Arial" w:cs="Arial"/>
          <w:b/>
          <w:bCs/>
          <w:color w:val="000000" w:themeColor="text1"/>
          <w:sz w:val="22"/>
          <w:szCs w:val="22"/>
        </w:rPr>
      </w:pPr>
    </w:p>
    <w:p w14:paraId="7053ED84" w14:textId="77777777" w:rsidR="00D55136" w:rsidRPr="00CD1F1C" w:rsidRDefault="00D55136" w:rsidP="00F30A79">
      <w:pPr>
        <w:pBdr>
          <w:top w:val="single" w:sz="4" w:space="1" w:color="auto"/>
        </w:pBdr>
        <w:spacing w:after="0" w:line="360" w:lineRule="auto"/>
        <w:ind w:firstLine="720"/>
        <w:jc w:val="both"/>
        <w:rPr>
          <w:rFonts w:ascii="Arial" w:hAnsi="Arial" w:cs="Arial"/>
          <w:b/>
          <w:i/>
          <w:kern w:val="0"/>
          <w14:ligatures w14:val="none"/>
        </w:rPr>
      </w:pPr>
      <w:r w:rsidRPr="00CD1F1C">
        <w:rPr>
          <w:rFonts w:ascii="Arial" w:hAnsi="Arial" w:cs="Arial"/>
          <w:b/>
          <w:i/>
          <w:kern w:val="0"/>
          <w14:ligatures w14:val="none"/>
        </w:rPr>
        <w:lastRenderedPageBreak/>
        <w:t>Reference List</w:t>
      </w:r>
    </w:p>
    <w:p w14:paraId="5ECBDADC" w14:textId="77777777" w:rsidR="00D55136" w:rsidRPr="00CD1F1C" w:rsidRDefault="00D55136" w:rsidP="00F30A79">
      <w:pPr>
        <w:pStyle w:val="ListParagraph"/>
        <w:numPr>
          <w:ilvl w:val="0"/>
          <w:numId w:val="8"/>
        </w:numPr>
        <w:spacing w:after="0" w:line="360" w:lineRule="auto"/>
        <w:ind w:left="0" w:firstLine="720"/>
        <w:jc w:val="both"/>
        <w:rPr>
          <w:rFonts w:ascii="Arial" w:hAnsi="Arial" w:cs="Arial"/>
          <w:kern w:val="0"/>
          <w14:ligatures w14:val="none"/>
        </w:rPr>
      </w:pPr>
      <w:proofErr w:type="spellStart"/>
      <w:r w:rsidRPr="00CD1F1C">
        <w:rPr>
          <w:rFonts w:ascii="Arial" w:hAnsi="Arial" w:cs="Arial"/>
          <w:kern w:val="0"/>
          <w14:ligatures w14:val="none"/>
        </w:rPr>
        <w:t>Ardoin</w:t>
      </w:r>
      <w:proofErr w:type="spellEnd"/>
      <w:r w:rsidRPr="00CD1F1C">
        <w:rPr>
          <w:rFonts w:ascii="Arial" w:hAnsi="Arial" w:cs="Arial"/>
          <w:kern w:val="0"/>
          <w14:ligatures w14:val="none"/>
        </w:rPr>
        <w:t>, N. M., Bowers, A. W., &amp; Gaillard, E. (2020). Environmental education outcomes for conservation: A systematic review. Biological Conservation, 241, 1-13. </w:t>
      </w:r>
      <w:hyperlink r:id="rId11" w:history="1">
        <w:r w:rsidRPr="00CD1F1C">
          <w:rPr>
            <w:rFonts w:ascii="Arial" w:hAnsi="Arial" w:cs="Arial"/>
            <w:kern w:val="0"/>
            <w14:ligatures w14:val="none"/>
          </w:rPr>
          <w:t>https://doi.org/10.1016/j.biocon.2019.108224</w:t>
        </w:r>
      </w:hyperlink>
    </w:p>
    <w:p w14:paraId="4D981824" w14:textId="77777777" w:rsidR="00D55136" w:rsidRPr="00CD1F1C" w:rsidRDefault="00D55136" w:rsidP="00F30A79">
      <w:pPr>
        <w:pStyle w:val="ListParagraph"/>
        <w:numPr>
          <w:ilvl w:val="0"/>
          <w:numId w:val="8"/>
        </w:numPr>
        <w:spacing w:after="0" w:line="360" w:lineRule="auto"/>
        <w:ind w:left="0" w:firstLine="720"/>
        <w:jc w:val="both"/>
        <w:rPr>
          <w:rFonts w:ascii="Arial" w:hAnsi="Arial" w:cs="Arial"/>
          <w:kern w:val="0"/>
          <w14:ligatures w14:val="none"/>
        </w:rPr>
      </w:pPr>
      <w:proofErr w:type="spellStart"/>
      <w:r w:rsidRPr="00CD1F1C">
        <w:rPr>
          <w:rFonts w:ascii="Arial" w:hAnsi="Arial" w:cs="Arial"/>
          <w:kern w:val="0"/>
          <w14:ligatures w14:val="none"/>
        </w:rPr>
        <w:t>Battaglia</w:t>
      </w:r>
      <w:proofErr w:type="spellEnd"/>
      <w:r w:rsidRPr="00CD1F1C">
        <w:rPr>
          <w:rFonts w:ascii="Arial" w:hAnsi="Arial" w:cs="Arial"/>
          <w:kern w:val="0"/>
          <w14:ligatures w14:val="none"/>
        </w:rPr>
        <w:t xml:space="preserve">, T. A., </w:t>
      </w:r>
      <w:proofErr w:type="spellStart"/>
      <w:r w:rsidRPr="00CD1F1C">
        <w:rPr>
          <w:rFonts w:ascii="Arial" w:hAnsi="Arial" w:cs="Arial"/>
          <w:kern w:val="0"/>
          <w14:ligatures w14:val="none"/>
        </w:rPr>
        <w:t>Pamphile</w:t>
      </w:r>
      <w:proofErr w:type="spellEnd"/>
      <w:r w:rsidRPr="00CD1F1C">
        <w:rPr>
          <w:rFonts w:ascii="Arial" w:hAnsi="Arial" w:cs="Arial"/>
          <w:kern w:val="0"/>
          <w14:ligatures w14:val="none"/>
        </w:rPr>
        <w:t xml:space="preserve">, J., </w:t>
      </w:r>
      <w:proofErr w:type="spellStart"/>
      <w:r w:rsidRPr="00CD1F1C">
        <w:rPr>
          <w:rFonts w:ascii="Arial" w:hAnsi="Arial" w:cs="Arial"/>
          <w:kern w:val="0"/>
          <w14:ligatures w14:val="none"/>
        </w:rPr>
        <w:t>Bak</w:t>
      </w:r>
      <w:proofErr w:type="spellEnd"/>
      <w:r w:rsidRPr="00CD1F1C">
        <w:rPr>
          <w:rFonts w:ascii="Arial" w:hAnsi="Arial" w:cs="Arial"/>
          <w:kern w:val="0"/>
          <w14:ligatures w14:val="none"/>
        </w:rPr>
        <w:t>, S., Spencer, N., &amp; Gunn, C. (2019). Connecting community to research: A training program to increase community engagement in research. Progress in Community Health Partnerships: Research, Education, and Action, 13(2), 209-217. </w:t>
      </w:r>
      <w:hyperlink r:id="rId12" w:history="1">
        <w:r w:rsidRPr="00CD1F1C">
          <w:rPr>
            <w:rFonts w:ascii="Arial" w:hAnsi="Arial" w:cs="Arial"/>
            <w:kern w:val="0"/>
            <w14:ligatures w14:val="none"/>
          </w:rPr>
          <w:t>https://doi.org/10.1353/cpr.2019.0021</w:t>
        </w:r>
      </w:hyperlink>
    </w:p>
    <w:p w14:paraId="5EE2FE55" w14:textId="77777777" w:rsidR="00D55136" w:rsidRPr="00CD1F1C" w:rsidRDefault="00D55136" w:rsidP="00F30A79">
      <w:pPr>
        <w:pStyle w:val="ListParagraph"/>
        <w:numPr>
          <w:ilvl w:val="0"/>
          <w:numId w:val="8"/>
        </w:numPr>
        <w:spacing w:after="0" w:line="360" w:lineRule="auto"/>
        <w:ind w:left="0" w:firstLine="720"/>
        <w:jc w:val="both"/>
        <w:rPr>
          <w:rFonts w:ascii="Arial" w:hAnsi="Arial" w:cs="Arial"/>
          <w:kern w:val="0"/>
          <w14:ligatures w14:val="none"/>
        </w:rPr>
      </w:pPr>
      <w:r w:rsidRPr="00CD1F1C">
        <w:rPr>
          <w:rFonts w:ascii="Arial" w:hAnsi="Arial" w:cs="Arial"/>
          <w:kern w:val="0"/>
          <w14:ligatures w14:val="none"/>
        </w:rPr>
        <w:t>David-Chavez, D. M., &amp; Gavin, M. C. (2018). A global assessment of Indigenous community engagement in climate research. Environmental Research Letters, 13(12), 1-17. </w:t>
      </w:r>
      <w:hyperlink r:id="rId13" w:history="1">
        <w:r w:rsidRPr="00CD1F1C">
          <w:rPr>
            <w:rFonts w:ascii="Arial" w:hAnsi="Arial" w:cs="Arial"/>
            <w:kern w:val="0"/>
            <w14:ligatures w14:val="none"/>
          </w:rPr>
          <w:t>https://doi.org/10.1088/1748-9326/aaf300</w:t>
        </w:r>
      </w:hyperlink>
    </w:p>
    <w:p w14:paraId="4543FA3D" w14:textId="77777777" w:rsidR="00D55136" w:rsidRPr="00CD1F1C" w:rsidRDefault="00D55136" w:rsidP="00F30A79">
      <w:pPr>
        <w:pStyle w:val="ListParagraph"/>
        <w:numPr>
          <w:ilvl w:val="0"/>
          <w:numId w:val="8"/>
        </w:numPr>
        <w:spacing w:after="0" w:line="360" w:lineRule="auto"/>
        <w:ind w:left="0" w:firstLine="720"/>
        <w:jc w:val="both"/>
        <w:rPr>
          <w:rFonts w:ascii="Arial" w:hAnsi="Arial" w:cs="Arial"/>
          <w:kern w:val="0"/>
          <w14:ligatures w14:val="none"/>
        </w:rPr>
      </w:pPr>
      <w:r w:rsidRPr="00CD1F1C">
        <w:rPr>
          <w:rFonts w:ascii="Arial" w:hAnsi="Arial" w:cs="Arial"/>
          <w:kern w:val="0"/>
          <w14:ligatures w14:val="none"/>
        </w:rPr>
        <w:t xml:space="preserve">Hogan, E. (2022, July 25). The Fascinating Formula </w:t>
      </w:r>
      <w:proofErr w:type="gramStart"/>
      <w:r w:rsidRPr="00CD1F1C">
        <w:rPr>
          <w:rFonts w:ascii="Arial" w:hAnsi="Arial" w:cs="Arial"/>
          <w:kern w:val="0"/>
          <w14:ligatures w14:val="none"/>
        </w:rPr>
        <w:t>For</w:t>
      </w:r>
      <w:proofErr w:type="gramEnd"/>
      <w:r w:rsidRPr="00CD1F1C">
        <w:rPr>
          <w:rFonts w:ascii="Arial" w:hAnsi="Arial" w:cs="Arial"/>
          <w:kern w:val="0"/>
          <w14:ligatures w14:val="none"/>
        </w:rPr>
        <w:t xml:space="preserve"> All-Around Wellness. Les Mills. </w:t>
      </w:r>
      <w:hyperlink r:id="rId14" w:history="1">
        <w:r w:rsidRPr="00CD1F1C">
          <w:rPr>
            <w:rFonts w:ascii="Arial" w:hAnsi="Arial" w:cs="Arial"/>
            <w:kern w:val="0"/>
            <w14:ligatures w14:val="none"/>
          </w:rPr>
          <w:t>https://www.lesmills.com/fit-planet/health/the-green-gym/</w:t>
        </w:r>
      </w:hyperlink>
    </w:p>
    <w:p w14:paraId="5BE3DD8F" w14:textId="77777777" w:rsidR="00D55136" w:rsidRPr="00CD1F1C" w:rsidRDefault="00D55136" w:rsidP="00F30A79">
      <w:pPr>
        <w:pStyle w:val="ListParagraph"/>
        <w:numPr>
          <w:ilvl w:val="0"/>
          <w:numId w:val="8"/>
        </w:numPr>
        <w:spacing w:after="0" w:line="360" w:lineRule="auto"/>
        <w:ind w:left="0" w:firstLine="720"/>
        <w:jc w:val="both"/>
        <w:rPr>
          <w:rFonts w:ascii="Arial" w:hAnsi="Arial" w:cs="Arial"/>
          <w:kern w:val="0"/>
          <w14:ligatures w14:val="none"/>
        </w:rPr>
      </w:pPr>
      <w:r w:rsidRPr="00CD1F1C">
        <w:rPr>
          <w:rFonts w:ascii="Arial" w:hAnsi="Arial" w:cs="Arial"/>
          <w:kern w:val="0"/>
          <w14:ligatures w14:val="none"/>
        </w:rPr>
        <w:t xml:space="preserve">Reed, M. S., Vella, S., </w:t>
      </w:r>
      <w:proofErr w:type="spellStart"/>
      <w:r w:rsidRPr="00CD1F1C">
        <w:rPr>
          <w:rFonts w:ascii="Arial" w:hAnsi="Arial" w:cs="Arial"/>
          <w:kern w:val="0"/>
          <w14:ligatures w14:val="none"/>
        </w:rPr>
        <w:t>Challies</w:t>
      </w:r>
      <w:proofErr w:type="spellEnd"/>
      <w:r w:rsidRPr="00CD1F1C">
        <w:rPr>
          <w:rFonts w:ascii="Arial" w:hAnsi="Arial" w:cs="Arial"/>
          <w:kern w:val="0"/>
          <w14:ligatures w14:val="none"/>
        </w:rPr>
        <w:t xml:space="preserve">, E., De </w:t>
      </w:r>
      <w:proofErr w:type="spellStart"/>
      <w:r w:rsidRPr="00CD1F1C">
        <w:rPr>
          <w:rFonts w:ascii="Arial" w:hAnsi="Arial" w:cs="Arial"/>
          <w:kern w:val="0"/>
          <w14:ligatures w14:val="none"/>
        </w:rPr>
        <w:t>Vente</w:t>
      </w:r>
      <w:proofErr w:type="spellEnd"/>
      <w:r w:rsidRPr="00CD1F1C">
        <w:rPr>
          <w:rFonts w:ascii="Arial" w:hAnsi="Arial" w:cs="Arial"/>
          <w:kern w:val="0"/>
          <w14:ligatures w14:val="none"/>
        </w:rPr>
        <w:t xml:space="preserve">, J., </w:t>
      </w:r>
      <w:proofErr w:type="spellStart"/>
      <w:r w:rsidRPr="00CD1F1C">
        <w:rPr>
          <w:rFonts w:ascii="Arial" w:hAnsi="Arial" w:cs="Arial"/>
          <w:kern w:val="0"/>
          <w14:ligatures w14:val="none"/>
        </w:rPr>
        <w:t>Frewer</w:t>
      </w:r>
      <w:proofErr w:type="spellEnd"/>
      <w:r w:rsidRPr="00CD1F1C">
        <w:rPr>
          <w:rFonts w:ascii="Arial" w:hAnsi="Arial" w:cs="Arial"/>
          <w:kern w:val="0"/>
          <w14:ligatures w14:val="none"/>
        </w:rPr>
        <w:t xml:space="preserve">, L., </w:t>
      </w:r>
      <w:proofErr w:type="spellStart"/>
      <w:r w:rsidRPr="00CD1F1C">
        <w:rPr>
          <w:rFonts w:ascii="Arial" w:hAnsi="Arial" w:cs="Arial"/>
          <w:kern w:val="0"/>
          <w14:ligatures w14:val="none"/>
        </w:rPr>
        <w:t>Hohenwallner-Ries</w:t>
      </w:r>
      <w:proofErr w:type="spellEnd"/>
      <w:r w:rsidRPr="00CD1F1C">
        <w:rPr>
          <w:rFonts w:ascii="Arial" w:hAnsi="Arial" w:cs="Arial"/>
          <w:kern w:val="0"/>
          <w14:ligatures w14:val="none"/>
        </w:rPr>
        <w:t xml:space="preserve">, D., Huber, T., Neumann, R. K., </w:t>
      </w:r>
      <w:proofErr w:type="spellStart"/>
      <w:r w:rsidRPr="00CD1F1C">
        <w:rPr>
          <w:rFonts w:ascii="Arial" w:hAnsi="Arial" w:cs="Arial"/>
          <w:kern w:val="0"/>
          <w14:ligatures w14:val="none"/>
        </w:rPr>
        <w:t>Oughton</w:t>
      </w:r>
      <w:proofErr w:type="spellEnd"/>
      <w:r w:rsidRPr="00CD1F1C">
        <w:rPr>
          <w:rFonts w:ascii="Arial" w:hAnsi="Arial" w:cs="Arial"/>
          <w:kern w:val="0"/>
          <w14:ligatures w14:val="none"/>
        </w:rPr>
        <w:t xml:space="preserve">, E. A., </w:t>
      </w:r>
      <w:proofErr w:type="spellStart"/>
      <w:r w:rsidRPr="00CD1F1C">
        <w:rPr>
          <w:rFonts w:ascii="Arial" w:hAnsi="Arial" w:cs="Arial"/>
          <w:kern w:val="0"/>
          <w14:ligatures w14:val="none"/>
        </w:rPr>
        <w:t>Sidoli</w:t>
      </w:r>
      <w:proofErr w:type="spellEnd"/>
      <w:r w:rsidRPr="00CD1F1C">
        <w:rPr>
          <w:rFonts w:ascii="Arial" w:hAnsi="Arial" w:cs="Arial"/>
          <w:kern w:val="0"/>
          <w14:ligatures w14:val="none"/>
        </w:rPr>
        <w:t xml:space="preserve"> del </w:t>
      </w:r>
      <w:proofErr w:type="spellStart"/>
      <w:r w:rsidRPr="00CD1F1C">
        <w:rPr>
          <w:rFonts w:ascii="Arial" w:hAnsi="Arial" w:cs="Arial"/>
          <w:kern w:val="0"/>
          <w14:ligatures w14:val="none"/>
        </w:rPr>
        <w:t>Ceno</w:t>
      </w:r>
      <w:proofErr w:type="spellEnd"/>
      <w:r w:rsidRPr="00CD1F1C">
        <w:rPr>
          <w:rFonts w:ascii="Arial" w:hAnsi="Arial" w:cs="Arial"/>
          <w:kern w:val="0"/>
          <w14:ligatures w14:val="none"/>
        </w:rPr>
        <w:t xml:space="preserve">, J., &amp; Van </w:t>
      </w:r>
      <w:proofErr w:type="spellStart"/>
      <w:r w:rsidRPr="00CD1F1C">
        <w:rPr>
          <w:rFonts w:ascii="Arial" w:hAnsi="Arial" w:cs="Arial"/>
          <w:kern w:val="0"/>
          <w14:ligatures w14:val="none"/>
        </w:rPr>
        <w:t>Delden</w:t>
      </w:r>
      <w:proofErr w:type="spellEnd"/>
      <w:r w:rsidRPr="00CD1F1C">
        <w:rPr>
          <w:rFonts w:ascii="Arial" w:hAnsi="Arial" w:cs="Arial"/>
          <w:kern w:val="0"/>
          <w14:ligatures w14:val="none"/>
        </w:rPr>
        <w:t>, H. (2017). A theory of participation: What makes stakeholder and public engagement in environmental management work? Restoration Ecology, 26, 7-17. </w:t>
      </w:r>
      <w:hyperlink r:id="rId15" w:history="1">
        <w:r w:rsidRPr="00CD1F1C">
          <w:rPr>
            <w:rFonts w:ascii="Arial" w:hAnsi="Arial" w:cs="Arial"/>
            <w:kern w:val="0"/>
            <w14:ligatures w14:val="none"/>
          </w:rPr>
          <w:t>https://doi.org/10.1111/rec.12541</w:t>
        </w:r>
      </w:hyperlink>
    </w:p>
    <w:p w14:paraId="4FB7AA43" w14:textId="090CB8F0" w:rsidR="00D55136" w:rsidRPr="00CD1F1C" w:rsidRDefault="00D55136" w:rsidP="00F30A79">
      <w:pPr>
        <w:pStyle w:val="ListParagraph"/>
        <w:numPr>
          <w:ilvl w:val="0"/>
          <w:numId w:val="8"/>
        </w:numPr>
        <w:spacing w:after="0" w:line="360" w:lineRule="auto"/>
        <w:ind w:left="0" w:firstLine="720"/>
        <w:jc w:val="both"/>
        <w:rPr>
          <w:rFonts w:ascii="Arial" w:hAnsi="Arial" w:cs="Arial"/>
          <w:kern w:val="0"/>
          <w14:ligatures w14:val="none"/>
        </w:rPr>
      </w:pPr>
      <w:r w:rsidRPr="00CD1F1C">
        <w:rPr>
          <w:rFonts w:ascii="Arial" w:hAnsi="Arial" w:cs="Arial"/>
          <w:kern w:val="0"/>
          <w14:ligatures w14:val="none"/>
        </w:rPr>
        <w:t>Smyth, N., Thorn, L., Wood, C., Hall, D., &amp; Lister, C. (2022). Increased well-being following engagement in a group nature-based programme: The green gym programme delivered by the conservation volunteers. Healthcare, 10(6), 978. </w:t>
      </w:r>
      <w:hyperlink r:id="rId16" w:history="1">
        <w:r w:rsidRPr="00CD1F1C">
          <w:rPr>
            <w:rFonts w:ascii="Arial" w:hAnsi="Arial" w:cs="Arial"/>
            <w:kern w:val="0"/>
            <w14:ligatures w14:val="none"/>
          </w:rPr>
          <w:t>https://doi.org/10.3390/</w:t>
        </w:r>
        <w:r w:rsidR="00DC7B2C">
          <w:rPr>
            <w:rFonts w:ascii="Arial" w:hAnsi="Arial" w:cs="Arial"/>
            <w:kern w:val="0"/>
            <w14:ligatures w14:val="none"/>
          </w:rPr>
          <w:t xml:space="preserve"> </w:t>
        </w:r>
        <w:r w:rsidRPr="00CD1F1C">
          <w:rPr>
            <w:rFonts w:ascii="Arial" w:hAnsi="Arial" w:cs="Arial"/>
            <w:kern w:val="0"/>
            <w14:ligatures w14:val="none"/>
          </w:rPr>
          <w:t>healthcare10060978</w:t>
        </w:r>
      </w:hyperlink>
    </w:p>
    <w:p w14:paraId="540BBB15" w14:textId="77777777" w:rsidR="00D55136" w:rsidRPr="00CD1F1C" w:rsidRDefault="00D55136" w:rsidP="00F30A79">
      <w:pPr>
        <w:pStyle w:val="ListParagraph"/>
        <w:numPr>
          <w:ilvl w:val="0"/>
          <w:numId w:val="8"/>
        </w:numPr>
        <w:spacing w:after="0" w:line="360" w:lineRule="auto"/>
        <w:ind w:left="0" w:firstLine="720"/>
        <w:jc w:val="both"/>
        <w:rPr>
          <w:rFonts w:ascii="Arial" w:hAnsi="Arial" w:cs="Arial"/>
          <w:kern w:val="0"/>
          <w14:ligatures w14:val="none"/>
        </w:rPr>
      </w:pPr>
      <w:r w:rsidRPr="00CD1F1C">
        <w:rPr>
          <w:rFonts w:ascii="Arial" w:hAnsi="Arial" w:cs="Arial"/>
          <w:kern w:val="0"/>
          <w14:ligatures w14:val="none"/>
        </w:rPr>
        <w:t>Welldoing.org. (2015). Green gyms: Well-being through outdoor conservation. Welldoing. </w:t>
      </w:r>
      <w:hyperlink r:id="rId17" w:history="1">
        <w:r w:rsidRPr="00CD1F1C">
          <w:rPr>
            <w:rFonts w:ascii="Arial" w:hAnsi="Arial" w:cs="Arial"/>
            <w:kern w:val="0"/>
            <w14:ligatures w14:val="none"/>
          </w:rPr>
          <w:t>https://welldoing.org/article/green-gym-outdoor-conservation</w:t>
        </w:r>
      </w:hyperlink>
    </w:p>
    <w:p w14:paraId="6115004D" w14:textId="77777777" w:rsidR="00D55136" w:rsidRPr="00CD1F1C" w:rsidRDefault="00D55136" w:rsidP="00F30A79">
      <w:pPr>
        <w:pStyle w:val="ListParagraph"/>
        <w:numPr>
          <w:ilvl w:val="0"/>
          <w:numId w:val="8"/>
        </w:numPr>
        <w:spacing w:after="0" w:line="360" w:lineRule="auto"/>
        <w:ind w:left="0" w:firstLine="720"/>
        <w:jc w:val="both"/>
        <w:rPr>
          <w:rFonts w:ascii="Arial" w:hAnsi="Arial" w:cs="Arial"/>
          <w:kern w:val="0"/>
          <w14:ligatures w14:val="none"/>
        </w:rPr>
      </w:pPr>
      <w:r w:rsidRPr="00CD1F1C">
        <w:rPr>
          <w:rFonts w:ascii="Arial" w:hAnsi="Arial" w:cs="Arial"/>
          <w:kern w:val="0"/>
          <w14:ligatures w14:val="none"/>
        </w:rPr>
        <w:t xml:space="preserve">Zhang, Y., Xiao, X., Cao, R., Zheng, C., </w:t>
      </w:r>
      <w:proofErr w:type="spellStart"/>
      <w:r w:rsidRPr="00CD1F1C">
        <w:rPr>
          <w:rFonts w:ascii="Arial" w:hAnsi="Arial" w:cs="Arial"/>
          <w:kern w:val="0"/>
          <w14:ligatures w14:val="none"/>
        </w:rPr>
        <w:t>Guo</w:t>
      </w:r>
      <w:proofErr w:type="spellEnd"/>
      <w:r w:rsidRPr="00CD1F1C">
        <w:rPr>
          <w:rFonts w:ascii="Arial" w:hAnsi="Arial" w:cs="Arial"/>
          <w:kern w:val="0"/>
          <w14:ligatures w14:val="none"/>
        </w:rPr>
        <w:t xml:space="preserve">, Y., Gong, W., &amp; Wei, Z. (2020). How important is community participation to eco-environmental conservation in protected areas? From the perspective of predicting locals' pro-environmental behaviours. Science of </w:t>
      </w:r>
      <w:proofErr w:type="gramStart"/>
      <w:r w:rsidRPr="00CD1F1C">
        <w:rPr>
          <w:rFonts w:ascii="Arial" w:hAnsi="Arial" w:cs="Arial"/>
          <w:kern w:val="0"/>
          <w14:ligatures w14:val="none"/>
        </w:rPr>
        <w:t>The</w:t>
      </w:r>
      <w:proofErr w:type="gramEnd"/>
      <w:r w:rsidRPr="00CD1F1C">
        <w:rPr>
          <w:rFonts w:ascii="Arial" w:hAnsi="Arial" w:cs="Arial"/>
          <w:kern w:val="0"/>
          <w14:ligatures w14:val="none"/>
        </w:rPr>
        <w:t xml:space="preserve"> Total Environment, 739, 139889. </w:t>
      </w:r>
      <w:hyperlink r:id="rId18" w:history="1">
        <w:r w:rsidRPr="00CD1F1C">
          <w:rPr>
            <w:rFonts w:ascii="Arial" w:hAnsi="Arial" w:cs="Arial"/>
            <w:kern w:val="0"/>
            <w14:ligatures w14:val="none"/>
          </w:rPr>
          <w:t>https://doi.org/10.1016/j.scitotenv.2020.139889</w:t>
        </w:r>
      </w:hyperlink>
    </w:p>
    <w:sectPr w:rsidR="00D55136" w:rsidRPr="00CD1F1C" w:rsidSect="002C1A0B">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7D3F66" w14:textId="77777777" w:rsidR="006227CA" w:rsidRDefault="006227CA" w:rsidP="002C1A0B">
      <w:pPr>
        <w:spacing w:after="0" w:line="240" w:lineRule="auto"/>
      </w:pPr>
      <w:r>
        <w:separator/>
      </w:r>
    </w:p>
  </w:endnote>
  <w:endnote w:type="continuationSeparator" w:id="0">
    <w:p w14:paraId="3E7DA628" w14:textId="77777777" w:rsidR="006227CA" w:rsidRDefault="006227CA" w:rsidP="002C1A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CE00A3" w14:textId="77777777" w:rsidR="002C1A0B" w:rsidRDefault="002C1A0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936927"/>
      <w:docPartObj>
        <w:docPartGallery w:val="Page Numbers (Bottom of Page)"/>
        <w:docPartUnique/>
      </w:docPartObj>
    </w:sdtPr>
    <w:sdtEndPr>
      <w:rPr>
        <w:noProof/>
      </w:rPr>
    </w:sdtEndPr>
    <w:sdtContent>
      <w:p w14:paraId="6F2BA2EA" w14:textId="7724BF74" w:rsidR="002C1A0B" w:rsidRDefault="002C1A0B">
        <w:pPr>
          <w:pStyle w:val="Footer"/>
          <w:jc w:val="center"/>
        </w:pPr>
        <w:r>
          <w:fldChar w:fldCharType="begin"/>
        </w:r>
        <w:r>
          <w:instrText xml:space="preserve"> PAGE   \* MERGEFORMAT </w:instrText>
        </w:r>
        <w:r>
          <w:fldChar w:fldCharType="separate"/>
        </w:r>
        <w:r w:rsidR="00A45AB4">
          <w:rPr>
            <w:noProof/>
          </w:rPr>
          <w:t>8</w:t>
        </w:r>
        <w:r>
          <w:rPr>
            <w:noProof/>
          </w:rPr>
          <w:fldChar w:fldCharType="end"/>
        </w:r>
      </w:p>
    </w:sdtContent>
  </w:sdt>
  <w:p w14:paraId="518562E0" w14:textId="77777777" w:rsidR="002C1A0B" w:rsidRDefault="002C1A0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012D62" w14:textId="77777777" w:rsidR="002C1A0B" w:rsidRDefault="002C1A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2B17E9" w14:textId="77777777" w:rsidR="006227CA" w:rsidRDefault="006227CA" w:rsidP="002C1A0B">
      <w:pPr>
        <w:spacing w:after="0" w:line="240" w:lineRule="auto"/>
      </w:pPr>
      <w:r>
        <w:separator/>
      </w:r>
    </w:p>
  </w:footnote>
  <w:footnote w:type="continuationSeparator" w:id="0">
    <w:p w14:paraId="486B22E1" w14:textId="77777777" w:rsidR="006227CA" w:rsidRDefault="006227CA" w:rsidP="002C1A0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BB4066" w14:textId="77777777" w:rsidR="002C1A0B" w:rsidRDefault="002C1A0B">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1741BA" w14:textId="77777777" w:rsidR="002C1A0B" w:rsidRDefault="002C1A0B">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A84C79" w14:textId="77777777" w:rsidR="002C1A0B" w:rsidRDefault="002C1A0B">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E425A"/>
    <w:multiLevelType w:val="hybridMultilevel"/>
    <w:tmpl w:val="CE589796"/>
    <w:lvl w:ilvl="0" w:tplc="D102B142">
      <w:start w:val="1"/>
      <w:numFmt w:val="upperRoman"/>
      <w:lvlText w:val="%1."/>
      <w:lvlJc w:val="right"/>
      <w:pPr>
        <w:ind w:left="720" w:hanging="360"/>
      </w:pPr>
    </w:lvl>
    <w:lvl w:ilvl="1" w:tplc="C73E5104" w:tentative="1">
      <w:start w:val="1"/>
      <w:numFmt w:val="lowerLetter"/>
      <w:lvlText w:val="%2."/>
      <w:lvlJc w:val="left"/>
      <w:pPr>
        <w:ind w:left="1440" w:hanging="360"/>
      </w:pPr>
    </w:lvl>
    <w:lvl w:ilvl="2" w:tplc="5FE89DE0" w:tentative="1">
      <w:start w:val="1"/>
      <w:numFmt w:val="lowerRoman"/>
      <w:lvlText w:val="%3."/>
      <w:lvlJc w:val="right"/>
      <w:pPr>
        <w:ind w:left="2160" w:hanging="180"/>
      </w:pPr>
    </w:lvl>
    <w:lvl w:ilvl="3" w:tplc="00AAB8A0" w:tentative="1">
      <w:start w:val="1"/>
      <w:numFmt w:val="decimal"/>
      <w:lvlText w:val="%4."/>
      <w:lvlJc w:val="left"/>
      <w:pPr>
        <w:ind w:left="2880" w:hanging="360"/>
      </w:pPr>
    </w:lvl>
    <w:lvl w:ilvl="4" w:tplc="5CBAC658" w:tentative="1">
      <w:start w:val="1"/>
      <w:numFmt w:val="lowerLetter"/>
      <w:lvlText w:val="%5."/>
      <w:lvlJc w:val="left"/>
      <w:pPr>
        <w:ind w:left="3600" w:hanging="360"/>
      </w:pPr>
    </w:lvl>
    <w:lvl w:ilvl="5" w:tplc="AB0CA09A" w:tentative="1">
      <w:start w:val="1"/>
      <w:numFmt w:val="lowerRoman"/>
      <w:lvlText w:val="%6."/>
      <w:lvlJc w:val="right"/>
      <w:pPr>
        <w:ind w:left="4320" w:hanging="180"/>
      </w:pPr>
    </w:lvl>
    <w:lvl w:ilvl="6" w:tplc="D34825AA" w:tentative="1">
      <w:start w:val="1"/>
      <w:numFmt w:val="decimal"/>
      <w:lvlText w:val="%7."/>
      <w:lvlJc w:val="left"/>
      <w:pPr>
        <w:ind w:left="5040" w:hanging="360"/>
      </w:pPr>
    </w:lvl>
    <w:lvl w:ilvl="7" w:tplc="463E4834" w:tentative="1">
      <w:start w:val="1"/>
      <w:numFmt w:val="lowerLetter"/>
      <w:lvlText w:val="%8."/>
      <w:lvlJc w:val="left"/>
      <w:pPr>
        <w:ind w:left="5760" w:hanging="360"/>
      </w:pPr>
    </w:lvl>
    <w:lvl w:ilvl="8" w:tplc="42B4518C" w:tentative="1">
      <w:start w:val="1"/>
      <w:numFmt w:val="lowerRoman"/>
      <w:lvlText w:val="%9."/>
      <w:lvlJc w:val="right"/>
      <w:pPr>
        <w:ind w:left="6480" w:hanging="180"/>
      </w:pPr>
    </w:lvl>
  </w:abstractNum>
  <w:abstractNum w:abstractNumId="1" w15:restartNumberingAfterBreak="0">
    <w:nsid w:val="1D237A0E"/>
    <w:multiLevelType w:val="hybridMultilevel"/>
    <w:tmpl w:val="5618386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AD921E4"/>
    <w:multiLevelType w:val="hybridMultilevel"/>
    <w:tmpl w:val="A15CC45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2628E1"/>
    <w:multiLevelType w:val="hybridMultilevel"/>
    <w:tmpl w:val="DD4E8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BC540D"/>
    <w:multiLevelType w:val="hybridMultilevel"/>
    <w:tmpl w:val="7646FB04"/>
    <w:lvl w:ilvl="0" w:tplc="52FE4A10">
      <w:start w:val="1"/>
      <w:numFmt w:val="lowerRoman"/>
      <w:lvlText w:val="%1."/>
      <w:lvlJc w:val="right"/>
      <w:pPr>
        <w:ind w:left="720" w:hanging="360"/>
      </w:pPr>
    </w:lvl>
    <w:lvl w:ilvl="1" w:tplc="9A16A27A" w:tentative="1">
      <w:start w:val="1"/>
      <w:numFmt w:val="lowerLetter"/>
      <w:lvlText w:val="%2."/>
      <w:lvlJc w:val="left"/>
      <w:pPr>
        <w:ind w:left="1440" w:hanging="360"/>
      </w:pPr>
    </w:lvl>
    <w:lvl w:ilvl="2" w:tplc="AF200BE2" w:tentative="1">
      <w:start w:val="1"/>
      <w:numFmt w:val="lowerRoman"/>
      <w:lvlText w:val="%3."/>
      <w:lvlJc w:val="right"/>
      <w:pPr>
        <w:ind w:left="2160" w:hanging="180"/>
      </w:pPr>
    </w:lvl>
    <w:lvl w:ilvl="3" w:tplc="19D43344" w:tentative="1">
      <w:start w:val="1"/>
      <w:numFmt w:val="decimal"/>
      <w:lvlText w:val="%4."/>
      <w:lvlJc w:val="left"/>
      <w:pPr>
        <w:ind w:left="2880" w:hanging="360"/>
      </w:pPr>
    </w:lvl>
    <w:lvl w:ilvl="4" w:tplc="482E8BD4" w:tentative="1">
      <w:start w:val="1"/>
      <w:numFmt w:val="lowerLetter"/>
      <w:lvlText w:val="%5."/>
      <w:lvlJc w:val="left"/>
      <w:pPr>
        <w:ind w:left="3600" w:hanging="360"/>
      </w:pPr>
    </w:lvl>
    <w:lvl w:ilvl="5" w:tplc="E6027CE2" w:tentative="1">
      <w:start w:val="1"/>
      <w:numFmt w:val="lowerRoman"/>
      <w:lvlText w:val="%6."/>
      <w:lvlJc w:val="right"/>
      <w:pPr>
        <w:ind w:left="4320" w:hanging="180"/>
      </w:pPr>
    </w:lvl>
    <w:lvl w:ilvl="6" w:tplc="54E2FCDA" w:tentative="1">
      <w:start w:val="1"/>
      <w:numFmt w:val="decimal"/>
      <w:lvlText w:val="%7."/>
      <w:lvlJc w:val="left"/>
      <w:pPr>
        <w:ind w:left="5040" w:hanging="360"/>
      </w:pPr>
    </w:lvl>
    <w:lvl w:ilvl="7" w:tplc="03D453A0" w:tentative="1">
      <w:start w:val="1"/>
      <w:numFmt w:val="lowerLetter"/>
      <w:lvlText w:val="%8."/>
      <w:lvlJc w:val="left"/>
      <w:pPr>
        <w:ind w:left="5760" w:hanging="360"/>
      </w:pPr>
    </w:lvl>
    <w:lvl w:ilvl="8" w:tplc="76D073F2" w:tentative="1">
      <w:start w:val="1"/>
      <w:numFmt w:val="lowerRoman"/>
      <w:lvlText w:val="%9."/>
      <w:lvlJc w:val="right"/>
      <w:pPr>
        <w:ind w:left="6480" w:hanging="180"/>
      </w:pPr>
    </w:lvl>
  </w:abstractNum>
  <w:abstractNum w:abstractNumId="5" w15:restartNumberingAfterBreak="0">
    <w:nsid w:val="6CA00A96"/>
    <w:multiLevelType w:val="hybridMultilevel"/>
    <w:tmpl w:val="7612139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6F2B140D"/>
    <w:multiLevelType w:val="hybridMultilevel"/>
    <w:tmpl w:val="D214016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78FE7D67"/>
    <w:multiLevelType w:val="hybridMultilevel"/>
    <w:tmpl w:val="7A0A510C"/>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7"/>
  </w:num>
  <w:num w:numId="2">
    <w:abstractNumId w:val="0"/>
  </w:num>
  <w:num w:numId="3">
    <w:abstractNumId w:val="4"/>
  </w:num>
  <w:num w:numId="4">
    <w:abstractNumId w:val="1"/>
  </w:num>
  <w:num w:numId="5">
    <w:abstractNumId w:val="3"/>
  </w:num>
  <w:num w:numId="6">
    <w:abstractNumId w:val="2"/>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rA0NjK2NDM3sjS2tDBS0lEKTi0uzszPAykwrAUAXknnriwAAAA="/>
  </w:docVars>
  <w:rsids>
    <w:rsidRoot w:val="00B45E14"/>
    <w:rsid w:val="000557B6"/>
    <w:rsid w:val="000F4962"/>
    <w:rsid w:val="001160CA"/>
    <w:rsid w:val="00140374"/>
    <w:rsid w:val="00185C5E"/>
    <w:rsid w:val="001F0A76"/>
    <w:rsid w:val="0023071A"/>
    <w:rsid w:val="00233814"/>
    <w:rsid w:val="00274843"/>
    <w:rsid w:val="00290CD1"/>
    <w:rsid w:val="002C1A0B"/>
    <w:rsid w:val="003702D8"/>
    <w:rsid w:val="00381F4A"/>
    <w:rsid w:val="00423B9E"/>
    <w:rsid w:val="00457CCE"/>
    <w:rsid w:val="004F7DCF"/>
    <w:rsid w:val="00522A14"/>
    <w:rsid w:val="00585309"/>
    <w:rsid w:val="0059637D"/>
    <w:rsid w:val="005D245A"/>
    <w:rsid w:val="006227CA"/>
    <w:rsid w:val="006600C2"/>
    <w:rsid w:val="006A2BA4"/>
    <w:rsid w:val="006C0A6A"/>
    <w:rsid w:val="006F140C"/>
    <w:rsid w:val="0073041B"/>
    <w:rsid w:val="00734049"/>
    <w:rsid w:val="00780E67"/>
    <w:rsid w:val="007A1A5E"/>
    <w:rsid w:val="008307E9"/>
    <w:rsid w:val="008428BB"/>
    <w:rsid w:val="008C31DE"/>
    <w:rsid w:val="00903ACC"/>
    <w:rsid w:val="0095166E"/>
    <w:rsid w:val="00A1125C"/>
    <w:rsid w:val="00A114C9"/>
    <w:rsid w:val="00A26FE9"/>
    <w:rsid w:val="00A45AB4"/>
    <w:rsid w:val="00AA0183"/>
    <w:rsid w:val="00B45E14"/>
    <w:rsid w:val="00C1793A"/>
    <w:rsid w:val="00CC454A"/>
    <w:rsid w:val="00CD1F1C"/>
    <w:rsid w:val="00D55136"/>
    <w:rsid w:val="00D65C61"/>
    <w:rsid w:val="00D67D6E"/>
    <w:rsid w:val="00D750BD"/>
    <w:rsid w:val="00DC7B2C"/>
    <w:rsid w:val="00DD55A7"/>
    <w:rsid w:val="00E52623"/>
    <w:rsid w:val="00F05B9B"/>
    <w:rsid w:val="00F30A79"/>
    <w:rsid w:val="00F6637C"/>
    <w:rsid w:val="00FF0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6D65C"/>
  <w15:chartTrackingRefBased/>
  <w15:docId w15:val="{EAF89701-9B0F-4BCD-850F-052548C8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50B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0E6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780E67"/>
    <w:rPr>
      <w:rFonts w:eastAsiaTheme="minorEastAsia"/>
      <w:kern w:val="0"/>
      <w14:ligatures w14:val="none"/>
    </w:rPr>
  </w:style>
  <w:style w:type="paragraph" w:styleId="ListParagraph">
    <w:name w:val="List Paragraph"/>
    <w:basedOn w:val="Normal"/>
    <w:uiPriority w:val="34"/>
    <w:qFormat/>
    <w:rsid w:val="00780E67"/>
    <w:pPr>
      <w:ind w:left="720"/>
      <w:contextualSpacing/>
    </w:pPr>
  </w:style>
  <w:style w:type="paragraph" w:styleId="Header">
    <w:name w:val="header"/>
    <w:basedOn w:val="Normal"/>
    <w:link w:val="HeaderChar"/>
    <w:uiPriority w:val="99"/>
    <w:unhideWhenUsed/>
    <w:rsid w:val="0059637D"/>
    <w:pPr>
      <w:tabs>
        <w:tab w:val="center" w:pos="4680"/>
        <w:tab w:val="right" w:pos="9360"/>
      </w:tabs>
      <w:spacing w:after="0" w:line="240" w:lineRule="auto"/>
    </w:pPr>
    <w:rPr>
      <w:kern w:val="0"/>
      <w14:ligatures w14:val="none"/>
    </w:rPr>
  </w:style>
  <w:style w:type="character" w:customStyle="1" w:styleId="HeaderChar">
    <w:name w:val="Header Char"/>
    <w:basedOn w:val="DefaultParagraphFont"/>
    <w:link w:val="Header"/>
    <w:uiPriority w:val="99"/>
    <w:rsid w:val="0059637D"/>
    <w:rPr>
      <w:kern w:val="0"/>
      <w14:ligatures w14:val="none"/>
    </w:rPr>
  </w:style>
  <w:style w:type="paragraph" w:styleId="Footer">
    <w:name w:val="footer"/>
    <w:basedOn w:val="Normal"/>
    <w:link w:val="FooterChar"/>
    <w:uiPriority w:val="99"/>
    <w:unhideWhenUsed/>
    <w:rsid w:val="002C1A0B"/>
    <w:pPr>
      <w:tabs>
        <w:tab w:val="center" w:pos="4703"/>
        <w:tab w:val="right" w:pos="9406"/>
      </w:tabs>
      <w:spacing w:after="0" w:line="240" w:lineRule="auto"/>
    </w:pPr>
  </w:style>
  <w:style w:type="character" w:customStyle="1" w:styleId="FooterChar">
    <w:name w:val="Footer Char"/>
    <w:basedOn w:val="DefaultParagraphFont"/>
    <w:link w:val="Footer"/>
    <w:uiPriority w:val="99"/>
    <w:rsid w:val="002C1A0B"/>
  </w:style>
  <w:style w:type="character" w:styleId="Emphasis">
    <w:name w:val="Emphasis"/>
    <w:basedOn w:val="DefaultParagraphFont"/>
    <w:uiPriority w:val="20"/>
    <w:qFormat/>
    <w:rsid w:val="00D65C61"/>
    <w:rPr>
      <w:i/>
      <w:iCs/>
    </w:rPr>
  </w:style>
  <w:style w:type="paragraph" w:styleId="NormalWeb">
    <w:name w:val="Normal (Web)"/>
    <w:basedOn w:val="Normal"/>
    <w:uiPriority w:val="99"/>
    <w:unhideWhenUsed/>
    <w:rsid w:val="0023381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233814"/>
    <w:rPr>
      <w:color w:val="0000FF" w:themeColor="hyperlink"/>
      <w:u w:val="single"/>
    </w:rPr>
  </w:style>
  <w:style w:type="character" w:customStyle="1" w:styleId="Heading1Char">
    <w:name w:val="Heading 1 Char"/>
    <w:basedOn w:val="DefaultParagraphFont"/>
    <w:link w:val="Heading1"/>
    <w:uiPriority w:val="9"/>
    <w:rsid w:val="00D750BD"/>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750BD"/>
    <w:pPr>
      <w:spacing w:line="259" w:lineRule="auto"/>
      <w:outlineLvl w:val="9"/>
    </w:pPr>
    <w:rPr>
      <w:kern w:val="0"/>
      <w14:ligatures w14:val="none"/>
    </w:rPr>
  </w:style>
  <w:style w:type="paragraph" w:styleId="TOC2">
    <w:name w:val="toc 2"/>
    <w:basedOn w:val="Normal"/>
    <w:next w:val="Normal"/>
    <w:autoRedefine/>
    <w:uiPriority w:val="39"/>
    <w:unhideWhenUsed/>
    <w:rsid w:val="00D750BD"/>
    <w:pPr>
      <w:spacing w:after="100" w:line="259" w:lineRule="auto"/>
      <w:ind w:left="220"/>
    </w:pPr>
    <w:rPr>
      <w:rFonts w:eastAsiaTheme="minorEastAsia" w:cs="Times New Roman"/>
      <w:kern w:val="0"/>
      <w14:ligatures w14:val="none"/>
    </w:rPr>
  </w:style>
  <w:style w:type="paragraph" w:styleId="TOC1">
    <w:name w:val="toc 1"/>
    <w:basedOn w:val="Normal"/>
    <w:next w:val="Normal"/>
    <w:autoRedefine/>
    <w:uiPriority w:val="39"/>
    <w:unhideWhenUsed/>
    <w:rsid w:val="00D750BD"/>
    <w:pPr>
      <w:spacing w:after="100" w:line="259" w:lineRule="auto"/>
    </w:pPr>
    <w:rPr>
      <w:rFonts w:eastAsiaTheme="minorEastAsia" w:cs="Times New Roman"/>
      <w:kern w:val="0"/>
      <w14:ligatures w14:val="none"/>
    </w:rPr>
  </w:style>
  <w:style w:type="paragraph" w:styleId="TOC3">
    <w:name w:val="toc 3"/>
    <w:basedOn w:val="Normal"/>
    <w:next w:val="Normal"/>
    <w:autoRedefine/>
    <w:uiPriority w:val="39"/>
    <w:unhideWhenUsed/>
    <w:rsid w:val="00D750BD"/>
    <w:pPr>
      <w:spacing w:after="100" w:line="259" w:lineRule="auto"/>
      <w:ind w:left="440"/>
    </w:pPr>
    <w:rPr>
      <w:rFonts w:eastAsiaTheme="minorEastAsia"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2534383">
      <w:bodyDiv w:val="1"/>
      <w:marLeft w:val="0"/>
      <w:marRight w:val="0"/>
      <w:marTop w:val="0"/>
      <w:marBottom w:val="0"/>
      <w:divBdr>
        <w:top w:val="none" w:sz="0" w:space="0" w:color="auto"/>
        <w:left w:val="none" w:sz="0" w:space="0" w:color="auto"/>
        <w:bottom w:val="none" w:sz="0" w:space="0" w:color="auto"/>
        <w:right w:val="none" w:sz="0" w:space="0" w:color="auto"/>
      </w:divBdr>
    </w:div>
    <w:div w:id="1900241501">
      <w:bodyDiv w:val="1"/>
      <w:marLeft w:val="0"/>
      <w:marRight w:val="0"/>
      <w:marTop w:val="0"/>
      <w:marBottom w:val="0"/>
      <w:divBdr>
        <w:top w:val="none" w:sz="0" w:space="0" w:color="auto"/>
        <w:left w:val="none" w:sz="0" w:space="0" w:color="auto"/>
        <w:bottom w:val="none" w:sz="0" w:space="0" w:color="auto"/>
        <w:right w:val="none" w:sz="0" w:space="0" w:color="auto"/>
      </w:divBdr>
    </w:div>
    <w:div w:id="2030448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088/1748-9326/aaf300" TargetMode="External"/><Relationship Id="rId18" Type="http://schemas.openxmlformats.org/officeDocument/2006/relationships/hyperlink" Target="https://doi.org/10.1016/j.scitotenv.2020.139889"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1353/cpr.2019.0021" TargetMode="External"/><Relationship Id="rId17" Type="http://schemas.openxmlformats.org/officeDocument/2006/relationships/hyperlink" Target="https://welldoing.org/article/green-gym-outdoor-conservatio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3390/healthcare10060978"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biocon.2019.108224" TargetMode="External"/><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doi.org/10.1111/rec.12541" TargetMode="External"/><Relationship Id="rId23"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lesmills.com/fit-planet/health/the-green-gym/"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Business Management                                                                                            LCBB4002_BIRM                                                         Zahra Mohammadnazari                                                                                            Georgi Dimitrov                                                          Student number                                                            2230344</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5E97F2-159D-419F-A782-4D0329C6F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Pages>
  <Words>2748</Words>
  <Characters>15668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LOCAL AUTHORITY cOMMUNITY 
ENGAGEMENT PROCESS    
</vt:lpstr>
    </vt:vector>
  </TitlesOfParts>
  <Company/>
  <LinksUpToDate>false</LinksUpToDate>
  <CharactersWithSpaces>18380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LOCAL AUTHORITY cOMMUNITY 
ENGAGEMENT PROCESS    
</dc:title>
  <dc:subject>COMMUNITY ENGAGEMENT                               </dc:subject>
  <dc:creator>calebsam472@outlook.com</dc:creator>
  <cp:keywords/>
  <dc:description/>
  <cp:lastModifiedBy>Инна Христова</cp:lastModifiedBy>
  <cp:revision>10</cp:revision>
  <dcterms:created xsi:type="dcterms:W3CDTF">2023-06-29T14:31:00Z</dcterms:created>
  <dcterms:modified xsi:type="dcterms:W3CDTF">2023-07-02T09:33:00Z</dcterms:modified>
</cp:coreProperties>
</file>