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4834004"/>
        <w:docPartObj>
          <w:docPartGallery w:val="Cover Pages"/>
          <w:docPartUnique/>
        </w:docPartObj>
      </w:sdtPr>
      <w:sdtContent>
        <w:p w14:paraId="57718936" w14:textId="77777777" w:rsidR="006935DE" w:rsidRDefault="006935DE">
          <w:r>
            <w:rPr>
              <w:noProof/>
            </w:rPr>
            <mc:AlternateContent>
              <mc:Choice Requires="wpg">
                <w:drawing>
                  <wp:anchor distT="0" distB="0" distL="114300" distR="114300" simplePos="0" relativeHeight="251662336" behindDoc="0" locked="0" layoutInCell="1" allowOverlap="1" wp14:anchorId="69251AB7" wp14:editId="4F7ED11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5DE4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18ab3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39A9CD16" w14:textId="77777777" w:rsidR="006935DE" w:rsidRDefault="006935DE">
          <w:r>
            <w:rPr>
              <w:noProof/>
            </w:rPr>
            <w:drawing>
              <wp:anchor distT="0" distB="0" distL="114300" distR="114300" simplePos="0" relativeHeight="251663360" behindDoc="0" locked="0" layoutInCell="1" allowOverlap="1" wp14:anchorId="4F2968A7" wp14:editId="02A0B912">
                <wp:simplePos x="0" y="0"/>
                <wp:positionH relativeFrom="column">
                  <wp:posOffset>2914650</wp:posOffset>
                </wp:positionH>
                <wp:positionV relativeFrom="paragraph">
                  <wp:posOffset>5294630</wp:posOffset>
                </wp:positionV>
                <wp:extent cx="2843213" cy="943114"/>
                <wp:effectExtent l="0" t="0" r="1905"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43213" cy="943114"/>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6AE89851" wp14:editId="78283EC8">
                    <wp:simplePos x="0" y="0"/>
                    <wp:positionH relativeFrom="page">
                      <wp:posOffset>222885</wp:posOffset>
                    </wp:positionH>
                    <wp:positionV relativeFrom="page">
                      <wp:posOffset>2007870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855D2" w14:textId="230FB650" w:rsidR="00801635" w:rsidRDefault="00801635">
                                <w:pPr>
                                  <w:jc w:val="right"/>
                                  <w:rPr>
                                    <w:color w:val="418AB3" w:themeColor="accent1"/>
                                    <w:sz w:val="64"/>
                                    <w:szCs w:val="64"/>
                                  </w:rPr>
                                </w:pPr>
                                <w:sdt>
                                  <w:sdtPr>
                                    <w:rPr>
                                      <w:caps/>
                                      <w:color w:val="418AB3"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18AB3" w:themeColor="accent1"/>
                                        <w:sz w:val="52"/>
                                        <w:szCs w:val="52"/>
                                      </w:rPr>
                                      <w:t>ASSESSMENT 2</w:t>
                                    </w:r>
                                    <w:r w:rsidRPr="006935DE">
                                      <w:rPr>
                                        <w:caps/>
                                        <w:color w:val="418AB3" w:themeColor="accent1"/>
                                        <w:sz w:val="52"/>
                                        <w:szCs w:val="52"/>
                                      </w:rPr>
                                      <w:br/>
                                    </w:r>
                                    <w:r>
                                      <w:rPr>
                                        <w:color w:val="418AB3" w:themeColor="accent1"/>
                                        <w:sz w:val="52"/>
                                        <w:szCs w:val="52"/>
                                      </w:rPr>
                                      <w:t>Contract Law BMLW5006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315345" w14:textId="77777777" w:rsidR="00801635" w:rsidRDefault="00801635">
                                    <w:pPr>
                                      <w:jc w:val="right"/>
                                      <w:rPr>
                                        <w:smallCaps/>
                                        <w:color w:val="404040" w:themeColor="text1" w:themeTint="BF"/>
                                        <w:sz w:val="36"/>
                                        <w:szCs w:val="36"/>
                                      </w:rPr>
                                    </w:pPr>
                                    <w:r>
                                      <w:rPr>
                                        <w:color w:val="404040" w:themeColor="text1" w:themeTint="BF"/>
                                        <w:sz w:val="36"/>
                                        <w:szCs w:val="36"/>
                                      </w:rPr>
                                      <w:t>Rebecca Steele 1902180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AE89851" id="_x0000_t202" coordsize="21600,21600" o:spt="202" path="m,l,21600r21600,l21600,xe">
                    <v:stroke joinstyle="miter"/>
                    <v:path gradientshapeok="t" o:connecttype="rect"/>
                  </v:shapetype>
                  <v:shape id="Text Box 154" o:spid="_x0000_s1026" type="#_x0000_t202" style="position:absolute;margin-left:17.55pt;margin-top:158.1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" filled="f" stroked="f" strokeweight=".5pt">
                    <v:textbox inset="126pt,0,54pt,0">
                      <w:txbxContent>
                        <w:p w14:paraId="6AE855D2" w14:textId="230FB650" w:rsidR="00801635" w:rsidRDefault="00801635">
                          <w:pPr>
                            <w:jc w:val="right"/>
                            <w:rPr>
                              <w:color w:val="418AB3" w:themeColor="accent1"/>
                              <w:sz w:val="64"/>
                              <w:szCs w:val="64"/>
                            </w:rPr>
                          </w:pPr>
                          <w:sdt>
                            <w:sdtPr>
                              <w:rPr>
                                <w:caps/>
                                <w:color w:val="418AB3"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18AB3" w:themeColor="accent1"/>
                                  <w:sz w:val="52"/>
                                  <w:szCs w:val="52"/>
                                </w:rPr>
                                <w:t>ASSESSMENT 2</w:t>
                              </w:r>
                              <w:r w:rsidRPr="006935DE">
                                <w:rPr>
                                  <w:caps/>
                                  <w:color w:val="418AB3" w:themeColor="accent1"/>
                                  <w:sz w:val="52"/>
                                  <w:szCs w:val="52"/>
                                </w:rPr>
                                <w:br/>
                              </w:r>
                              <w:r>
                                <w:rPr>
                                  <w:color w:val="418AB3" w:themeColor="accent1"/>
                                  <w:sz w:val="52"/>
                                  <w:szCs w:val="52"/>
                                </w:rPr>
                                <w:t>Contract Law BMLW5006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315345" w14:textId="77777777" w:rsidR="00801635" w:rsidRDefault="00801635">
                              <w:pPr>
                                <w:jc w:val="right"/>
                                <w:rPr>
                                  <w:smallCaps/>
                                  <w:color w:val="404040" w:themeColor="text1" w:themeTint="BF"/>
                                  <w:sz w:val="36"/>
                                  <w:szCs w:val="36"/>
                                </w:rPr>
                              </w:pPr>
                              <w:r>
                                <w:rPr>
                                  <w:color w:val="404040" w:themeColor="text1" w:themeTint="BF"/>
                                  <w:sz w:val="36"/>
                                  <w:szCs w:val="36"/>
                                </w:rPr>
                                <w:t>Rebecca Steele 1902180</w:t>
                              </w:r>
                            </w:p>
                          </w:sdtContent>
                        </w:sdt>
                      </w:txbxContent>
                    </v:textbox>
                    <w10:wrap type="square" anchorx="page" anchory="page"/>
                  </v:shape>
                </w:pict>
              </mc:Fallback>
            </mc:AlternateContent>
          </w:r>
          <w:r>
            <w:br w:type="page"/>
          </w:r>
        </w:p>
      </w:sdtContent>
    </w:sdt>
    <w:p w14:paraId="38F88DBA" w14:textId="524EF688" w:rsidR="00E1786A" w:rsidRDefault="00E1786A" w:rsidP="00E1786A">
      <w:pPr>
        <w:pStyle w:val="Heading1"/>
      </w:pPr>
      <w:r>
        <w:lastRenderedPageBreak/>
        <w:t xml:space="preserve">Evaluate the extent to which the courts will uphold a contract entered into as a result of threats or pressure by one </w:t>
      </w:r>
      <w:r w:rsidR="00463D26">
        <w:t>party</w:t>
      </w:r>
      <w:r>
        <w:t xml:space="preserve"> to the contract upon the other.</w:t>
      </w:r>
    </w:p>
    <w:p w14:paraId="5EFCEDB1" w14:textId="28377685" w:rsidR="00E1786A" w:rsidRDefault="00E1786A" w:rsidP="00E1786A"/>
    <w:p w14:paraId="5D9FA0FC" w14:textId="244717D1" w:rsidR="00B83B9C" w:rsidRDefault="00E1786A" w:rsidP="00DC43BA">
      <w:pPr>
        <w:spacing w:line="360" w:lineRule="auto"/>
      </w:pPr>
      <w:r>
        <w:t xml:space="preserve">This </w:t>
      </w:r>
      <w:r w:rsidR="00B83B9C">
        <w:t>essay will outline the principles of duress and undue influence and discuss the ways in which a court of law will consider these principles when faced with an issue regarding contractual obligation based on threats or pressure from one member o</w:t>
      </w:r>
      <w:r w:rsidR="00915F47">
        <w:t>f the part</w:t>
      </w:r>
      <w:r w:rsidR="00BC6947">
        <w:t>y</w:t>
      </w:r>
      <w:r w:rsidR="00B83B9C">
        <w:t xml:space="preserve"> to the other. It will additionally examine how these doctrines have changed and how the court uses these principles to make decisions in </w:t>
      </w:r>
      <w:r w:rsidR="00463D26">
        <w:t>modern-day</w:t>
      </w:r>
      <w:r w:rsidR="00B83B9C">
        <w:t xml:space="preserve"> contract law. </w:t>
      </w:r>
      <w:r w:rsidR="00276591">
        <w:t xml:space="preserve">Relevant examples of </w:t>
      </w:r>
      <w:r w:rsidR="00B83B9C">
        <w:t xml:space="preserve">case law will be used to support </w:t>
      </w:r>
      <w:r w:rsidR="00915F47">
        <w:t xml:space="preserve">the </w:t>
      </w:r>
      <w:r w:rsidR="00E471A1">
        <w:t>ideas</w:t>
      </w:r>
      <w:r w:rsidR="00915F47">
        <w:t xml:space="preserve"> discussed throughout.</w:t>
      </w:r>
    </w:p>
    <w:p w14:paraId="2AEB961E" w14:textId="2AEAB5FF" w:rsidR="00B83B9C" w:rsidRDefault="00B83B9C" w:rsidP="00DC43BA">
      <w:pPr>
        <w:spacing w:line="360" w:lineRule="auto"/>
      </w:pPr>
    </w:p>
    <w:p w14:paraId="7E9DB0FC" w14:textId="39EE6B44" w:rsidR="00940B6A" w:rsidRDefault="00B83B9C" w:rsidP="00DC43BA">
      <w:pPr>
        <w:spacing w:line="360" w:lineRule="auto"/>
        <w:rPr>
          <w:rFonts w:eastAsia="Times New Roman" w:cs="Times New Roman"/>
          <w:lang w:eastAsia="en-GB"/>
        </w:rPr>
      </w:pPr>
      <w:r>
        <w:t xml:space="preserve">A valid contract is formed </w:t>
      </w:r>
      <w:r w:rsidR="00733078">
        <w:t xml:space="preserve">on the basis that there is </w:t>
      </w:r>
      <w:r w:rsidR="00463D26">
        <w:t xml:space="preserve">the </w:t>
      </w:r>
      <w:r w:rsidR="00733078">
        <w:t>willingness by both parties to contract on identified terms (</w:t>
      </w:r>
      <w:proofErr w:type="spellStart"/>
      <w:r w:rsidR="00733078" w:rsidRPr="00A06D27">
        <w:rPr>
          <w:rFonts w:eastAsia="Times New Roman" w:cs="Times New Roman"/>
          <w:lang w:eastAsia="en-GB"/>
        </w:rPr>
        <w:t>Treitel</w:t>
      </w:r>
      <w:proofErr w:type="spellEnd"/>
      <w:r w:rsidR="00733078" w:rsidRPr="00A06D27">
        <w:rPr>
          <w:rFonts w:eastAsia="Times New Roman" w:cs="Times New Roman"/>
          <w:lang w:eastAsia="en-GB"/>
        </w:rPr>
        <w:t>,</w:t>
      </w:r>
      <w:r w:rsidR="00733078">
        <w:rPr>
          <w:rFonts w:eastAsia="Times New Roman" w:cs="Times New Roman"/>
          <w:lang w:eastAsia="en-GB"/>
        </w:rPr>
        <w:t xml:space="preserve"> 1999). </w:t>
      </w:r>
      <w:r w:rsidR="006C7EFB">
        <w:t>The substance of an agreement, and therefore a legally binding contract, is founded upon both parties giving their free consent to be bound by the a</w:t>
      </w:r>
      <w:r w:rsidR="00940B6A">
        <w:t xml:space="preserve">rranged </w:t>
      </w:r>
      <w:r w:rsidR="006C7EFB">
        <w:t>terms (Richards, 2019)</w:t>
      </w:r>
      <w:r w:rsidR="00276591">
        <w:t xml:space="preserve">. </w:t>
      </w:r>
      <w:r w:rsidR="006C7EFB">
        <w:rPr>
          <w:rFonts w:eastAsia="Times New Roman" w:cs="Times New Roman"/>
          <w:lang w:eastAsia="en-GB"/>
        </w:rPr>
        <w:t>However, t</w:t>
      </w:r>
      <w:r w:rsidR="00733078">
        <w:rPr>
          <w:rFonts w:eastAsia="Times New Roman" w:cs="Times New Roman"/>
          <w:lang w:eastAsia="en-GB"/>
        </w:rPr>
        <w:t xml:space="preserve">here are legal </w:t>
      </w:r>
      <w:r w:rsidR="00D45119">
        <w:rPr>
          <w:rFonts w:eastAsia="Times New Roman" w:cs="Times New Roman"/>
          <w:lang w:eastAsia="en-GB"/>
        </w:rPr>
        <w:t>doctrines</w:t>
      </w:r>
      <w:r w:rsidR="00733078">
        <w:rPr>
          <w:rFonts w:eastAsia="Times New Roman" w:cs="Times New Roman"/>
          <w:lang w:eastAsia="en-GB"/>
        </w:rPr>
        <w:t xml:space="preserve"> </w:t>
      </w:r>
      <w:r w:rsidR="00463D26">
        <w:rPr>
          <w:rFonts w:eastAsia="Times New Roman" w:cs="Times New Roman"/>
          <w:lang w:eastAsia="en-GB"/>
        </w:rPr>
        <w:t>that</w:t>
      </w:r>
      <w:r w:rsidR="00733078">
        <w:rPr>
          <w:rFonts w:eastAsia="Times New Roman" w:cs="Times New Roman"/>
          <w:lang w:eastAsia="en-GB"/>
        </w:rPr>
        <w:t xml:space="preserve"> may affect </w:t>
      </w:r>
      <w:r w:rsidR="00940B6A">
        <w:rPr>
          <w:rFonts w:eastAsia="Times New Roman" w:cs="Times New Roman"/>
          <w:lang w:eastAsia="en-GB"/>
        </w:rPr>
        <w:t>the</w:t>
      </w:r>
      <w:r w:rsidR="00733078">
        <w:rPr>
          <w:rFonts w:eastAsia="Times New Roman" w:cs="Times New Roman"/>
          <w:lang w:eastAsia="en-GB"/>
        </w:rPr>
        <w:t xml:space="preserve"> court’s view </w:t>
      </w:r>
      <w:r w:rsidR="00D45119">
        <w:rPr>
          <w:rFonts w:eastAsia="Times New Roman" w:cs="Times New Roman"/>
          <w:lang w:eastAsia="en-GB"/>
        </w:rPr>
        <w:t>regarding</w:t>
      </w:r>
      <w:r w:rsidR="006C7EFB">
        <w:rPr>
          <w:rFonts w:eastAsia="Times New Roman" w:cs="Times New Roman"/>
          <w:lang w:eastAsia="en-GB"/>
        </w:rPr>
        <w:t xml:space="preserve"> the validity of a contract, one of these is that of duress.</w:t>
      </w:r>
      <w:r w:rsidR="00F77DCD">
        <w:rPr>
          <w:rFonts w:eastAsia="Times New Roman" w:cs="Times New Roman"/>
          <w:lang w:eastAsia="en-GB"/>
        </w:rPr>
        <w:t xml:space="preserve"> Duress may be de</w:t>
      </w:r>
      <w:r w:rsidR="00D45119">
        <w:rPr>
          <w:rFonts w:eastAsia="Times New Roman" w:cs="Times New Roman"/>
          <w:lang w:eastAsia="en-GB"/>
        </w:rPr>
        <w:t>scribed</w:t>
      </w:r>
      <w:r w:rsidR="00F77DCD">
        <w:rPr>
          <w:rFonts w:eastAsia="Times New Roman" w:cs="Times New Roman"/>
          <w:lang w:eastAsia="en-GB"/>
        </w:rPr>
        <w:t xml:space="preserve"> as a situation where</w:t>
      </w:r>
      <w:r w:rsidR="00940B6A">
        <w:rPr>
          <w:rFonts w:eastAsia="Times New Roman" w:cs="Times New Roman"/>
          <w:lang w:eastAsia="en-GB"/>
        </w:rPr>
        <w:t>by</w:t>
      </w:r>
      <w:r w:rsidR="00F77DCD">
        <w:rPr>
          <w:rFonts w:eastAsia="Times New Roman" w:cs="Times New Roman"/>
          <w:lang w:eastAsia="en-GB"/>
        </w:rPr>
        <w:t xml:space="preserve"> a party is induced to enter into a contract by threats of violence or </w:t>
      </w:r>
      <w:r w:rsidR="00D45119">
        <w:rPr>
          <w:rFonts w:eastAsia="Times New Roman" w:cs="Times New Roman"/>
          <w:lang w:eastAsia="en-GB"/>
        </w:rPr>
        <w:t xml:space="preserve">actual </w:t>
      </w:r>
      <w:r w:rsidR="00F77DCD">
        <w:rPr>
          <w:rFonts w:eastAsia="Times New Roman" w:cs="Times New Roman"/>
          <w:lang w:eastAsia="en-GB"/>
        </w:rPr>
        <w:t xml:space="preserve">violence itself. </w:t>
      </w:r>
      <w:r w:rsidR="008F1ACE">
        <w:rPr>
          <w:rFonts w:eastAsia="Times New Roman" w:cs="Times New Roman"/>
          <w:lang w:eastAsia="en-GB"/>
        </w:rPr>
        <w:t xml:space="preserve">There are five conditions that should be satisfied in order for duress to be found, these being, that pressure was exerted on the contracting party, the pressure was illegitimate, the </w:t>
      </w:r>
      <w:r w:rsidR="00463D26">
        <w:rPr>
          <w:rFonts w:eastAsia="Times New Roman" w:cs="Times New Roman"/>
          <w:lang w:eastAsia="en-GB"/>
        </w:rPr>
        <w:t>pressure induced the</w:t>
      </w:r>
      <w:r w:rsidR="008F1ACE">
        <w:rPr>
          <w:rFonts w:eastAsia="Times New Roman" w:cs="Times New Roman"/>
          <w:lang w:eastAsia="en-GB"/>
        </w:rPr>
        <w:t xml:space="preserve"> claimant to enter the agreement, the claimant had no real choice but to enter the contract, and </w:t>
      </w:r>
      <w:r w:rsidR="00D45119">
        <w:rPr>
          <w:rFonts w:eastAsia="Times New Roman" w:cs="Times New Roman"/>
          <w:lang w:eastAsia="en-GB"/>
        </w:rPr>
        <w:t xml:space="preserve">that </w:t>
      </w:r>
      <w:r w:rsidR="008F1ACE">
        <w:rPr>
          <w:rFonts w:eastAsia="Times New Roman" w:cs="Times New Roman"/>
          <w:lang w:eastAsia="en-GB"/>
        </w:rPr>
        <w:t>the claimant protested at the time or shortly after the contract was made. These conditions will each be considered in turn by a court of law (Elliott and Quinn, 2017).</w:t>
      </w:r>
      <w:r w:rsidR="0062200E">
        <w:rPr>
          <w:rFonts w:eastAsia="Times New Roman" w:cs="Times New Roman"/>
          <w:lang w:eastAsia="en-GB"/>
        </w:rPr>
        <w:t xml:space="preserve"> Threats to carry out lawful acts are not grounds for duress</w:t>
      </w:r>
      <w:r w:rsidR="00B24121">
        <w:rPr>
          <w:rFonts w:eastAsia="Times New Roman" w:cs="Times New Roman"/>
          <w:lang w:eastAsia="en-GB"/>
        </w:rPr>
        <w:t xml:space="preserve">, </w:t>
      </w:r>
      <w:r w:rsidR="0062200E">
        <w:rPr>
          <w:rFonts w:eastAsia="Times New Roman" w:cs="Times New Roman"/>
          <w:lang w:eastAsia="en-GB"/>
        </w:rPr>
        <w:t xml:space="preserve">meaning that for duress to be present, there must be both an unlawful act, and one amounting to coercion vitiating free will </w:t>
      </w:r>
      <w:r w:rsidR="0062200E">
        <w:rPr>
          <w:rFonts w:eastAsia="Times New Roman" w:cs="Times New Roman"/>
          <w:i/>
          <w:iCs/>
          <w:lang w:eastAsia="en-GB"/>
        </w:rPr>
        <w:t xml:space="preserve">(R v Attorney General of England and Wales </w:t>
      </w:r>
      <w:r w:rsidR="0062200E" w:rsidRPr="00775935">
        <w:rPr>
          <w:rFonts w:eastAsia="Times New Roman" w:cs="Times New Roman"/>
          <w:lang w:eastAsia="en-GB"/>
        </w:rPr>
        <w:t>(2003</w:t>
      </w:r>
      <w:r w:rsidR="00775935">
        <w:rPr>
          <w:rFonts w:eastAsia="Times New Roman" w:cs="Times New Roman"/>
          <w:lang w:eastAsia="en-GB"/>
        </w:rPr>
        <w:t>)</w:t>
      </w:r>
      <w:r w:rsidR="0062200E">
        <w:rPr>
          <w:rFonts w:eastAsia="Times New Roman" w:cs="Times New Roman"/>
          <w:i/>
          <w:iCs/>
          <w:lang w:eastAsia="en-GB"/>
        </w:rPr>
        <w:t>)</w:t>
      </w:r>
      <w:r w:rsidR="00D45119">
        <w:rPr>
          <w:rFonts w:eastAsia="Times New Roman" w:cs="Times New Roman"/>
          <w:i/>
          <w:iCs/>
          <w:lang w:eastAsia="en-GB"/>
        </w:rPr>
        <w:t xml:space="preserve"> </w:t>
      </w:r>
      <w:r w:rsidR="00D45119">
        <w:rPr>
          <w:rFonts w:eastAsia="Times New Roman" w:cs="Times New Roman"/>
          <w:lang w:eastAsia="en-GB"/>
        </w:rPr>
        <w:t>(Turner, 2014)</w:t>
      </w:r>
      <w:r w:rsidR="0062200E">
        <w:rPr>
          <w:rFonts w:eastAsia="Times New Roman" w:cs="Times New Roman"/>
          <w:lang w:eastAsia="en-GB"/>
        </w:rPr>
        <w:t>.</w:t>
      </w:r>
      <w:r w:rsidR="0062200E">
        <w:rPr>
          <w:rFonts w:eastAsia="Times New Roman" w:cs="Times New Roman"/>
          <w:i/>
          <w:iCs/>
          <w:lang w:eastAsia="en-GB"/>
        </w:rPr>
        <w:t xml:space="preserve"> </w:t>
      </w:r>
      <w:r w:rsidR="0062200E">
        <w:rPr>
          <w:rFonts w:eastAsia="Times New Roman" w:cs="Times New Roman"/>
          <w:lang w:eastAsia="en-GB"/>
        </w:rPr>
        <w:t>Duress</w:t>
      </w:r>
      <w:r w:rsidR="00F77DCD">
        <w:rPr>
          <w:rFonts w:eastAsia="Times New Roman" w:cs="Times New Roman"/>
          <w:lang w:eastAsia="en-GB"/>
        </w:rPr>
        <w:t xml:space="preserve"> may be divided into three subcategories, namely duress of the person, duress of goods, and economic duress</w:t>
      </w:r>
      <w:r w:rsidR="00077E4D">
        <w:rPr>
          <w:rFonts w:eastAsia="Times New Roman" w:cs="Times New Roman"/>
          <w:lang w:eastAsia="en-GB"/>
        </w:rPr>
        <w:t>. Duress</w:t>
      </w:r>
      <w:r w:rsidR="007C1384">
        <w:rPr>
          <w:rFonts w:eastAsia="Times New Roman" w:cs="Times New Roman"/>
          <w:lang w:eastAsia="en-GB"/>
        </w:rPr>
        <w:t xml:space="preserve"> to the person often refers to violence, either actual</w:t>
      </w:r>
      <w:r w:rsidR="00077E4D">
        <w:rPr>
          <w:rFonts w:eastAsia="Times New Roman" w:cs="Times New Roman"/>
          <w:lang w:eastAsia="en-GB"/>
        </w:rPr>
        <w:t xml:space="preserve"> </w:t>
      </w:r>
      <w:r w:rsidR="007C1384">
        <w:rPr>
          <w:rFonts w:eastAsia="Times New Roman" w:cs="Times New Roman"/>
          <w:lang w:eastAsia="en-GB"/>
        </w:rPr>
        <w:t xml:space="preserve">as demonstrated in </w:t>
      </w:r>
      <w:r w:rsidR="007C1384">
        <w:rPr>
          <w:rFonts w:eastAsia="Times New Roman" w:cs="Times New Roman"/>
          <w:i/>
          <w:iCs/>
          <w:lang w:eastAsia="en-GB"/>
        </w:rPr>
        <w:t xml:space="preserve">Antonio v Antonio </w:t>
      </w:r>
      <w:r w:rsidR="007C1384">
        <w:rPr>
          <w:rFonts w:eastAsia="Times New Roman" w:cs="Times New Roman"/>
          <w:lang w:eastAsia="en-GB"/>
        </w:rPr>
        <w:t xml:space="preserve">(2008), </w:t>
      </w:r>
      <w:r w:rsidR="00077E4D">
        <w:rPr>
          <w:rFonts w:eastAsia="Times New Roman" w:cs="Times New Roman"/>
          <w:lang w:eastAsia="en-GB"/>
        </w:rPr>
        <w:t>or the threat</w:t>
      </w:r>
      <w:r w:rsidR="007C1384">
        <w:rPr>
          <w:rFonts w:eastAsia="Times New Roman" w:cs="Times New Roman"/>
          <w:lang w:eastAsia="en-GB"/>
        </w:rPr>
        <w:t xml:space="preserve">ened, </w:t>
      </w:r>
      <w:r w:rsidR="00077E4D">
        <w:rPr>
          <w:rFonts w:eastAsia="Times New Roman" w:cs="Times New Roman"/>
          <w:lang w:eastAsia="en-GB"/>
        </w:rPr>
        <w:t xml:space="preserve">as in </w:t>
      </w:r>
      <w:r w:rsidR="00077E4D">
        <w:rPr>
          <w:rFonts w:eastAsia="Times New Roman" w:cs="Times New Roman"/>
          <w:i/>
          <w:iCs/>
          <w:lang w:eastAsia="en-GB"/>
        </w:rPr>
        <w:t xml:space="preserve">Barton v Armstrong </w:t>
      </w:r>
      <w:r w:rsidR="00077E4D" w:rsidRPr="00775935">
        <w:rPr>
          <w:rFonts w:eastAsia="Times New Roman" w:cs="Times New Roman"/>
          <w:lang w:eastAsia="en-GB"/>
        </w:rPr>
        <w:t>(1975)</w:t>
      </w:r>
      <w:r w:rsidR="00DC43BA">
        <w:rPr>
          <w:rFonts w:eastAsia="Times New Roman" w:cs="Times New Roman"/>
          <w:lang w:eastAsia="en-GB"/>
        </w:rPr>
        <w:t xml:space="preserve"> </w:t>
      </w:r>
      <w:r w:rsidR="007C1384">
        <w:rPr>
          <w:rFonts w:eastAsia="Times New Roman" w:cs="Times New Roman"/>
          <w:lang w:eastAsia="en-GB"/>
        </w:rPr>
        <w:t xml:space="preserve">against the person or party who has been provoked to enter into a binding contract by reason </w:t>
      </w:r>
      <w:r w:rsidR="008432B7">
        <w:rPr>
          <w:rFonts w:eastAsia="Times New Roman" w:cs="Times New Roman"/>
          <w:lang w:eastAsia="en-GB"/>
        </w:rPr>
        <w:t>thereof (</w:t>
      </w:r>
      <w:proofErr w:type="spellStart"/>
      <w:r w:rsidR="007C1384">
        <w:rPr>
          <w:rFonts w:eastAsia="Times New Roman" w:cs="Times New Roman"/>
          <w:lang w:eastAsia="en-GB"/>
        </w:rPr>
        <w:t>Lawble</w:t>
      </w:r>
      <w:proofErr w:type="spellEnd"/>
      <w:r w:rsidR="007C1384">
        <w:rPr>
          <w:rFonts w:eastAsia="Times New Roman" w:cs="Times New Roman"/>
          <w:lang w:eastAsia="en-GB"/>
        </w:rPr>
        <w:t>, 2019).</w:t>
      </w:r>
      <w:r w:rsidR="00DC43BA">
        <w:rPr>
          <w:rFonts w:eastAsia="Times New Roman" w:cs="Times New Roman"/>
          <w:lang w:eastAsia="en-GB"/>
        </w:rPr>
        <w:t xml:space="preserve"> </w:t>
      </w:r>
    </w:p>
    <w:p w14:paraId="2C486788" w14:textId="77777777" w:rsidR="00940B6A" w:rsidRDefault="00940B6A" w:rsidP="00DC43BA">
      <w:pPr>
        <w:spacing w:line="360" w:lineRule="auto"/>
        <w:rPr>
          <w:rFonts w:eastAsia="Times New Roman" w:cs="Times New Roman"/>
          <w:lang w:eastAsia="en-GB"/>
        </w:rPr>
      </w:pPr>
    </w:p>
    <w:p w14:paraId="758BB77B" w14:textId="2BAB0446" w:rsidR="004F5458" w:rsidRDefault="00DC43BA" w:rsidP="00DC43BA">
      <w:pPr>
        <w:spacing w:line="360" w:lineRule="auto"/>
        <w:rPr>
          <w:rFonts w:eastAsia="Times New Roman" w:cs="Times New Roman"/>
          <w:i/>
          <w:iCs/>
          <w:lang w:eastAsia="en-GB"/>
        </w:rPr>
      </w:pPr>
      <w:r>
        <w:rPr>
          <w:rFonts w:eastAsia="Times New Roman" w:cs="Times New Roman"/>
          <w:lang w:eastAsia="en-GB"/>
        </w:rPr>
        <w:t xml:space="preserve">Regarding duress of goods, the courts </w:t>
      </w:r>
      <w:r w:rsidR="00276591">
        <w:rPr>
          <w:rFonts w:eastAsia="Times New Roman" w:cs="Times New Roman"/>
          <w:lang w:eastAsia="en-GB"/>
        </w:rPr>
        <w:t xml:space="preserve">previously </w:t>
      </w:r>
      <w:r>
        <w:rPr>
          <w:rFonts w:eastAsia="Times New Roman" w:cs="Times New Roman"/>
          <w:lang w:eastAsia="en-GB"/>
        </w:rPr>
        <w:t xml:space="preserve">refused to accept that threats to damage or remove property would amount to duress, likely due to the fact that the pressure involved did not seem sufficient enough to be classed as </w:t>
      </w:r>
      <w:r w:rsidR="00463D26">
        <w:rPr>
          <w:rFonts w:eastAsia="Times New Roman" w:cs="Times New Roman"/>
          <w:lang w:eastAsia="en-GB"/>
        </w:rPr>
        <w:t xml:space="preserve">an </w:t>
      </w:r>
      <w:r>
        <w:rPr>
          <w:rFonts w:eastAsia="Times New Roman" w:cs="Times New Roman"/>
          <w:lang w:eastAsia="en-GB"/>
        </w:rPr>
        <w:t xml:space="preserve">obligation to enter </w:t>
      </w:r>
      <w:r w:rsidR="00463D26">
        <w:rPr>
          <w:rFonts w:eastAsia="Times New Roman" w:cs="Times New Roman"/>
          <w:lang w:eastAsia="en-GB"/>
        </w:rPr>
        <w:t>into</w:t>
      </w:r>
      <w:r>
        <w:rPr>
          <w:rFonts w:eastAsia="Times New Roman" w:cs="Times New Roman"/>
          <w:lang w:eastAsia="en-GB"/>
        </w:rPr>
        <w:t xml:space="preserve"> a contractual </w:t>
      </w:r>
      <w:r>
        <w:rPr>
          <w:rFonts w:eastAsia="Times New Roman" w:cs="Times New Roman"/>
          <w:lang w:eastAsia="en-GB"/>
        </w:rPr>
        <w:lastRenderedPageBreak/>
        <w:t xml:space="preserve">agreement as seen in </w:t>
      </w:r>
      <w:proofErr w:type="spellStart"/>
      <w:r>
        <w:rPr>
          <w:rFonts w:eastAsia="Times New Roman" w:cs="Times New Roman"/>
          <w:i/>
          <w:iCs/>
          <w:lang w:eastAsia="en-GB"/>
        </w:rPr>
        <w:t>Skeate</w:t>
      </w:r>
      <w:proofErr w:type="spellEnd"/>
      <w:r>
        <w:rPr>
          <w:rFonts w:eastAsia="Times New Roman" w:cs="Times New Roman"/>
          <w:i/>
          <w:iCs/>
          <w:lang w:eastAsia="en-GB"/>
        </w:rPr>
        <w:t xml:space="preserve"> v Beale </w:t>
      </w:r>
      <w:r w:rsidRPr="00775935">
        <w:rPr>
          <w:rFonts w:eastAsia="Times New Roman" w:cs="Times New Roman"/>
          <w:lang w:eastAsia="en-GB"/>
        </w:rPr>
        <w:t>(1840)</w:t>
      </w:r>
      <w:r>
        <w:rPr>
          <w:rFonts w:eastAsia="Times New Roman" w:cs="Times New Roman"/>
          <w:i/>
          <w:iCs/>
          <w:lang w:eastAsia="en-GB"/>
        </w:rPr>
        <w:t xml:space="preserve">. </w:t>
      </w:r>
      <w:r>
        <w:rPr>
          <w:rFonts w:eastAsia="Times New Roman" w:cs="Times New Roman"/>
          <w:lang w:eastAsia="en-GB"/>
        </w:rPr>
        <w:t>In this case,</w:t>
      </w:r>
      <w:r w:rsidR="00901D7B">
        <w:rPr>
          <w:rFonts w:eastAsia="Times New Roman" w:cs="Times New Roman"/>
          <w:lang w:eastAsia="en-GB"/>
        </w:rPr>
        <w:t xml:space="preserve"> the claimant stated that they only paid the money that was demanded of them as a result of the defendant threatening to seize goods if payment were not forthcoming. Regardless of this, it was the judgement of the court that this was insufficient to amount to duress (</w:t>
      </w:r>
      <w:proofErr w:type="spellStart"/>
      <w:r w:rsidR="00901D7B">
        <w:rPr>
          <w:rFonts w:eastAsia="Times New Roman" w:cs="Times New Roman"/>
          <w:lang w:eastAsia="en-GB"/>
        </w:rPr>
        <w:t>Fafinksi</w:t>
      </w:r>
      <w:proofErr w:type="spellEnd"/>
      <w:r w:rsidR="00901D7B">
        <w:rPr>
          <w:rFonts w:eastAsia="Times New Roman" w:cs="Times New Roman"/>
          <w:lang w:eastAsia="en-GB"/>
        </w:rPr>
        <w:t>, 2018).</w:t>
      </w:r>
      <w:r w:rsidR="009B5E60">
        <w:rPr>
          <w:rFonts w:eastAsia="Times New Roman" w:cs="Times New Roman"/>
          <w:lang w:eastAsia="en-GB"/>
        </w:rPr>
        <w:t xml:space="preserve"> This decision received extensive criticism and is out of line with restitution claims (</w:t>
      </w:r>
      <w:r w:rsidR="009B5E60">
        <w:rPr>
          <w:rFonts w:eastAsia="Times New Roman" w:cs="Times New Roman"/>
          <w:i/>
          <w:iCs/>
          <w:lang w:eastAsia="en-GB"/>
        </w:rPr>
        <w:t xml:space="preserve">Maskell v Horner </w:t>
      </w:r>
      <w:r w:rsidR="009B5E60" w:rsidRPr="00775935">
        <w:rPr>
          <w:rFonts w:eastAsia="Times New Roman" w:cs="Times New Roman"/>
          <w:lang w:eastAsia="en-GB"/>
        </w:rPr>
        <w:t>(1915)).</w:t>
      </w:r>
      <w:r w:rsidR="00EA42A3">
        <w:rPr>
          <w:rFonts w:eastAsia="Times New Roman" w:cs="Times New Roman"/>
          <w:lang w:eastAsia="en-GB"/>
        </w:rPr>
        <w:t xml:space="preserve"> It was a problematic case, in the eyes of many, as it was perceived as authority preventing the development of a doctrine of duress to goods.</w:t>
      </w:r>
      <w:r w:rsidR="004F5458" w:rsidRPr="00775935">
        <w:rPr>
          <w:rFonts w:eastAsia="Times New Roman" w:cs="Times New Roman"/>
          <w:lang w:eastAsia="en-GB"/>
        </w:rPr>
        <w:t xml:space="preserve"> </w:t>
      </w:r>
      <w:r w:rsidR="009B5E60">
        <w:rPr>
          <w:rFonts w:eastAsia="Times New Roman" w:cs="Times New Roman"/>
          <w:lang w:eastAsia="en-GB"/>
        </w:rPr>
        <w:t>I</w:t>
      </w:r>
      <w:r w:rsidR="004F5458">
        <w:rPr>
          <w:rFonts w:eastAsia="Times New Roman" w:cs="Times New Roman"/>
          <w:lang w:eastAsia="en-GB"/>
        </w:rPr>
        <w:t xml:space="preserve">t is now recognised by the courts that threats directed at property could possibly amount to duress, as per the principle stated by Kerr J in </w:t>
      </w:r>
      <w:r w:rsidR="004F5458">
        <w:rPr>
          <w:rFonts w:eastAsia="Times New Roman" w:cs="Times New Roman"/>
          <w:i/>
          <w:iCs/>
          <w:lang w:eastAsia="en-GB"/>
        </w:rPr>
        <w:t>Occidental Worldwi</w:t>
      </w:r>
      <w:r w:rsidR="00527CFB">
        <w:rPr>
          <w:rFonts w:eastAsia="Times New Roman" w:cs="Times New Roman"/>
          <w:i/>
          <w:iCs/>
          <w:lang w:eastAsia="en-GB"/>
        </w:rPr>
        <w:t>d</w:t>
      </w:r>
      <w:r w:rsidR="004F5458">
        <w:rPr>
          <w:rFonts w:eastAsia="Times New Roman" w:cs="Times New Roman"/>
          <w:i/>
          <w:iCs/>
          <w:lang w:eastAsia="en-GB"/>
        </w:rPr>
        <w:t xml:space="preserve">e Investment Co. v </w:t>
      </w:r>
      <w:proofErr w:type="spellStart"/>
      <w:r w:rsidR="004F5458">
        <w:rPr>
          <w:rFonts w:eastAsia="Times New Roman" w:cs="Times New Roman"/>
          <w:i/>
          <w:iCs/>
          <w:lang w:eastAsia="en-GB"/>
        </w:rPr>
        <w:t>Skibs</w:t>
      </w:r>
      <w:proofErr w:type="spellEnd"/>
      <w:r w:rsidR="004F5458">
        <w:rPr>
          <w:rFonts w:eastAsia="Times New Roman" w:cs="Times New Roman"/>
          <w:i/>
          <w:iCs/>
          <w:lang w:eastAsia="en-GB"/>
        </w:rPr>
        <w:t xml:space="preserve"> A/S Avanti (The </w:t>
      </w:r>
      <w:proofErr w:type="spellStart"/>
      <w:r w:rsidR="004F5458">
        <w:rPr>
          <w:rFonts w:eastAsia="Times New Roman" w:cs="Times New Roman"/>
          <w:i/>
          <w:iCs/>
          <w:lang w:eastAsia="en-GB"/>
        </w:rPr>
        <w:t>Siboen</w:t>
      </w:r>
      <w:proofErr w:type="spellEnd"/>
      <w:r w:rsidR="004F5458">
        <w:rPr>
          <w:rFonts w:eastAsia="Times New Roman" w:cs="Times New Roman"/>
          <w:i/>
          <w:iCs/>
          <w:lang w:eastAsia="en-GB"/>
        </w:rPr>
        <w:t xml:space="preserve"> and The </w:t>
      </w:r>
      <w:proofErr w:type="spellStart"/>
      <w:r w:rsidR="004F5458">
        <w:rPr>
          <w:rFonts w:eastAsia="Times New Roman" w:cs="Times New Roman"/>
          <w:i/>
          <w:iCs/>
          <w:lang w:eastAsia="en-GB"/>
        </w:rPr>
        <w:t>Sibotre</w:t>
      </w:r>
      <w:proofErr w:type="spellEnd"/>
      <w:r w:rsidR="004F5458">
        <w:rPr>
          <w:rFonts w:eastAsia="Times New Roman" w:cs="Times New Roman"/>
          <w:i/>
          <w:iCs/>
          <w:lang w:eastAsia="en-GB"/>
        </w:rPr>
        <w:t xml:space="preserve">) </w:t>
      </w:r>
      <w:r w:rsidR="004F5458" w:rsidRPr="00766F23">
        <w:rPr>
          <w:rFonts w:eastAsia="Times New Roman" w:cs="Times New Roman"/>
          <w:lang w:eastAsia="en-GB"/>
        </w:rPr>
        <w:t>(1976),</w:t>
      </w:r>
    </w:p>
    <w:p w14:paraId="431DF208" w14:textId="6BD30E8E" w:rsidR="004F5458" w:rsidRDefault="004F5458" w:rsidP="00DC43BA">
      <w:pPr>
        <w:spacing w:line="360" w:lineRule="auto"/>
        <w:rPr>
          <w:rFonts w:eastAsia="Times New Roman" w:cs="Times New Roman"/>
          <w:i/>
          <w:iCs/>
          <w:lang w:eastAsia="en-GB"/>
        </w:rPr>
      </w:pPr>
      <w:r>
        <w:rPr>
          <w:rFonts w:eastAsia="Times New Roman" w:cs="Times New Roman"/>
          <w:i/>
          <w:iCs/>
          <w:lang w:eastAsia="en-GB"/>
        </w:rPr>
        <w:t>“If I should be compelled to sign a … contract for a nominal but legally sufficient consideration under an imminent threat of having my house burnt down or a valuable picture slashed through without any threat of physical violence to anyone, I do not think that the law should uphold the agreement … the true question is ultimately whether or not the agreement in question is to be regarded as having been concluded voluntarily”</w:t>
      </w:r>
    </w:p>
    <w:p w14:paraId="1AE24404" w14:textId="75580C9D" w:rsidR="004B31D0" w:rsidRDefault="004B31D0" w:rsidP="00DC43BA">
      <w:pPr>
        <w:spacing w:line="360" w:lineRule="auto"/>
        <w:rPr>
          <w:rFonts w:eastAsia="Times New Roman" w:cs="Times New Roman"/>
          <w:i/>
          <w:iCs/>
          <w:lang w:eastAsia="en-GB"/>
        </w:rPr>
      </w:pPr>
    </w:p>
    <w:p w14:paraId="4DE8E7F5" w14:textId="10693672" w:rsidR="004B31D0" w:rsidRDefault="004B31D0" w:rsidP="00DC43BA">
      <w:pPr>
        <w:spacing w:line="360" w:lineRule="auto"/>
        <w:rPr>
          <w:rFonts w:eastAsia="Times New Roman" w:cs="Times New Roman"/>
          <w:lang w:eastAsia="en-GB"/>
        </w:rPr>
      </w:pPr>
      <w:r>
        <w:rPr>
          <w:rFonts w:eastAsia="Times New Roman" w:cs="Times New Roman"/>
          <w:lang w:eastAsia="en-GB"/>
        </w:rPr>
        <w:t xml:space="preserve">Historically, duress was a common law concept and a contract that was voidable for duress could only succeed if physical duress had induced the contract (Oxford Reference, 2021), the development of duress to include threats to property as highlighted </w:t>
      </w:r>
      <w:r>
        <w:rPr>
          <w:rFonts w:eastAsia="Times New Roman" w:cs="Times New Roman"/>
          <w:i/>
          <w:iCs/>
          <w:lang w:eastAsia="en-GB"/>
        </w:rPr>
        <w:t xml:space="preserve">The </w:t>
      </w:r>
      <w:proofErr w:type="spellStart"/>
      <w:r>
        <w:rPr>
          <w:rFonts w:eastAsia="Times New Roman" w:cs="Times New Roman"/>
          <w:i/>
          <w:iCs/>
          <w:lang w:eastAsia="en-GB"/>
        </w:rPr>
        <w:t>Siboen</w:t>
      </w:r>
      <w:proofErr w:type="spellEnd"/>
      <w:r>
        <w:rPr>
          <w:rFonts w:eastAsia="Times New Roman" w:cs="Times New Roman"/>
          <w:i/>
          <w:iCs/>
          <w:lang w:eastAsia="en-GB"/>
        </w:rPr>
        <w:t xml:space="preserve"> and The </w:t>
      </w:r>
      <w:proofErr w:type="spellStart"/>
      <w:r>
        <w:rPr>
          <w:rFonts w:eastAsia="Times New Roman" w:cs="Times New Roman"/>
          <w:i/>
          <w:iCs/>
          <w:lang w:eastAsia="en-GB"/>
        </w:rPr>
        <w:t>Sibotre</w:t>
      </w:r>
      <w:proofErr w:type="spellEnd"/>
      <w:r>
        <w:rPr>
          <w:rFonts w:eastAsia="Times New Roman" w:cs="Times New Roman"/>
          <w:i/>
          <w:iCs/>
          <w:lang w:eastAsia="en-GB"/>
        </w:rPr>
        <w:t xml:space="preserve"> </w:t>
      </w:r>
      <w:r>
        <w:rPr>
          <w:rFonts w:eastAsia="Times New Roman" w:cs="Times New Roman"/>
          <w:lang w:eastAsia="en-GB"/>
        </w:rPr>
        <w:t>paved the way for the advancement of the idea of economic duress. The doctrine of economic duress has come to light in more recent and was initially canvassed by Kerr J in the previously aforementioned case, although the contract was not held to be voidable on grounds of duress, it was stated that where coercion of the will as to vitiate consent exists, it should be feasible to set the contract aside, however, commercial pressure was not enough (E-</w:t>
      </w:r>
      <w:proofErr w:type="spellStart"/>
      <w:r>
        <w:rPr>
          <w:rFonts w:eastAsia="Times New Roman" w:cs="Times New Roman"/>
          <w:lang w:eastAsia="en-GB"/>
        </w:rPr>
        <w:t>lawresources</w:t>
      </w:r>
      <w:proofErr w:type="spellEnd"/>
      <w:r>
        <w:rPr>
          <w:rFonts w:eastAsia="Times New Roman" w:cs="Times New Roman"/>
          <w:lang w:eastAsia="en-GB"/>
        </w:rPr>
        <w:t>, 2021). Commercial pressure arises in situations within which one part of a commercial transaction is in a stronger position for bargaining than the other. There is no clear test to distinguish between illegitimate pressure and pressure amounting from regular commercial bargaining (</w:t>
      </w:r>
      <w:proofErr w:type="spellStart"/>
      <w:r>
        <w:rPr>
          <w:rFonts w:eastAsia="Times New Roman" w:cs="Times New Roman"/>
          <w:lang w:eastAsia="en-GB"/>
        </w:rPr>
        <w:t>Gowling</w:t>
      </w:r>
      <w:proofErr w:type="spellEnd"/>
      <w:r>
        <w:rPr>
          <w:rFonts w:eastAsia="Times New Roman" w:cs="Times New Roman"/>
          <w:lang w:eastAsia="en-GB"/>
        </w:rPr>
        <w:t xml:space="preserve"> WLG, 2018). However, in the case of </w:t>
      </w:r>
      <w:r>
        <w:rPr>
          <w:rFonts w:eastAsia="Times New Roman" w:cs="Times New Roman"/>
          <w:i/>
          <w:iCs/>
          <w:lang w:eastAsia="en-GB"/>
        </w:rPr>
        <w:t xml:space="preserve">Pao on v Lau </w:t>
      </w:r>
      <w:proofErr w:type="spellStart"/>
      <w:r>
        <w:rPr>
          <w:rFonts w:eastAsia="Times New Roman" w:cs="Times New Roman"/>
          <w:i/>
          <w:iCs/>
          <w:lang w:eastAsia="en-GB"/>
        </w:rPr>
        <w:t>yiu</w:t>
      </w:r>
      <w:proofErr w:type="spellEnd"/>
      <w:r>
        <w:rPr>
          <w:rFonts w:eastAsia="Times New Roman" w:cs="Times New Roman"/>
          <w:i/>
          <w:iCs/>
          <w:lang w:eastAsia="en-GB"/>
        </w:rPr>
        <w:t xml:space="preserve"> Long </w:t>
      </w:r>
      <w:r>
        <w:rPr>
          <w:rFonts w:eastAsia="Times New Roman" w:cs="Times New Roman"/>
          <w:lang w:eastAsia="en-GB"/>
        </w:rPr>
        <w:t>(1979), a test for economic duress was outlined by Lord Scarman, stating that claims depend on,</w:t>
      </w:r>
    </w:p>
    <w:p w14:paraId="5FD8C24C" w14:textId="32A9A06B" w:rsidR="004B31D0" w:rsidRDefault="004B31D0" w:rsidP="00DC43BA">
      <w:pPr>
        <w:spacing w:line="360" w:lineRule="auto"/>
        <w:rPr>
          <w:rFonts w:eastAsia="Times New Roman" w:cs="Times New Roman"/>
          <w:i/>
          <w:iCs/>
          <w:lang w:eastAsia="en-GB"/>
        </w:rPr>
      </w:pPr>
      <w:r>
        <w:rPr>
          <w:rFonts w:eastAsia="Times New Roman" w:cs="Times New Roman"/>
          <w:i/>
          <w:iCs/>
          <w:lang w:eastAsia="en-GB"/>
        </w:rPr>
        <w:t>“whether the person alleged to have been coerced did or did not protest … did or did not have an alternative course open to him … was independently advised … took steps to avoid it.”</w:t>
      </w:r>
    </w:p>
    <w:p w14:paraId="73E14B76" w14:textId="133092D3" w:rsidR="003D5235" w:rsidRDefault="004B31D0" w:rsidP="0021210D">
      <w:pPr>
        <w:spacing w:line="360" w:lineRule="auto"/>
        <w:rPr>
          <w:rFonts w:eastAsia="Times New Roman" w:cs="Times New Roman"/>
          <w:lang w:eastAsia="en-GB"/>
        </w:rPr>
      </w:pPr>
      <w:r>
        <w:rPr>
          <w:rFonts w:eastAsia="Times New Roman" w:cs="Times New Roman"/>
          <w:lang w:eastAsia="en-GB"/>
        </w:rPr>
        <w:lastRenderedPageBreak/>
        <w:t xml:space="preserve">The </w:t>
      </w:r>
      <w:r w:rsidR="00EA42A3">
        <w:rPr>
          <w:rFonts w:eastAsia="Times New Roman" w:cs="Times New Roman"/>
          <w:lang w:eastAsia="en-GB"/>
        </w:rPr>
        <w:t xml:space="preserve">test for </w:t>
      </w:r>
      <w:r>
        <w:rPr>
          <w:rFonts w:eastAsia="Times New Roman" w:cs="Times New Roman"/>
          <w:lang w:eastAsia="en-GB"/>
        </w:rPr>
        <w:t>availability of practical alternative was</w:t>
      </w:r>
      <w:r w:rsidR="00EA42A3">
        <w:rPr>
          <w:rFonts w:eastAsia="Times New Roman" w:cs="Times New Roman"/>
          <w:lang w:eastAsia="en-GB"/>
        </w:rPr>
        <w:t xml:space="preserve"> further</w:t>
      </w:r>
      <w:r>
        <w:rPr>
          <w:rFonts w:eastAsia="Times New Roman" w:cs="Times New Roman"/>
          <w:lang w:eastAsia="en-GB"/>
        </w:rPr>
        <w:t xml:space="preserve"> highlighted in the case of </w:t>
      </w:r>
      <w:r>
        <w:rPr>
          <w:rFonts w:eastAsia="Times New Roman" w:cs="Times New Roman"/>
          <w:i/>
          <w:iCs/>
          <w:lang w:eastAsia="en-GB"/>
        </w:rPr>
        <w:t xml:space="preserve">Universal Tankships v International Transport Workers Federation (The Universal Sentinel) </w:t>
      </w:r>
      <w:r w:rsidRPr="00766F23">
        <w:rPr>
          <w:rFonts w:eastAsia="Times New Roman" w:cs="Times New Roman"/>
          <w:lang w:eastAsia="en-GB"/>
        </w:rPr>
        <w:t>(1983)</w:t>
      </w:r>
      <w:r>
        <w:rPr>
          <w:rFonts w:eastAsia="Times New Roman" w:cs="Times New Roman"/>
          <w:lang w:eastAsia="en-GB"/>
        </w:rPr>
        <w:t xml:space="preserve"> whereby two elements of duress were identified, a compulsion of will and illegitimacy of pressure. </w:t>
      </w:r>
      <w:r w:rsidR="007D5EE3">
        <w:rPr>
          <w:rFonts w:eastAsia="Times New Roman" w:cs="Times New Roman"/>
          <w:lang w:eastAsia="en-GB"/>
        </w:rPr>
        <w:t xml:space="preserve">Although in many cases it is clear to distinguish from the facts whether a practical alternative was present for the innocent party, the illegitimate pressure is more </w:t>
      </w:r>
      <w:r w:rsidR="00DB178C">
        <w:rPr>
          <w:rFonts w:eastAsia="Times New Roman" w:cs="Times New Roman"/>
          <w:lang w:eastAsia="en-GB"/>
        </w:rPr>
        <w:t>difficult</w:t>
      </w:r>
      <w:r w:rsidR="007D5EE3">
        <w:rPr>
          <w:rFonts w:eastAsia="Times New Roman" w:cs="Times New Roman"/>
          <w:lang w:eastAsia="en-GB"/>
        </w:rPr>
        <w:t xml:space="preserve"> to establish, thus having an effect on how easy it may be to plea for economic duress in a court of law.  </w:t>
      </w:r>
      <w:r>
        <w:rPr>
          <w:rFonts w:eastAsia="Times New Roman" w:cs="Times New Roman"/>
          <w:lang w:eastAsia="en-GB"/>
        </w:rPr>
        <w:t xml:space="preserve">In the case of </w:t>
      </w:r>
      <w:r>
        <w:rPr>
          <w:rFonts w:eastAsia="Times New Roman" w:cs="Times New Roman"/>
          <w:i/>
          <w:iCs/>
          <w:lang w:eastAsia="en-GB"/>
        </w:rPr>
        <w:t xml:space="preserve">Atlas Express Ltd v </w:t>
      </w:r>
      <w:proofErr w:type="spellStart"/>
      <w:r>
        <w:rPr>
          <w:rFonts w:eastAsia="Times New Roman" w:cs="Times New Roman"/>
          <w:i/>
          <w:iCs/>
          <w:lang w:eastAsia="en-GB"/>
        </w:rPr>
        <w:t>Kafco</w:t>
      </w:r>
      <w:proofErr w:type="spellEnd"/>
      <w:r>
        <w:rPr>
          <w:rFonts w:eastAsia="Times New Roman" w:cs="Times New Roman"/>
          <w:i/>
          <w:iCs/>
          <w:lang w:eastAsia="en-GB"/>
        </w:rPr>
        <w:t xml:space="preserve"> (Importers &amp; Distributors) Ltd </w:t>
      </w:r>
      <w:r w:rsidRPr="00766F23">
        <w:rPr>
          <w:rFonts w:eastAsia="Times New Roman" w:cs="Times New Roman"/>
          <w:lang w:eastAsia="en-GB"/>
        </w:rPr>
        <w:t>(1989),</w:t>
      </w:r>
      <w:r>
        <w:rPr>
          <w:rFonts w:eastAsia="Times New Roman" w:cs="Times New Roman"/>
          <w:lang w:eastAsia="en-GB"/>
        </w:rPr>
        <w:t xml:space="preserve"> judgement was awarded in favour of </w:t>
      </w:r>
      <w:proofErr w:type="spellStart"/>
      <w:r>
        <w:rPr>
          <w:rFonts w:eastAsia="Times New Roman" w:cs="Times New Roman"/>
          <w:lang w:eastAsia="en-GB"/>
        </w:rPr>
        <w:t>Kafco</w:t>
      </w:r>
      <w:proofErr w:type="spellEnd"/>
      <w:r>
        <w:rPr>
          <w:rFonts w:eastAsia="Times New Roman" w:cs="Times New Roman"/>
          <w:lang w:eastAsia="en-GB"/>
        </w:rPr>
        <w:t xml:space="preserve"> as they were found to have signed an agreement under economic duress due to the fact that</w:t>
      </w:r>
      <w:r w:rsidR="00EA42A3">
        <w:rPr>
          <w:rFonts w:eastAsia="Times New Roman" w:cs="Times New Roman"/>
          <w:lang w:eastAsia="en-GB"/>
        </w:rPr>
        <w:t xml:space="preserve"> they felt that in the </w:t>
      </w:r>
      <w:r w:rsidR="00DB178C">
        <w:rPr>
          <w:rFonts w:eastAsia="Times New Roman" w:cs="Times New Roman"/>
          <w:lang w:eastAsia="en-GB"/>
        </w:rPr>
        <w:t>circumstances</w:t>
      </w:r>
      <w:r w:rsidR="00EA42A3">
        <w:rPr>
          <w:rFonts w:eastAsia="Times New Roman" w:cs="Times New Roman"/>
          <w:lang w:eastAsia="en-GB"/>
        </w:rPr>
        <w:t xml:space="preserve"> they were in, they had no alternative but to sign the contract. They had previously rejected the variation and had failed to approve the new terms of the agreement in question, meaning there was no consideration for this contract as the variation would result in </w:t>
      </w:r>
      <w:proofErr w:type="spellStart"/>
      <w:r w:rsidR="00EA42A3">
        <w:rPr>
          <w:rFonts w:eastAsia="Times New Roman" w:cs="Times New Roman"/>
          <w:lang w:eastAsia="en-GB"/>
        </w:rPr>
        <w:t>Kafco</w:t>
      </w:r>
      <w:proofErr w:type="spellEnd"/>
      <w:r w:rsidR="00EA42A3">
        <w:rPr>
          <w:rFonts w:eastAsia="Times New Roman" w:cs="Times New Roman"/>
          <w:lang w:eastAsia="en-GB"/>
        </w:rPr>
        <w:t xml:space="preserve"> being placed in a less favourable position financially. As a result, their non-payment resulted from duress (Lawteacher.net, 2019).</w:t>
      </w:r>
    </w:p>
    <w:p w14:paraId="78D08FA1" w14:textId="77777777" w:rsidR="004B31D0" w:rsidRDefault="004B31D0" w:rsidP="0021210D">
      <w:pPr>
        <w:spacing w:line="360" w:lineRule="auto"/>
        <w:rPr>
          <w:rFonts w:eastAsia="Times New Roman" w:cs="Times New Roman"/>
          <w:lang w:eastAsia="en-GB"/>
        </w:rPr>
      </w:pPr>
    </w:p>
    <w:p w14:paraId="461C1530" w14:textId="50F76628" w:rsidR="003D5235" w:rsidRDefault="00527CFB" w:rsidP="0021210D">
      <w:pPr>
        <w:spacing w:line="360" w:lineRule="auto"/>
        <w:rPr>
          <w:rFonts w:eastAsia="Times New Roman" w:cs="Times New Roman"/>
          <w:lang w:eastAsia="en-GB"/>
        </w:rPr>
      </w:pPr>
      <w:r>
        <w:rPr>
          <w:rFonts w:eastAsia="Times New Roman" w:cs="Times New Roman"/>
          <w:lang w:eastAsia="en-GB"/>
        </w:rPr>
        <w:t>The outcome of a successful duress claim</w:t>
      </w:r>
      <w:r w:rsidR="003D5235">
        <w:rPr>
          <w:rFonts w:eastAsia="Times New Roman" w:cs="Times New Roman"/>
          <w:lang w:eastAsia="en-GB"/>
        </w:rPr>
        <w:t xml:space="preserve"> is the contract in question becoming voidable</w:t>
      </w:r>
      <w:r>
        <w:rPr>
          <w:rFonts w:eastAsia="Times New Roman" w:cs="Times New Roman"/>
          <w:lang w:eastAsia="en-GB"/>
        </w:rPr>
        <w:t xml:space="preserve"> rather than void. A voidable contract refers to </w:t>
      </w:r>
      <w:r w:rsidR="00891DC0">
        <w:rPr>
          <w:rFonts w:eastAsia="Times New Roman" w:cs="Times New Roman"/>
          <w:lang w:eastAsia="en-GB"/>
        </w:rPr>
        <w:t>a contract that, although valid when made, is liable to be successively set aside (Law and Martin, 2009)</w:t>
      </w:r>
    </w:p>
    <w:p w14:paraId="038A5C3A" w14:textId="77777777" w:rsidR="003D5235" w:rsidRDefault="003D5235" w:rsidP="0021210D">
      <w:pPr>
        <w:spacing w:line="360" w:lineRule="auto"/>
        <w:rPr>
          <w:rFonts w:eastAsia="Times New Roman" w:cs="Times New Roman"/>
          <w:lang w:eastAsia="en-GB"/>
        </w:rPr>
      </w:pPr>
    </w:p>
    <w:p w14:paraId="424EF393" w14:textId="59F4E394" w:rsidR="0021210D" w:rsidRDefault="00AC2EEC" w:rsidP="0021210D">
      <w:pPr>
        <w:spacing w:line="360" w:lineRule="auto"/>
        <w:rPr>
          <w:rFonts w:eastAsia="Times New Roman" w:cs="Times New Roman"/>
          <w:lang w:eastAsia="en-GB"/>
        </w:rPr>
      </w:pPr>
      <w:r>
        <w:rPr>
          <w:rFonts w:eastAsia="Times New Roman" w:cs="Times New Roman"/>
          <w:lang w:eastAsia="en-GB"/>
        </w:rPr>
        <w:t xml:space="preserve">The general modern idea of duress has been highlighted in the case of </w:t>
      </w:r>
      <w:r w:rsidRPr="00AC2EEC">
        <w:rPr>
          <w:rFonts w:eastAsia="Times New Roman" w:cs="Times New Roman"/>
          <w:i/>
          <w:iCs/>
          <w:lang w:eastAsia="en-GB"/>
        </w:rPr>
        <w:t xml:space="preserve">“R” v Attorney General for England and Wales </w:t>
      </w:r>
      <w:r>
        <w:rPr>
          <w:rFonts w:eastAsia="Times New Roman" w:cs="Times New Roman"/>
          <w:lang w:eastAsia="en-GB"/>
        </w:rPr>
        <w:t xml:space="preserve">(2003). </w:t>
      </w:r>
      <w:r w:rsidR="0021210D">
        <w:rPr>
          <w:rFonts w:eastAsia="Times New Roman" w:cs="Times New Roman"/>
          <w:lang w:eastAsia="en-GB"/>
        </w:rPr>
        <w:t>However, the framework for economic duress is still not clearly outlined in</w:t>
      </w:r>
      <w:r w:rsidR="006A0263">
        <w:rPr>
          <w:rFonts w:eastAsia="Times New Roman" w:cs="Times New Roman"/>
          <w:lang w:eastAsia="en-GB"/>
        </w:rPr>
        <w:t xml:space="preserve"> </w:t>
      </w:r>
      <w:r w:rsidR="00463D26">
        <w:rPr>
          <w:rFonts w:eastAsia="Times New Roman" w:cs="Times New Roman"/>
          <w:lang w:eastAsia="en-GB"/>
        </w:rPr>
        <w:t>modern-day</w:t>
      </w:r>
      <w:r w:rsidR="0021210D">
        <w:rPr>
          <w:rFonts w:eastAsia="Times New Roman" w:cs="Times New Roman"/>
          <w:lang w:eastAsia="en-GB"/>
        </w:rPr>
        <w:t xml:space="preserve"> common law</w:t>
      </w:r>
      <w:r w:rsidR="00187E7F">
        <w:rPr>
          <w:rFonts w:eastAsia="Times New Roman" w:cs="Times New Roman"/>
          <w:lang w:eastAsia="en-GB"/>
        </w:rPr>
        <w:t xml:space="preserve"> as the difference between lawful and illegitimate pressure can be difficult to establish. In the case of </w:t>
      </w:r>
      <w:r w:rsidR="00187E7F">
        <w:rPr>
          <w:rFonts w:eastAsia="Times New Roman" w:cs="Times New Roman"/>
          <w:i/>
          <w:iCs/>
          <w:lang w:eastAsia="en-GB"/>
        </w:rPr>
        <w:t>Times Travel (UK) Ltd v Pakistan International Airlines Corporation (2019)</w:t>
      </w:r>
      <w:r w:rsidR="00D325F4">
        <w:rPr>
          <w:rFonts w:eastAsia="Times New Roman" w:cs="Times New Roman"/>
          <w:i/>
          <w:iCs/>
          <w:lang w:eastAsia="en-GB"/>
        </w:rPr>
        <w:t xml:space="preserve">, </w:t>
      </w:r>
      <w:r w:rsidR="00D325F4">
        <w:rPr>
          <w:rFonts w:eastAsia="Times New Roman" w:cs="Times New Roman"/>
          <w:lang w:eastAsia="en-GB"/>
        </w:rPr>
        <w:t xml:space="preserve">the initial decision of the High Court was that </w:t>
      </w:r>
      <w:r w:rsidR="006A0263">
        <w:rPr>
          <w:rFonts w:eastAsia="Times New Roman" w:cs="Times New Roman"/>
          <w:lang w:eastAsia="en-GB"/>
        </w:rPr>
        <w:t xml:space="preserve">although the actions of Pakistan International Airlines Corporation were lawful, they constituted illegitimate pressure. However, the Court of Appeal disagreed and overturned this decision, stressing that the position in which Pakistan International Airlines </w:t>
      </w:r>
      <w:r w:rsidR="006E17DD">
        <w:rPr>
          <w:rFonts w:eastAsia="Times New Roman" w:cs="Times New Roman"/>
          <w:lang w:eastAsia="en-GB"/>
        </w:rPr>
        <w:t>Corporation</w:t>
      </w:r>
      <w:r w:rsidR="006A0263">
        <w:rPr>
          <w:rFonts w:eastAsia="Times New Roman" w:cs="Times New Roman"/>
          <w:lang w:eastAsia="en-GB"/>
        </w:rPr>
        <w:t xml:space="preserve"> had adopted during negotiations was lawful (The National Law Review, 2019). The claim of economic duress was also rejected in the case of </w:t>
      </w:r>
      <w:r w:rsidR="006A0263">
        <w:rPr>
          <w:rFonts w:eastAsia="Times New Roman" w:cs="Times New Roman"/>
          <w:i/>
          <w:iCs/>
          <w:lang w:eastAsia="en-GB"/>
        </w:rPr>
        <w:t xml:space="preserve">CTN Cash and Carry Limited v Gallagher Limited </w:t>
      </w:r>
      <w:r w:rsidR="006A0263" w:rsidRPr="00766F23">
        <w:rPr>
          <w:rFonts w:eastAsia="Times New Roman" w:cs="Times New Roman"/>
          <w:lang w:eastAsia="en-GB"/>
        </w:rPr>
        <w:t>(1993)</w:t>
      </w:r>
      <w:r w:rsidR="006E17DD" w:rsidRPr="00766F23">
        <w:rPr>
          <w:rFonts w:eastAsia="Times New Roman" w:cs="Times New Roman"/>
          <w:lang w:eastAsia="en-GB"/>
        </w:rPr>
        <w:t>,</w:t>
      </w:r>
      <w:r w:rsidR="006E17DD">
        <w:rPr>
          <w:rFonts w:eastAsia="Times New Roman" w:cs="Times New Roman"/>
          <w:i/>
          <w:iCs/>
          <w:lang w:eastAsia="en-GB"/>
        </w:rPr>
        <w:t xml:space="preserve"> </w:t>
      </w:r>
      <w:r w:rsidR="006E17DD">
        <w:rPr>
          <w:rFonts w:eastAsia="Times New Roman" w:cs="Times New Roman"/>
          <w:lang w:eastAsia="en-GB"/>
        </w:rPr>
        <w:t xml:space="preserve">in which the court stressed that there </w:t>
      </w:r>
      <w:r w:rsidR="0079230D">
        <w:rPr>
          <w:rFonts w:eastAsia="Times New Roman" w:cs="Times New Roman"/>
          <w:lang w:eastAsia="en-GB"/>
        </w:rPr>
        <w:t>were</w:t>
      </w:r>
      <w:r w:rsidR="006E17DD">
        <w:rPr>
          <w:rFonts w:eastAsia="Times New Roman" w:cs="Times New Roman"/>
          <w:lang w:eastAsia="en-GB"/>
        </w:rPr>
        <w:t xml:space="preserve"> no protected or consumer relationships between the two parties, the defendant was entitled lawfully to refuse to enter into further contracts of supply with the claimant and also to withdraw credit facilities, and the defendant bona fide believed that the claimant owed it the sum in question. It also observed that in a context that </w:t>
      </w:r>
      <w:r w:rsidR="0079230D">
        <w:rPr>
          <w:rFonts w:eastAsia="Times New Roman" w:cs="Times New Roman"/>
          <w:lang w:eastAsia="en-GB"/>
        </w:rPr>
        <w:t>is</w:t>
      </w:r>
      <w:r w:rsidR="006E17DD">
        <w:rPr>
          <w:rFonts w:eastAsia="Times New Roman" w:cs="Times New Roman"/>
          <w:lang w:eastAsia="en-GB"/>
        </w:rPr>
        <w:t xml:space="preserve"> purely commercial, lawful act duress may be difficult to </w:t>
      </w:r>
      <w:r w:rsidR="006E17DD">
        <w:rPr>
          <w:rFonts w:eastAsia="Times New Roman" w:cs="Times New Roman"/>
          <w:lang w:eastAsia="en-GB"/>
        </w:rPr>
        <w:lastRenderedPageBreak/>
        <w:t>recognise and that it may be particularly difficult to demonstrate duress if the defendant acts in good faith (RPC, 2019).</w:t>
      </w:r>
    </w:p>
    <w:p w14:paraId="1B0C0EFC" w14:textId="31E1EF58" w:rsidR="0062200E" w:rsidRDefault="0062200E" w:rsidP="0021210D">
      <w:pPr>
        <w:spacing w:line="360" w:lineRule="auto"/>
        <w:rPr>
          <w:rFonts w:eastAsia="Times New Roman" w:cs="Times New Roman"/>
          <w:lang w:eastAsia="en-GB"/>
        </w:rPr>
      </w:pPr>
    </w:p>
    <w:p w14:paraId="37835E7B" w14:textId="344A7D6C" w:rsidR="00F94C38" w:rsidRDefault="0062200E" w:rsidP="00F94C38">
      <w:pPr>
        <w:spacing w:line="360" w:lineRule="auto"/>
        <w:rPr>
          <w:rFonts w:eastAsia="Times New Roman" w:cs="Times New Roman"/>
          <w:lang w:eastAsia="en-GB"/>
        </w:rPr>
      </w:pPr>
      <w:r>
        <w:rPr>
          <w:rFonts w:eastAsia="Times New Roman" w:cs="Times New Roman"/>
          <w:lang w:eastAsia="en-GB"/>
        </w:rPr>
        <w:t>Upon evaluation, it is apparent that the doctrine</w:t>
      </w:r>
      <w:r w:rsidR="007C1384">
        <w:rPr>
          <w:rFonts w:eastAsia="Times New Roman" w:cs="Times New Roman"/>
          <w:lang w:eastAsia="en-GB"/>
        </w:rPr>
        <w:t xml:space="preserve"> of duress</w:t>
      </w:r>
      <w:r>
        <w:rPr>
          <w:rFonts w:eastAsia="Times New Roman" w:cs="Times New Roman"/>
          <w:lang w:eastAsia="en-GB"/>
        </w:rPr>
        <w:t xml:space="preserve"> is subject to indecision and uncertainty</w:t>
      </w:r>
      <w:r w:rsidR="007C1384">
        <w:rPr>
          <w:rFonts w:eastAsia="Times New Roman" w:cs="Times New Roman"/>
          <w:lang w:eastAsia="en-GB"/>
        </w:rPr>
        <w:t>. It is by no means clear and in many areas is likely to endure further development in the future, as it has in previous recent years. Litigants should be cautious when relying on duress - whether it be as a defence where the alternative party is looking to enforce a contract, or to set aside a contract – and will have more security and be better served by looking to other tortious, contractual, or equitable remedies (</w:t>
      </w:r>
      <w:proofErr w:type="spellStart"/>
      <w:r w:rsidR="007C1384">
        <w:rPr>
          <w:rFonts w:eastAsia="Times New Roman" w:cs="Times New Roman"/>
          <w:lang w:eastAsia="en-GB"/>
        </w:rPr>
        <w:t>Lawble</w:t>
      </w:r>
      <w:proofErr w:type="spellEnd"/>
      <w:r w:rsidR="007C1384">
        <w:rPr>
          <w:rFonts w:eastAsia="Times New Roman" w:cs="Times New Roman"/>
          <w:lang w:eastAsia="en-GB"/>
        </w:rPr>
        <w:t>, 2019)</w:t>
      </w:r>
      <w:r w:rsidR="00EA42A3">
        <w:rPr>
          <w:rFonts w:eastAsia="Times New Roman" w:cs="Times New Roman"/>
          <w:lang w:eastAsia="en-GB"/>
        </w:rPr>
        <w:t xml:space="preserve">. As a result </w:t>
      </w:r>
      <w:r w:rsidR="00AC2EEC">
        <w:rPr>
          <w:rFonts w:eastAsia="Times New Roman" w:cs="Times New Roman"/>
          <w:lang w:eastAsia="en-GB"/>
        </w:rPr>
        <w:t xml:space="preserve">of the development of the doctrine of duress, a court may be more likely to uphold </w:t>
      </w:r>
      <w:r w:rsidR="007D5EE3">
        <w:rPr>
          <w:rFonts w:eastAsia="Times New Roman" w:cs="Times New Roman"/>
          <w:lang w:eastAsia="en-GB"/>
        </w:rPr>
        <w:t xml:space="preserve">claims relating to duress </w:t>
      </w:r>
      <w:r w:rsidR="00AC2EEC">
        <w:rPr>
          <w:rFonts w:eastAsia="Times New Roman" w:cs="Times New Roman"/>
          <w:lang w:eastAsia="en-GB"/>
        </w:rPr>
        <w:t xml:space="preserve">as the doctrine has been </w:t>
      </w:r>
      <w:r w:rsidR="007D5EE3">
        <w:rPr>
          <w:rFonts w:eastAsia="Times New Roman" w:cs="Times New Roman"/>
          <w:lang w:eastAsia="en-GB"/>
        </w:rPr>
        <w:t>expanded and now includes threat to illegitimate pressure regarding property and finances rather than just physical threat and/ or harm as the common law doctrine was previously confined to. However, there are a number of tests that a court of law will refer to as previously mentioned, some of which being more difficult to establish than others, for example, the test for illegitimate pressure in a situation. This will affect how the court rules cases regarding duress and may make some more complicated, thus increasing the difficulty to the innocent part</w:t>
      </w:r>
      <w:r w:rsidR="00C43966">
        <w:rPr>
          <w:rFonts w:eastAsia="Times New Roman" w:cs="Times New Roman"/>
          <w:lang w:eastAsia="en-GB"/>
        </w:rPr>
        <w:t>y</w:t>
      </w:r>
      <w:r w:rsidR="007D5EE3">
        <w:rPr>
          <w:rFonts w:eastAsia="Times New Roman" w:cs="Times New Roman"/>
          <w:lang w:eastAsia="en-GB"/>
        </w:rPr>
        <w:t xml:space="preserve"> to prove that duress was a present element.</w:t>
      </w:r>
    </w:p>
    <w:p w14:paraId="045993ED" w14:textId="77777777" w:rsidR="00891DC0" w:rsidRDefault="00891DC0" w:rsidP="00F94C38">
      <w:pPr>
        <w:spacing w:line="360" w:lineRule="auto"/>
        <w:rPr>
          <w:rFonts w:eastAsia="Times New Roman" w:cs="Times New Roman"/>
          <w:lang w:eastAsia="en-GB"/>
        </w:rPr>
      </w:pPr>
    </w:p>
    <w:p w14:paraId="10478D66" w14:textId="4A83408E" w:rsidR="00F94C38" w:rsidRDefault="00F94C38" w:rsidP="00F94C38">
      <w:pPr>
        <w:spacing w:line="360" w:lineRule="auto"/>
        <w:rPr>
          <w:rFonts w:eastAsia="Times New Roman" w:cs="Times New Roman"/>
          <w:lang w:eastAsia="en-GB"/>
        </w:rPr>
      </w:pPr>
      <w:r>
        <w:rPr>
          <w:rFonts w:eastAsia="Times New Roman" w:cs="Times New Roman"/>
          <w:lang w:eastAsia="en-GB"/>
        </w:rPr>
        <w:t xml:space="preserve">Much like duress, a successful claim for undue influence will also render a contract voidable. However, the </w:t>
      </w:r>
      <w:r w:rsidR="00A324E3">
        <w:rPr>
          <w:rFonts w:eastAsia="Times New Roman" w:cs="Times New Roman"/>
          <w:lang w:eastAsia="en-GB"/>
        </w:rPr>
        <w:t xml:space="preserve">equitable notion </w:t>
      </w:r>
      <w:r>
        <w:rPr>
          <w:rFonts w:eastAsia="Times New Roman" w:cs="Times New Roman"/>
          <w:lang w:eastAsia="en-GB"/>
        </w:rPr>
        <w:t>of undue influence concerns itself with the relationship between the parties of a contract</w:t>
      </w:r>
      <w:r w:rsidR="00E40DCB">
        <w:rPr>
          <w:rFonts w:eastAsia="Times New Roman" w:cs="Times New Roman"/>
          <w:lang w:eastAsia="en-GB"/>
        </w:rPr>
        <w:t xml:space="preserve"> and the subtle pressure used within it</w:t>
      </w:r>
      <w:r>
        <w:rPr>
          <w:rFonts w:eastAsia="Times New Roman" w:cs="Times New Roman"/>
          <w:lang w:eastAsia="en-GB"/>
        </w:rPr>
        <w:t>, rather than the threats made by one party to another</w:t>
      </w:r>
      <w:r w:rsidR="00DB178C">
        <w:rPr>
          <w:rFonts w:eastAsia="Times New Roman" w:cs="Times New Roman"/>
          <w:lang w:eastAsia="en-GB"/>
        </w:rPr>
        <w:t xml:space="preserve"> on one occasion</w:t>
      </w:r>
      <w:r>
        <w:rPr>
          <w:rFonts w:eastAsia="Times New Roman" w:cs="Times New Roman"/>
          <w:lang w:eastAsia="en-GB"/>
        </w:rPr>
        <w:t xml:space="preserve"> (</w:t>
      </w:r>
      <w:proofErr w:type="spellStart"/>
      <w:r>
        <w:rPr>
          <w:rFonts w:eastAsia="Times New Roman" w:cs="Times New Roman"/>
          <w:lang w:eastAsia="en-GB"/>
        </w:rPr>
        <w:t>Rahnavard</w:t>
      </w:r>
      <w:proofErr w:type="spellEnd"/>
      <w:r>
        <w:rPr>
          <w:rFonts w:eastAsia="Times New Roman" w:cs="Times New Roman"/>
          <w:lang w:eastAsia="en-GB"/>
        </w:rPr>
        <w:t>, 2014).</w:t>
      </w:r>
      <w:r w:rsidR="00891DC0">
        <w:rPr>
          <w:rFonts w:eastAsia="Times New Roman" w:cs="Times New Roman"/>
          <w:lang w:eastAsia="en-GB"/>
        </w:rPr>
        <w:t xml:space="preserve"> Undue influence is wider than duress</w:t>
      </w:r>
      <w:r w:rsidR="00C5683D">
        <w:rPr>
          <w:rFonts w:eastAsia="Times New Roman" w:cs="Times New Roman"/>
          <w:lang w:eastAsia="en-GB"/>
        </w:rPr>
        <w:t xml:space="preserve"> and can be defined as a situation within which an individual uses their power or authority in an unfair way in order to influence a legal decision</w:t>
      </w:r>
      <w:r w:rsidR="00DB178C">
        <w:rPr>
          <w:rFonts w:eastAsia="Times New Roman" w:cs="Times New Roman"/>
          <w:lang w:eastAsia="en-GB"/>
        </w:rPr>
        <w:t xml:space="preserve">, it is brought to light by the case </w:t>
      </w:r>
      <w:r w:rsidR="00DB178C">
        <w:rPr>
          <w:rFonts w:eastAsia="Times New Roman" w:cs="Times New Roman"/>
          <w:i/>
          <w:iCs/>
          <w:lang w:eastAsia="en-GB"/>
        </w:rPr>
        <w:t xml:space="preserve">Williams v Bayley </w:t>
      </w:r>
      <w:r w:rsidR="00DB178C">
        <w:rPr>
          <w:rFonts w:eastAsia="Times New Roman" w:cs="Times New Roman"/>
          <w:lang w:eastAsia="en-GB"/>
        </w:rPr>
        <w:t>(1866)</w:t>
      </w:r>
      <w:r w:rsidR="00C5683D">
        <w:rPr>
          <w:rFonts w:eastAsia="Times New Roman" w:cs="Times New Roman"/>
          <w:lang w:eastAsia="en-GB"/>
        </w:rPr>
        <w:t xml:space="preserve"> (Cambridge Dictionary, 2021).</w:t>
      </w:r>
      <w:r w:rsidR="00E40DCB">
        <w:rPr>
          <w:rFonts w:eastAsia="Times New Roman" w:cs="Times New Roman"/>
          <w:lang w:eastAsia="en-GB"/>
        </w:rPr>
        <w:t xml:space="preserve"> This equitable doctrine qualifies a court to set aside or adapt the terms of a contract. </w:t>
      </w:r>
    </w:p>
    <w:p w14:paraId="1550D80E" w14:textId="77777777" w:rsidR="00E40DCB" w:rsidRDefault="00E40DCB" w:rsidP="00F94C38">
      <w:pPr>
        <w:spacing w:line="360" w:lineRule="auto"/>
        <w:rPr>
          <w:rFonts w:eastAsia="Times New Roman" w:cs="Times New Roman"/>
          <w:lang w:eastAsia="en-GB"/>
        </w:rPr>
      </w:pPr>
    </w:p>
    <w:p w14:paraId="425B6CD2" w14:textId="4B6D1AB3" w:rsidR="00E40DCB" w:rsidRDefault="00E40DCB" w:rsidP="00E40DCB">
      <w:pPr>
        <w:spacing w:line="360" w:lineRule="auto"/>
        <w:rPr>
          <w:rFonts w:eastAsia="Times New Roman" w:cs="Times New Roman"/>
          <w:lang w:eastAsia="en-GB"/>
        </w:rPr>
      </w:pPr>
      <w:r>
        <w:rPr>
          <w:rFonts w:eastAsia="Times New Roman" w:cs="Times New Roman"/>
          <w:lang w:eastAsia="en-GB"/>
        </w:rPr>
        <w:t xml:space="preserve">Before the decision as a result of </w:t>
      </w:r>
      <w:r>
        <w:rPr>
          <w:rFonts w:eastAsia="Times New Roman" w:cs="Times New Roman"/>
          <w:i/>
          <w:iCs/>
          <w:lang w:eastAsia="en-GB"/>
        </w:rPr>
        <w:t xml:space="preserve">Royal Bank of Scotland v </w:t>
      </w:r>
      <w:proofErr w:type="spellStart"/>
      <w:r>
        <w:rPr>
          <w:rFonts w:eastAsia="Times New Roman" w:cs="Times New Roman"/>
          <w:i/>
          <w:iCs/>
          <w:lang w:eastAsia="en-GB"/>
        </w:rPr>
        <w:t>Etridge</w:t>
      </w:r>
      <w:proofErr w:type="spellEnd"/>
      <w:r>
        <w:rPr>
          <w:rFonts w:eastAsia="Times New Roman" w:cs="Times New Roman"/>
          <w:i/>
          <w:iCs/>
          <w:lang w:eastAsia="en-GB"/>
        </w:rPr>
        <w:t xml:space="preserve"> (No.2)</w:t>
      </w:r>
      <w:r w:rsidR="000C73C5">
        <w:rPr>
          <w:rFonts w:eastAsia="Times New Roman" w:cs="Times New Roman"/>
          <w:i/>
          <w:iCs/>
          <w:lang w:eastAsia="en-GB"/>
        </w:rPr>
        <w:t xml:space="preserve"> </w:t>
      </w:r>
      <w:r w:rsidR="000C73C5">
        <w:rPr>
          <w:rFonts w:eastAsia="Times New Roman" w:cs="Times New Roman"/>
          <w:lang w:eastAsia="en-GB"/>
        </w:rPr>
        <w:t>(2001)</w:t>
      </w:r>
      <w:r>
        <w:rPr>
          <w:rFonts w:eastAsia="Times New Roman" w:cs="Times New Roman"/>
          <w:i/>
          <w:iCs/>
          <w:lang w:eastAsia="en-GB"/>
        </w:rPr>
        <w:t>,</w:t>
      </w:r>
      <w:r w:rsidR="004165E4">
        <w:rPr>
          <w:rFonts w:eastAsia="Times New Roman" w:cs="Times New Roman"/>
          <w:i/>
          <w:iCs/>
          <w:lang w:eastAsia="en-GB"/>
        </w:rPr>
        <w:t xml:space="preserve"> </w:t>
      </w:r>
      <w:r w:rsidR="004165E4">
        <w:rPr>
          <w:rFonts w:eastAsia="Times New Roman" w:cs="Times New Roman"/>
          <w:lang w:eastAsia="en-GB"/>
        </w:rPr>
        <w:t>the doctrine of</w:t>
      </w:r>
      <w:r>
        <w:rPr>
          <w:rFonts w:eastAsia="Times New Roman" w:cs="Times New Roman"/>
          <w:i/>
          <w:iCs/>
          <w:lang w:eastAsia="en-GB"/>
        </w:rPr>
        <w:t xml:space="preserve"> </w:t>
      </w:r>
      <w:r w:rsidR="004165E4">
        <w:rPr>
          <w:rFonts w:eastAsia="Times New Roman" w:cs="Times New Roman"/>
          <w:lang w:eastAsia="en-GB"/>
        </w:rPr>
        <w:t xml:space="preserve">undue influence </w:t>
      </w:r>
      <w:r>
        <w:rPr>
          <w:rFonts w:eastAsia="Times New Roman" w:cs="Times New Roman"/>
          <w:lang w:eastAsia="en-GB"/>
        </w:rPr>
        <w:t xml:space="preserve">had </w:t>
      </w:r>
      <w:r w:rsidR="004165E4">
        <w:rPr>
          <w:rFonts w:eastAsia="Times New Roman" w:cs="Times New Roman"/>
          <w:lang w:eastAsia="en-GB"/>
        </w:rPr>
        <w:t xml:space="preserve">been </w:t>
      </w:r>
      <w:r>
        <w:rPr>
          <w:rFonts w:eastAsia="Times New Roman" w:cs="Times New Roman"/>
          <w:lang w:eastAsia="en-GB"/>
        </w:rPr>
        <w:t>subcategorised into two classifications, namely actual undue influence and presumed undue influence</w:t>
      </w:r>
      <w:r w:rsidR="004165E4">
        <w:rPr>
          <w:rFonts w:eastAsia="Times New Roman" w:cs="Times New Roman"/>
          <w:lang w:eastAsia="en-GB"/>
        </w:rPr>
        <w:t xml:space="preserve"> in the case of </w:t>
      </w:r>
      <w:r w:rsidR="004165E4">
        <w:rPr>
          <w:rFonts w:eastAsia="Times New Roman" w:cs="Times New Roman"/>
          <w:i/>
          <w:iCs/>
          <w:lang w:eastAsia="en-GB"/>
        </w:rPr>
        <w:t xml:space="preserve">BCCI v Aboody </w:t>
      </w:r>
      <w:r w:rsidR="004165E4" w:rsidRPr="00766F23">
        <w:rPr>
          <w:rFonts w:eastAsia="Times New Roman" w:cs="Times New Roman"/>
          <w:lang w:eastAsia="en-GB"/>
        </w:rPr>
        <w:t>(1990)</w:t>
      </w:r>
      <w:r w:rsidR="000C73C5">
        <w:rPr>
          <w:rFonts w:eastAsia="Times New Roman" w:cs="Times New Roman"/>
          <w:lang w:eastAsia="en-GB"/>
        </w:rPr>
        <w:t xml:space="preserve"> </w:t>
      </w:r>
      <w:r w:rsidR="004165E4">
        <w:rPr>
          <w:rFonts w:eastAsia="Times New Roman" w:cs="Times New Roman"/>
          <w:lang w:eastAsia="en-GB"/>
        </w:rPr>
        <w:t xml:space="preserve">per Slade LJ and followed by the House of Lords </w:t>
      </w:r>
      <w:r w:rsidR="0029028A" w:rsidRPr="000C73C5">
        <w:rPr>
          <w:i/>
          <w:iCs/>
          <w:lang w:eastAsia="en-GB"/>
        </w:rPr>
        <w:t>Barclays</w:t>
      </w:r>
      <w:r w:rsidR="000C73C5" w:rsidRPr="000C73C5">
        <w:rPr>
          <w:i/>
          <w:iCs/>
          <w:lang w:eastAsia="en-GB"/>
        </w:rPr>
        <w:t xml:space="preserve"> bank plc v </w:t>
      </w:r>
      <w:proofErr w:type="spellStart"/>
      <w:r w:rsidR="000C73C5" w:rsidRPr="000C73C5">
        <w:rPr>
          <w:i/>
          <w:iCs/>
          <w:lang w:eastAsia="en-GB"/>
        </w:rPr>
        <w:t>O’brien</w:t>
      </w:r>
      <w:proofErr w:type="spellEnd"/>
      <w:r w:rsidR="000C73C5" w:rsidRPr="000C73C5">
        <w:rPr>
          <w:i/>
          <w:iCs/>
          <w:lang w:eastAsia="en-GB"/>
        </w:rPr>
        <w:t xml:space="preserve"> and Another </w:t>
      </w:r>
      <w:r w:rsidR="000C73C5" w:rsidRPr="000C73C5">
        <w:rPr>
          <w:lang w:eastAsia="en-GB"/>
        </w:rPr>
        <w:t>(1993)</w:t>
      </w:r>
      <w:r w:rsidR="004165E4">
        <w:rPr>
          <w:lang w:eastAsia="en-GB"/>
        </w:rPr>
        <w:t>.</w:t>
      </w:r>
    </w:p>
    <w:p w14:paraId="486A9924" w14:textId="77777777" w:rsidR="00E40DCB" w:rsidRDefault="00E40DCB" w:rsidP="00E40DCB">
      <w:pPr>
        <w:spacing w:line="360" w:lineRule="auto"/>
        <w:rPr>
          <w:rFonts w:eastAsia="Times New Roman" w:cs="Times New Roman"/>
          <w:lang w:eastAsia="en-GB"/>
        </w:rPr>
      </w:pPr>
    </w:p>
    <w:p w14:paraId="5EA864BB" w14:textId="3DD85FB7" w:rsidR="004165E4" w:rsidRPr="004165E4" w:rsidRDefault="008A4E1C" w:rsidP="00E40DCB">
      <w:pPr>
        <w:spacing w:line="360" w:lineRule="auto"/>
        <w:rPr>
          <w:lang w:eastAsia="en-GB"/>
        </w:rPr>
      </w:pPr>
      <w:r>
        <w:rPr>
          <w:rFonts w:eastAsia="Times New Roman" w:cs="Times New Roman"/>
          <w:lang w:eastAsia="en-GB"/>
        </w:rPr>
        <w:lastRenderedPageBreak/>
        <w:t>The first class of undue influence is a</w:t>
      </w:r>
      <w:r w:rsidR="00E40DCB">
        <w:rPr>
          <w:rFonts w:eastAsia="Times New Roman" w:cs="Times New Roman"/>
          <w:lang w:eastAsia="en-GB"/>
        </w:rPr>
        <w:t>ctual undue influence</w:t>
      </w:r>
      <w:r w:rsidR="00C43966">
        <w:rPr>
          <w:rFonts w:eastAsia="Times New Roman" w:cs="Times New Roman"/>
          <w:lang w:eastAsia="en-GB"/>
        </w:rPr>
        <w:t>, this</w:t>
      </w:r>
      <w:r w:rsidR="00E40DCB">
        <w:rPr>
          <w:rFonts w:eastAsia="Times New Roman" w:cs="Times New Roman"/>
          <w:lang w:eastAsia="en-GB"/>
        </w:rPr>
        <w:t xml:space="preserve"> has </w:t>
      </w:r>
      <w:r w:rsidR="00C43966">
        <w:rPr>
          <w:rFonts w:eastAsia="Times New Roman" w:cs="Times New Roman"/>
          <w:lang w:eastAsia="en-GB"/>
        </w:rPr>
        <w:t xml:space="preserve">a </w:t>
      </w:r>
      <w:r w:rsidR="00E40DCB">
        <w:rPr>
          <w:rFonts w:eastAsia="Times New Roman" w:cs="Times New Roman"/>
          <w:lang w:eastAsia="en-GB"/>
        </w:rPr>
        <w:t xml:space="preserve">considerable </w:t>
      </w:r>
      <w:r w:rsidR="0079230D">
        <w:rPr>
          <w:rFonts w:eastAsia="Times New Roman" w:cs="Times New Roman"/>
          <w:lang w:eastAsia="en-GB"/>
        </w:rPr>
        <w:t>overlap</w:t>
      </w:r>
      <w:r w:rsidR="00E40DCB">
        <w:rPr>
          <w:rFonts w:eastAsia="Times New Roman" w:cs="Times New Roman"/>
          <w:lang w:eastAsia="en-GB"/>
        </w:rPr>
        <w:t xml:space="preserve"> with duress as it compromises unconcealed acts of improper pressure which coerce the will of the individual. Lord Hobhouse in </w:t>
      </w:r>
      <w:proofErr w:type="spellStart"/>
      <w:r w:rsidR="00E40DCB">
        <w:rPr>
          <w:rFonts w:eastAsia="Times New Roman" w:cs="Times New Roman"/>
          <w:i/>
          <w:iCs/>
          <w:lang w:eastAsia="en-GB"/>
        </w:rPr>
        <w:t>Etridge</w:t>
      </w:r>
      <w:proofErr w:type="spellEnd"/>
      <w:r w:rsidR="00E40DCB">
        <w:rPr>
          <w:rFonts w:eastAsia="Times New Roman" w:cs="Times New Roman"/>
          <w:i/>
          <w:iCs/>
          <w:lang w:eastAsia="en-GB"/>
        </w:rPr>
        <w:t xml:space="preserve"> (no. 2) </w:t>
      </w:r>
      <w:r w:rsidR="00E40DCB">
        <w:rPr>
          <w:rFonts w:eastAsia="Times New Roman" w:cs="Times New Roman"/>
          <w:lang w:eastAsia="en-GB"/>
        </w:rPr>
        <w:t>described actual undue influence as being a wrong committed by the dominant part</w:t>
      </w:r>
      <w:r w:rsidR="00C43966">
        <w:rPr>
          <w:rFonts w:eastAsia="Times New Roman" w:cs="Times New Roman"/>
          <w:lang w:eastAsia="en-GB"/>
        </w:rPr>
        <w:t>y</w:t>
      </w:r>
      <w:r w:rsidR="00E40DCB">
        <w:rPr>
          <w:rFonts w:eastAsia="Times New Roman" w:cs="Times New Roman"/>
          <w:lang w:eastAsia="en-GB"/>
        </w:rPr>
        <w:t xml:space="preserve"> against the other, which would make it unconscionable for the dominant part</w:t>
      </w:r>
      <w:r w:rsidR="00C43966">
        <w:rPr>
          <w:rFonts w:eastAsia="Times New Roman" w:cs="Times New Roman"/>
          <w:lang w:eastAsia="en-GB"/>
        </w:rPr>
        <w:t>y</w:t>
      </w:r>
      <w:r w:rsidR="00E40DCB">
        <w:rPr>
          <w:rFonts w:eastAsia="Times New Roman" w:cs="Times New Roman"/>
          <w:lang w:eastAsia="en-GB"/>
        </w:rPr>
        <w:t xml:space="preserve"> to enforce their legal rights against the other (Hamilton, 2016)</w:t>
      </w:r>
      <w:r w:rsidR="0001090A">
        <w:rPr>
          <w:rFonts w:eastAsia="Times New Roman" w:cs="Times New Roman"/>
          <w:lang w:eastAsia="en-GB"/>
        </w:rPr>
        <w:t>. In a case of actual undue influence</w:t>
      </w:r>
      <w:r w:rsidR="000C73C5">
        <w:rPr>
          <w:rFonts w:eastAsia="Times New Roman" w:cs="Times New Roman"/>
          <w:i/>
          <w:iCs/>
          <w:lang w:eastAsia="en-GB"/>
        </w:rPr>
        <w:t xml:space="preserve"> (Williams v Bayley </w:t>
      </w:r>
      <w:r w:rsidR="000C73C5" w:rsidRPr="00766F23">
        <w:rPr>
          <w:rFonts w:eastAsia="Times New Roman" w:cs="Times New Roman"/>
          <w:lang w:eastAsia="en-GB"/>
        </w:rPr>
        <w:t>(1866)</w:t>
      </w:r>
      <w:r w:rsidR="0001090A" w:rsidRPr="00766F23">
        <w:rPr>
          <w:rFonts w:eastAsia="Times New Roman" w:cs="Times New Roman"/>
          <w:lang w:eastAsia="en-GB"/>
        </w:rPr>
        <w:t>,</w:t>
      </w:r>
      <w:r w:rsidR="0001090A">
        <w:rPr>
          <w:rFonts w:eastAsia="Times New Roman" w:cs="Times New Roman"/>
          <w:lang w:eastAsia="en-GB"/>
        </w:rPr>
        <w:t xml:space="preserve"> the innocent party must demonstrate to the court, evidence that at the period of signing the contract in question, the wrongdoer had an influence over them (Dispute Resolution Law Team, 2014)</w:t>
      </w:r>
      <w:r w:rsidR="00C013E9">
        <w:rPr>
          <w:rFonts w:eastAsia="Times New Roman" w:cs="Times New Roman"/>
          <w:lang w:eastAsia="en-GB"/>
        </w:rPr>
        <w:t xml:space="preserve"> and it is </w:t>
      </w:r>
      <w:r w:rsidR="0029028A">
        <w:rPr>
          <w:rFonts w:eastAsia="Times New Roman" w:cs="Times New Roman"/>
          <w:lang w:eastAsia="en-GB"/>
        </w:rPr>
        <w:t>necessary</w:t>
      </w:r>
      <w:r w:rsidR="00C013E9">
        <w:rPr>
          <w:rFonts w:eastAsia="Times New Roman" w:cs="Times New Roman"/>
          <w:lang w:eastAsia="en-GB"/>
        </w:rPr>
        <w:t xml:space="preserve"> for the </w:t>
      </w:r>
      <w:r w:rsidR="0029028A">
        <w:rPr>
          <w:rFonts w:eastAsia="Times New Roman" w:cs="Times New Roman"/>
          <w:lang w:eastAsia="en-GB"/>
        </w:rPr>
        <w:t>claimant</w:t>
      </w:r>
      <w:r w:rsidR="00C013E9">
        <w:rPr>
          <w:rFonts w:eastAsia="Times New Roman" w:cs="Times New Roman"/>
          <w:lang w:eastAsia="en-GB"/>
        </w:rPr>
        <w:t xml:space="preserve"> to also affirmatively prove that the wrongdoer applied undue influence on them to enter into the particular transaction being impugned (</w:t>
      </w:r>
      <w:proofErr w:type="spellStart"/>
      <w:r w:rsidR="00C013E9">
        <w:rPr>
          <w:rFonts w:eastAsia="Times New Roman" w:cs="Times New Roman"/>
          <w:lang w:eastAsia="en-GB"/>
        </w:rPr>
        <w:t>Lawteacher</w:t>
      </w:r>
      <w:proofErr w:type="spellEnd"/>
      <w:r w:rsidR="00C013E9">
        <w:rPr>
          <w:rFonts w:eastAsia="Times New Roman" w:cs="Times New Roman"/>
          <w:lang w:eastAsia="en-GB"/>
        </w:rPr>
        <w:t>, 2019)</w:t>
      </w:r>
      <w:r w:rsidR="0001090A">
        <w:rPr>
          <w:rFonts w:eastAsia="Times New Roman" w:cs="Times New Roman"/>
          <w:lang w:eastAsia="en-GB"/>
        </w:rPr>
        <w:t>.</w:t>
      </w:r>
      <w:r w:rsidR="000C73C5">
        <w:rPr>
          <w:rFonts w:eastAsia="Times New Roman" w:cs="Times New Roman"/>
          <w:lang w:eastAsia="en-GB"/>
        </w:rPr>
        <w:t xml:space="preserve"> As in the case of </w:t>
      </w:r>
      <w:r w:rsidR="000C73C5">
        <w:rPr>
          <w:i/>
          <w:iCs/>
          <w:lang w:eastAsia="en-GB"/>
        </w:rPr>
        <w:t>B</w:t>
      </w:r>
      <w:r w:rsidR="000C73C5" w:rsidRPr="000C73C5">
        <w:rPr>
          <w:i/>
          <w:iCs/>
          <w:lang w:eastAsia="en-GB"/>
        </w:rPr>
        <w:t xml:space="preserve">ank of </w:t>
      </w:r>
      <w:r w:rsidR="000C73C5">
        <w:rPr>
          <w:i/>
          <w:iCs/>
          <w:lang w:eastAsia="en-GB"/>
        </w:rPr>
        <w:t>C</w:t>
      </w:r>
      <w:r w:rsidR="000C73C5" w:rsidRPr="000C73C5">
        <w:rPr>
          <w:i/>
          <w:iCs/>
          <w:lang w:eastAsia="en-GB"/>
        </w:rPr>
        <w:t xml:space="preserve">redit and </w:t>
      </w:r>
      <w:r w:rsidR="000C73C5">
        <w:rPr>
          <w:i/>
          <w:iCs/>
          <w:lang w:eastAsia="en-GB"/>
        </w:rPr>
        <w:t>C</w:t>
      </w:r>
      <w:r w:rsidR="000C73C5" w:rsidRPr="000C73C5">
        <w:rPr>
          <w:i/>
          <w:iCs/>
          <w:lang w:eastAsia="en-GB"/>
        </w:rPr>
        <w:t xml:space="preserve">ommerce </w:t>
      </w:r>
      <w:r w:rsidR="000C73C5">
        <w:rPr>
          <w:i/>
          <w:iCs/>
          <w:lang w:eastAsia="en-GB"/>
        </w:rPr>
        <w:t>I</w:t>
      </w:r>
      <w:r w:rsidR="000C73C5" w:rsidRPr="000C73C5">
        <w:rPr>
          <w:i/>
          <w:iCs/>
          <w:lang w:eastAsia="en-GB"/>
        </w:rPr>
        <w:t xml:space="preserve">nternational SA v </w:t>
      </w:r>
      <w:r w:rsidR="000C73C5">
        <w:rPr>
          <w:i/>
          <w:iCs/>
          <w:lang w:eastAsia="en-GB"/>
        </w:rPr>
        <w:t>A</w:t>
      </w:r>
      <w:r w:rsidR="000C73C5" w:rsidRPr="000C73C5">
        <w:rPr>
          <w:i/>
          <w:iCs/>
          <w:lang w:eastAsia="en-GB"/>
        </w:rPr>
        <w:t xml:space="preserve">boody </w:t>
      </w:r>
      <w:r w:rsidR="000C73C5" w:rsidRPr="000C73C5">
        <w:rPr>
          <w:lang w:eastAsia="en-GB"/>
        </w:rPr>
        <w:t>(1992)</w:t>
      </w:r>
      <w:r w:rsidR="000C73C5">
        <w:rPr>
          <w:lang w:eastAsia="en-GB"/>
        </w:rPr>
        <w:t>, it was also required that the party making the allegation of undue influence show that they had suffered a manifest disadvantage as a result</w:t>
      </w:r>
      <w:r w:rsidR="00801635">
        <w:rPr>
          <w:lang w:eastAsia="en-GB"/>
        </w:rPr>
        <w:t xml:space="preserve">. In </w:t>
      </w:r>
      <w:r w:rsidR="00801635">
        <w:rPr>
          <w:i/>
          <w:iCs/>
          <w:lang w:eastAsia="en-GB"/>
        </w:rPr>
        <w:t xml:space="preserve">National Westminster Bank plc v Morgan </w:t>
      </w:r>
      <w:r w:rsidR="00801635">
        <w:rPr>
          <w:lang w:eastAsia="en-GB"/>
        </w:rPr>
        <w:t>(1985), manifest disadvantage was described by Lord Scarman as a transaction which is sufficiently disadvantageous to the person claiming undue influence.</w:t>
      </w:r>
      <w:r w:rsidR="000C73C5">
        <w:rPr>
          <w:lang w:eastAsia="en-GB"/>
        </w:rPr>
        <w:t xml:space="preserve"> </w:t>
      </w:r>
      <w:r w:rsidR="00801635">
        <w:rPr>
          <w:lang w:eastAsia="en-GB"/>
        </w:rPr>
        <w:t>H</w:t>
      </w:r>
      <w:r w:rsidR="000C73C5">
        <w:rPr>
          <w:lang w:eastAsia="en-GB"/>
        </w:rPr>
        <w:t xml:space="preserve">owever, this requirement was </w:t>
      </w:r>
      <w:r w:rsidR="0079230D">
        <w:rPr>
          <w:lang w:eastAsia="en-GB"/>
        </w:rPr>
        <w:t>afterward</w:t>
      </w:r>
      <w:r w:rsidR="000C73C5">
        <w:rPr>
          <w:lang w:eastAsia="en-GB"/>
        </w:rPr>
        <w:t xml:space="preserve"> rejected by the House of Lords in </w:t>
      </w:r>
      <w:r w:rsidR="000C73C5">
        <w:rPr>
          <w:i/>
          <w:iCs/>
          <w:lang w:eastAsia="en-GB"/>
        </w:rPr>
        <w:t xml:space="preserve">CIBC Mortgages v Pitt </w:t>
      </w:r>
      <w:r w:rsidR="000C73C5">
        <w:rPr>
          <w:lang w:eastAsia="en-GB"/>
        </w:rPr>
        <w:t>(1993)</w:t>
      </w:r>
      <w:r w:rsidR="007D5EE3">
        <w:rPr>
          <w:lang w:eastAsia="en-GB"/>
        </w:rPr>
        <w:t xml:space="preserve"> and the requirement was replaced with the idea of a situation needing to ‘call for an explanation’ as highlighted in </w:t>
      </w:r>
      <w:proofErr w:type="spellStart"/>
      <w:r w:rsidR="007D5EE3">
        <w:rPr>
          <w:i/>
          <w:iCs/>
          <w:lang w:eastAsia="en-GB"/>
        </w:rPr>
        <w:t>Etridge</w:t>
      </w:r>
      <w:proofErr w:type="spellEnd"/>
      <w:r w:rsidR="007D5EE3">
        <w:rPr>
          <w:i/>
          <w:iCs/>
          <w:lang w:eastAsia="en-GB"/>
        </w:rPr>
        <w:t xml:space="preserve"> (no. 2)</w:t>
      </w:r>
      <w:r w:rsidR="004165E4">
        <w:rPr>
          <w:lang w:eastAsia="en-GB"/>
        </w:rPr>
        <w:t>.</w:t>
      </w:r>
      <w:r w:rsidR="007D5EE3">
        <w:rPr>
          <w:lang w:eastAsia="en-GB"/>
        </w:rPr>
        <w:t xml:space="preserve"> This change has made it more straightforward to plea for undue influence in a court of law.</w:t>
      </w:r>
      <w:r w:rsidR="004165E4">
        <w:rPr>
          <w:lang w:eastAsia="en-GB"/>
        </w:rPr>
        <w:t xml:space="preserve"> It was in the case of </w:t>
      </w:r>
      <w:r w:rsidR="004165E4">
        <w:rPr>
          <w:i/>
          <w:iCs/>
          <w:lang w:eastAsia="en-GB"/>
        </w:rPr>
        <w:t>B</w:t>
      </w:r>
      <w:r w:rsidR="004165E4" w:rsidRPr="000C73C5">
        <w:rPr>
          <w:i/>
          <w:iCs/>
          <w:lang w:eastAsia="en-GB"/>
        </w:rPr>
        <w:t xml:space="preserve">ank of </w:t>
      </w:r>
      <w:r w:rsidR="004165E4">
        <w:rPr>
          <w:i/>
          <w:iCs/>
          <w:lang w:eastAsia="en-GB"/>
        </w:rPr>
        <w:t>C</w:t>
      </w:r>
      <w:r w:rsidR="004165E4" w:rsidRPr="000C73C5">
        <w:rPr>
          <w:i/>
          <w:iCs/>
          <w:lang w:eastAsia="en-GB"/>
        </w:rPr>
        <w:t xml:space="preserve">redit and </w:t>
      </w:r>
      <w:r w:rsidR="004165E4">
        <w:rPr>
          <w:i/>
          <w:iCs/>
          <w:lang w:eastAsia="en-GB"/>
        </w:rPr>
        <w:t>C</w:t>
      </w:r>
      <w:r w:rsidR="004165E4" w:rsidRPr="000C73C5">
        <w:rPr>
          <w:i/>
          <w:iCs/>
          <w:lang w:eastAsia="en-GB"/>
        </w:rPr>
        <w:t xml:space="preserve">ommerce </w:t>
      </w:r>
      <w:r w:rsidR="004165E4">
        <w:rPr>
          <w:i/>
          <w:iCs/>
          <w:lang w:eastAsia="en-GB"/>
        </w:rPr>
        <w:t>I</w:t>
      </w:r>
      <w:r w:rsidR="004165E4" w:rsidRPr="000C73C5">
        <w:rPr>
          <w:i/>
          <w:iCs/>
          <w:lang w:eastAsia="en-GB"/>
        </w:rPr>
        <w:t xml:space="preserve">nternational SA v </w:t>
      </w:r>
      <w:r w:rsidR="004165E4">
        <w:rPr>
          <w:i/>
          <w:iCs/>
          <w:lang w:eastAsia="en-GB"/>
        </w:rPr>
        <w:t>A</w:t>
      </w:r>
      <w:r w:rsidR="004165E4" w:rsidRPr="000C73C5">
        <w:rPr>
          <w:i/>
          <w:iCs/>
          <w:lang w:eastAsia="en-GB"/>
        </w:rPr>
        <w:t xml:space="preserve">boody </w:t>
      </w:r>
      <w:r w:rsidR="004165E4" w:rsidRPr="000C73C5">
        <w:rPr>
          <w:lang w:eastAsia="en-GB"/>
        </w:rPr>
        <w:t>(1992)</w:t>
      </w:r>
      <w:r w:rsidR="004165E4">
        <w:rPr>
          <w:lang w:eastAsia="en-GB"/>
        </w:rPr>
        <w:t xml:space="preserve"> that the requirements of actual undue influence were outlined by Slade LJ as the other party to the transaction having had the capacity to influence the complainant, the influence being exercised, the exercise having been undue, and the transaction being brought about by the exercise.</w:t>
      </w:r>
    </w:p>
    <w:p w14:paraId="5DE0F3CC" w14:textId="19F5CE26" w:rsidR="0001090A" w:rsidRDefault="0001090A" w:rsidP="00E40DCB">
      <w:pPr>
        <w:spacing w:line="360" w:lineRule="auto"/>
        <w:rPr>
          <w:rFonts w:eastAsia="Times New Roman" w:cs="Times New Roman"/>
          <w:lang w:eastAsia="en-GB"/>
        </w:rPr>
      </w:pPr>
    </w:p>
    <w:p w14:paraId="298F5BF0" w14:textId="274A7B08" w:rsidR="00C013E9" w:rsidRPr="0051082F" w:rsidRDefault="0001090A" w:rsidP="00E40DCB">
      <w:pPr>
        <w:spacing w:line="360" w:lineRule="auto"/>
        <w:rPr>
          <w:rFonts w:eastAsia="Times New Roman" w:cs="Times New Roman"/>
          <w:lang w:eastAsia="en-GB"/>
        </w:rPr>
      </w:pPr>
      <w:r>
        <w:rPr>
          <w:rFonts w:eastAsia="Times New Roman" w:cs="Times New Roman"/>
          <w:lang w:eastAsia="en-GB"/>
        </w:rPr>
        <w:t>Presumed undue influence</w:t>
      </w:r>
      <w:r w:rsidR="004165E4">
        <w:rPr>
          <w:rFonts w:eastAsia="Times New Roman" w:cs="Times New Roman"/>
          <w:lang w:eastAsia="en-GB"/>
        </w:rPr>
        <w:t xml:space="preserve"> refers to</w:t>
      </w:r>
      <w:r w:rsidR="0051082F">
        <w:rPr>
          <w:rFonts w:eastAsia="Times New Roman" w:cs="Times New Roman"/>
          <w:lang w:eastAsia="en-GB"/>
        </w:rPr>
        <w:t xml:space="preserve"> </w:t>
      </w:r>
      <w:r w:rsidR="008A4E1C">
        <w:rPr>
          <w:rFonts w:eastAsia="Times New Roman" w:cs="Times New Roman"/>
          <w:lang w:eastAsia="en-GB"/>
        </w:rPr>
        <w:t>when certain relationships, as a matter of law, raise a presumption of undue influence, in which case the liability of proof is put upon the part</w:t>
      </w:r>
      <w:r w:rsidR="00C43966">
        <w:rPr>
          <w:rFonts w:eastAsia="Times New Roman" w:cs="Times New Roman"/>
          <w:lang w:eastAsia="en-GB"/>
        </w:rPr>
        <w:t>y</w:t>
      </w:r>
      <w:r w:rsidR="008A4E1C">
        <w:rPr>
          <w:rFonts w:eastAsia="Times New Roman" w:cs="Times New Roman"/>
          <w:lang w:eastAsia="en-GB"/>
        </w:rPr>
        <w:t xml:space="preserve"> who was in the position of trust and confidence to disprove the undue influence on the victim (Dispute Resolution Law Team, 2014)</w:t>
      </w:r>
      <w:r w:rsidR="00C43966">
        <w:rPr>
          <w:rFonts w:eastAsia="Times New Roman" w:cs="Times New Roman"/>
          <w:lang w:eastAsia="en-GB"/>
        </w:rPr>
        <w:t xml:space="preserve">. </w:t>
      </w:r>
      <w:r w:rsidR="008A4E1C">
        <w:rPr>
          <w:rFonts w:eastAsia="Times New Roman" w:cs="Times New Roman"/>
          <w:lang w:eastAsia="en-GB"/>
        </w:rPr>
        <w:t xml:space="preserve">This </w:t>
      </w:r>
      <w:r w:rsidR="00C013E9">
        <w:rPr>
          <w:rFonts w:eastAsia="Times New Roman" w:cs="Times New Roman"/>
          <w:lang w:eastAsia="en-GB"/>
        </w:rPr>
        <w:t xml:space="preserve">is the </w:t>
      </w:r>
      <w:r w:rsidR="008A4E1C">
        <w:rPr>
          <w:rFonts w:eastAsia="Times New Roman" w:cs="Times New Roman"/>
          <w:lang w:eastAsia="en-GB"/>
        </w:rPr>
        <w:t xml:space="preserve">second </w:t>
      </w:r>
      <w:r w:rsidR="00C013E9">
        <w:rPr>
          <w:rFonts w:eastAsia="Times New Roman" w:cs="Times New Roman"/>
          <w:lang w:eastAsia="en-GB"/>
        </w:rPr>
        <w:t xml:space="preserve">class of undue </w:t>
      </w:r>
      <w:r w:rsidR="00801635">
        <w:rPr>
          <w:rFonts w:eastAsia="Times New Roman" w:cs="Times New Roman"/>
          <w:lang w:eastAsia="en-GB"/>
        </w:rPr>
        <w:t>influence;</w:t>
      </w:r>
      <w:r w:rsidR="00C013E9">
        <w:rPr>
          <w:rFonts w:eastAsia="Times New Roman" w:cs="Times New Roman"/>
          <w:lang w:eastAsia="en-GB"/>
        </w:rPr>
        <w:t xml:space="preserve"> this classification was further refined in </w:t>
      </w:r>
      <w:r w:rsidR="008A4E1C" w:rsidRPr="000C73C5">
        <w:rPr>
          <w:i/>
          <w:iCs/>
          <w:lang w:eastAsia="en-GB"/>
        </w:rPr>
        <w:t>Barclays</w:t>
      </w:r>
      <w:r w:rsidR="00C013E9" w:rsidRPr="000C73C5">
        <w:rPr>
          <w:i/>
          <w:iCs/>
          <w:lang w:eastAsia="en-GB"/>
        </w:rPr>
        <w:t xml:space="preserve"> bank plc v </w:t>
      </w:r>
      <w:proofErr w:type="spellStart"/>
      <w:r w:rsidR="00C013E9" w:rsidRPr="000C73C5">
        <w:rPr>
          <w:i/>
          <w:iCs/>
          <w:lang w:eastAsia="en-GB"/>
        </w:rPr>
        <w:t>O’brien</w:t>
      </w:r>
      <w:proofErr w:type="spellEnd"/>
      <w:r w:rsidR="00C013E9" w:rsidRPr="000C73C5">
        <w:rPr>
          <w:i/>
          <w:iCs/>
          <w:lang w:eastAsia="en-GB"/>
        </w:rPr>
        <w:t xml:space="preserve"> and Another </w:t>
      </w:r>
      <w:r w:rsidR="00C013E9" w:rsidRPr="000C73C5">
        <w:rPr>
          <w:lang w:eastAsia="en-GB"/>
        </w:rPr>
        <w:t>(1993)</w:t>
      </w:r>
      <w:r w:rsidR="00C013E9">
        <w:rPr>
          <w:lang w:eastAsia="en-GB"/>
        </w:rPr>
        <w:t xml:space="preserve"> and was subdivided into class 2A and class 2B. Class 2A refers to presumed undue influence arising from a special relationship between the</w:t>
      </w:r>
      <w:r w:rsidR="00C43966">
        <w:rPr>
          <w:rFonts w:eastAsia="Times New Roman" w:cs="Times New Roman"/>
          <w:lang w:eastAsia="en-GB"/>
        </w:rPr>
        <w:t xml:space="preserve"> </w:t>
      </w:r>
      <w:r w:rsidR="00C43966">
        <w:rPr>
          <w:lang w:eastAsia="en-GB"/>
        </w:rPr>
        <w:t>p</w:t>
      </w:r>
      <w:r w:rsidR="00C013E9">
        <w:rPr>
          <w:lang w:eastAsia="en-GB"/>
        </w:rPr>
        <w:t>arties</w:t>
      </w:r>
      <w:r w:rsidR="007D420C">
        <w:rPr>
          <w:lang w:eastAsia="en-GB"/>
        </w:rPr>
        <w:t>. Some relationships which give rise to a presumption of class 2A undue influence include a parent/child relationship (</w:t>
      </w:r>
      <w:r w:rsidR="007D420C" w:rsidRPr="007D420C">
        <w:rPr>
          <w:i/>
          <w:iCs/>
          <w:lang w:eastAsia="en-GB"/>
        </w:rPr>
        <w:t>Lancashire Loans Co v Black</w:t>
      </w:r>
      <w:r w:rsidR="007D420C">
        <w:rPr>
          <w:lang w:eastAsia="en-GB"/>
        </w:rPr>
        <w:t xml:space="preserve"> (1993)), doctor/patient relationship (</w:t>
      </w:r>
      <w:r w:rsidR="007D420C" w:rsidRPr="007D420C">
        <w:rPr>
          <w:i/>
          <w:iCs/>
          <w:lang w:eastAsia="en-GB"/>
        </w:rPr>
        <w:t xml:space="preserve">Dent v Bennett </w:t>
      </w:r>
      <w:r w:rsidR="007D420C">
        <w:rPr>
          <w:lang w:eastAsia="en-GB"/>
        </w:rPr>
        <w:t>(1839)), and solicitor/ client relationship (</w:t>
      </w:r>
      <w:r w:rsidR="007D420C">
        <w:rPr>
          <w:i/>
          <w:iCs/>
          <w:lang w:eastAsia="en-GB"/>
        </w:rPr>
        <w:t xml:space="preserve">Wright v Carter </w:t>
      </w:r>
      <w:r w:rsidR="007D420C">
        <w:rPr>
          <w:lang w:eastAsia="en-GB"/>
        </w:rPr>
        <w:t>(1903)). C</w:t>
      </w:r>
      <w:r w:rsidR="00C013E9">
        <w:rPr>
          <w:lang w:eastAsia="en-GB"/>
        </w:rPr>
        <w:t xml:space="preserve">lass 2B denotes to presumed undue influence </w:t>
      </w:r>
      <w:r w:rsidR="00C013E9">
        <w:rPr>
          <w:lang w:eastAsia="en-GB"/>
        </w:rPr>
        <w:lastRenderedPageBreak/>
        <w:t xml:space="preserve">ascending from no special relationship in the sense of class 2A, but a relationship of trust and </w:t>
      </w:r>
      <w:r w:rsidR="0029028A">
        <w:rPr>
          <w:lang w:eastAsia="en-GB"/>
        </w:rPr>
        <w:t>confidence,</w:t>
      </w:r>
      <w:r w:rsidR="00C013E9">
        <w:rPr>
          <w:lang w:eastAsia="en-GB"/>
        </w:rPr>
        <w:t xml:space="preserve"> nonetheless.</w:t>
      </w:r>
      <w:r w:rsidR="007D420C">
        <w:rPr>
          <w:lang w:eastAsia="en-GB"/>
        </w:rPr>
        <w:t xml:space="preserve"> (</w:t>
      </w:r>
      <w:r w:rsidR="0029028A">
        <w:rPr>
          <w:lang w:eastAsia="en-GB"/>
        </w:rPr>
        <w:t xml:space="preserve">Finch and </w:t>
      </w:r>
      <w:proofErr w:type="spellStart"/>
      <w:r w:rsidR="0029028A">
        <w:rPr>
          <w:lang w:eastAsia="en-GB"/>
        </w:rPr>
        <w:t>Fafinski</w:t>
      </w:r>
      <w:proofErr w:type="spellEnd"/>
      <w:r w:rsidR="0029028A">
        <w:rPr>
          <w:lang w:eastAsia="en-GB"/>
        </w:rPr>
        <w:t xml:space="preserve">, 2019). </w:t>
      </w:r>
      <w:r w:rsidR="0051082F">
        <w:rPr>
          <w:lang w:eastAsia="en-GB"/>
        </w:rPr>
        <w:t xml:space="preserve">Once influence has been established in such a relationship, it is no longer up to the innocent party to prove that a transaction was made under undue influence, but up to the guilty party to prove that the transaction was made voluntarily with no coercion and was previously advised. </w:t>
      </w:r>
      <w:r w:rsidR="0029028A">
        <w:rPr>
          <w:lang w:eastAsia="en-GB"/>
        </w:rPr>
        <w:t>The</w:t>
      </w:r>
      <w:r w:rsidR="007D420C">
        <w:rPr>
          <w:lang w:eastAsia="en-GB"/>
        </w:rPr>
        <w:t xml:space="preserve"> relationship between a husband and wife does not raise a presumption of undue influence within class 2A as per </w:t>
      </w:r>
      <w:r w:rsidR="007D420C">
        <w:rPr>
          <w:i/>
          <w:iCs/>
          <w:lang w:eastAsia="en-GB"/>
        </w:rPr>
        <w:t xml:space="preserve">Midland Bank v Shepherd </w:t>
      </w:r>
      <w:r w:rsidR="007D420C">
        <w:rPr>
          <w:lang w:eastAsia="en-GB"/>
        </w:rPr>
        <w:t xml:space="preserve">(1988), nor does the regulation apply to relationships between employer and employee, as highlighted in </w:t>
      </w:r>
      <w:r w:rsidR="007D420C">
        <w:rPr>
          <w:i/>
          <w:iCs/>
          <w:lang w:eastAsia="en-GB"/>
        </w:rPr>
        <w:t>Matthew v Bobbins</w:t>
      </w:r>
      <w:r w:rsidR="007D420C">
        <w:rPr>
          <w:lang w:eastAsia="en-GB"/>
        </w:rPr>
        <w:t xml:space="preserve"> (1980)</w:t>
      </w:r>
      <w:r w:rsidR="0080005F">
        <w:rPr>
          <w:lang w:eastAsia="en-GB"/>
        </w:rPr>
        <w:t xml:space="preserve">. The majority of cases that have been regarded as being in class 2B are based on an established relationship between a dominant husband and a compliant wife as highlighted in the case of </w:t>
      </w:r>
      <w:r w:rsidR="0080005F">
        <w:rPr>
          <w:i/>
          <w:iCs/>
          <w:lang w:eastAsia="en-GB"/>
        </w:rPr>
        <w:t xml:space="preserve">Leeder v Stevens </w:t>
      </w:r>
      <w:r w:rsidR="0080005F">
        <w:rPr>
          <w:lang w:eastAsia="en-GB"/>
        </w:rPr>
        <w:t>(</w:t>
      </w:r>
      <w:r w:rsidR="00775935">
        <w:rPr>
          <w:lang w:eastAsia="en-GB"/>
        </w:rPr>
        <w:t>2005</w:t>
      </w:r>
      <w:r w:rsidR="0080005F">
        <w:rPr>
          <w:lang w:eastAsia="en-GB"/>
        </w:rPr>
        <w:t xml:space="preserve">). This case highlighted the importance of presumption, the trial judge found no evidence of actual coercion during the </w:t>
      </w:r>
      <w:r w:rsidR="0051082F">
        <w:rPr>
          <w:lang w:eastAsia="en-GB"/>
        </w:rPr>
        <w:t>period</w:t>
      </w:r>
      <w:r w:rsidR="0080005F">
        <w:rPr>
          <w:lang w:eastAsia="en-GB"/>
        </w:rPr>
        <w:t xml:space="preserve"> of the transaction, however</w:t>
      </w:r>
      <w:r w:rsidR="0079230D">
        <w:rPr>
          <w:lang w:eastAsia="en-GB"/>
        </w:rPr>
        <w:t>,</w:t>
      </w:r>
      <w:r w:rsidR="0080005F">
        <w:rPr>
          <w:lang w:eastAsia="en-GB"/>
        </w:rPr>
        <w:t xml:space="preserve"> the Court of Appeal held that this was not relevant. After the relationship had been established, and the transaction was called for explanation, it was up to the man to prove that the woman had entered into the transaction with full knowledge of the consequences, and having been properly advised beforehand </w:t>
      </w:r>
      <w:r w:rsidR="0080005F" w:rsidRPr="0080005F">
        <w:rPr>
          <w:rFonts w:eastAsia="Times New Roman" w:cs="Times New Roman"/>
          <w:color w:val="000000"/>
          <w:shd w:val="clear" w:color="auto" w:fill="FFFFFF"/>
          <w:lang w:eastAsia="en-GB"/>
        </w:rPr>
        <w:t>(</w:t>
      </w:r>
      <w:proofErr w:type="spellStart"/>
      <w:r w:rsidR="0080005F" w:rsidRPr="0080005F">
        <w:rPr>
          <w:rFonts w:eastAsia="Times New Roman" w:cs="Times New Roman"/>
          <w:color w:val="000000"/>
          <w:shd w:val="clear" w:color="auto" w:fill="FFFFFF"/>
          <w:lang w:eastAsia="en-GB"/>
        </w:rPr>
        <w:t>Lawexplores</w:t>
      </w:r>
      <w:proofErr w:type="spellEnd"/>
      <w:r w:rsidR="0080005F" w:rsidRPr="0080005F">
        <w:rPr>
          <w:rFonts w:eastAsia="Times New Roman" w:cs="Times New Roman"/>
          <w:color w:val="000000"/>
          <w:shd w:val="clear" w:color="auto" w:fill="FFFFFF"/>
          <w:lang w:eastAsia="en-GB"/>
        </w:rPr>
        <w:t>, 2016)</w:t>
      </w:r>
      <w:r w:rsidR="0080005F">
        <w:rPr>
          <w:rFonts w:eastAsia="Times New Roman" w:cs="Times New Roman"/>
          <w:color w:val="000000"/>
          <w:shd w:val="clear" w:color="auto" w:fill="FFFFFF"/>
          <w:lang w:eastAsia="en-GB"/>
        </w:rPr>
        <w:t>.</w:t>
      </w:r>
    </w:p>
    <w:p w14:paraId="68987855" w14:textId="3C4D3636" w:rsidR="008432B7" w:rsidRDefault="008432B7" w:rsidP="00E40DCB">
      <w:pPr>
        <w:spacing w:line="360" w:lineRule="auto"/>
        <w:rPr>
          <w:lang w:eastAsia="en-GB"/>
        </w:rPr>
      </w:pPr>
    </w:p>
    <w:p w14:paraId="30B57069" w14:textId="00EF59BA" w:rsidR="008432B7" w:rsidRPr="00801635" w:rsidRDefault="008432B7" w:rsidP="008432B7">
      <w:pPr>
        <w:spacing w:line="360" w:lineRule="auto"/>
        <w:rPr>
          <w:rFonts w:eastAsia="Times New Roman" w:cs="Times New Roman"/>
          <w:lang w:eastAsia="en-GB"/>
        </w:rPr>
      </w:pPr>
      <w:r>
        <w:rPr>
          <w:rFonts w:eastAsia="Times New Roman" w:cs="Times New Roman"/>
          <w:lang w:eastAsia="en-GB"/>
        </w:rPr>
        <w:t xml:space="preserve">Following </w:t>
      </w:r>
      <w:r>
        <w:rPr>
          <w:rFonts w:eastAsia="Times New Roman" w:cs="Times New Roman"/>
          <w:i/>
          <w:iCs/>
          <w:lang w:eastAsia="en-GB"/>
        </w:rPr>
        <w:t xml:space="preserve">Royal Bank of Scotland v </w:t>
      </w:r>
      <w:proofErr w:type="spellStart"/>
      <w:r>
        <w:rPr>
          <w:rFonts w:eastAsia="Times New Roman" w:cs="Times New Roman"/>
          <w:i/>
          <w:iCs/>
          <w:lang w:eastAsia="en-GB"/>
        </w:rPr>
        <w:t>Etridge</w:t>
      </w:r>
      <w:proofErr w:type="spellEnd"/>
      <w:r>
        <w:rPr>
          <w:rFonts w:eastAsia="Times New Roman" w:cs="Times New Roman"/>
          <w:i/>
          <w:iCs/>
          <w:lang w:eastAsia="en-GB"/>
        </w:rPr>
        <w:t xml:space="preserve"> (No.2) </w:t>
      </w:r>
      <w:r>
        <w:rPr>
          <w:rFonts w:eastAsia="Times New Roman" w:cs="Times New Roman"/>
          <w:lang w:eastAsia="en-GB"/>
        </w:rPr>
        <w:t xml:space="preserve">(2001), the House of Lords decided it was best to move away from the rigid obedience to the distinct categories within undue influence and acknowledged that undue influence, no matter the nature, was ultimately a matter of proof regarding the particular facts of each individual case and that presumptions based on relationships were merely a tool of evidence. In practice, they, and their principles, are still referred to and relied upon, despite being subsumed in the overall doctrine of undue influence (legalmortgage.co.uk, 2021). </w:t>
      </w:r>
      <w:r w:rsidR="008A4E1C">
        <w:rPr>
          <w:rFonts w:eastAsia="Times New Roman" w:cs="Times New Roman"/>
          <w:lang w:eastAsia="en-GB"/>
        </w:rPr>
        <w:t>Although these principles are still heavily referred to, this may make it more difficult to give rise to undue influence in a claim, as more reliable proof is now needed to increase the claim’s chance of success.</w:t>
      </w:r>
      <w:r w:rsidR="00801635">
        <w:rPr>
          <w:rFonts w:eastAsia="Times New Roman" w:cs="Times New Roman"/>
          <w:lang w:eastAsia="en-GB"/>
        </w:rPr>
        <w:t xml:space="preserve"> It is arguable that some changes to this doctrine have made it easier to plea undue influence in a court of law, such as the change in the tests for undue influence as established post </w:t>
      </w:r>
      <w:proofErr w:type="spellStart"/>
      <w:r w:rsidR="00801635">
        <w:rPr>
          <w:rFonts w:eastAsia="Times New Roman" w:cs="Times New Roman"/>
          <w:i/>
          <w:iCs/>
          <w:lang w:eastAsia="en-GB"/>
        </w:rPr>
        <w:t>Etridge</w:t>
      </w:r>
      <w:proofErr w:type="spellEnd"/>
      <w:r w:rsidR="00801635">
        <w:rPr>
          <w:rFonts w:eastAsia="Times New Roman" w:cs="Times New Roman"/>
          <w:i/>
          <w:iCs/>
          <w:lang w:eastAsia="en-GB"/>
        </w:rPr>
        <w:t xml:space="preserve"> (no.2) </w:t>
      </w:r>
      <w:r w:rsidR="00801635">
        <w:rPr>
          <w:rFonts w:eastAsia="Times New Roman" w:cs="Times New Roman"/>
          <w:lang w:eastAsia="en-GB"/>
        </w:rPr>
        <w:t>as some requirements are now easier to satisfy</w:t>
      </w:r>
      <w:r w:rsidR="00C43966">
        <w:rPr>
          <w:rFonts w:eastAsia="Times New Roman" w:cs="Times New Roman"/>
          <w:lang w:eastAsia="en-GB"/>
        </w:rPr>
        <w:t>, such as the change from a need of ‘manifest disadvantage’ to the requirement for a transaction to ‘call for an explanation’.</w:t>
      </w:r>
    </w:p>
    <w:p w14:paraId="3BA6398C" w14:textId="77777777" w:rsidR="008432B7" w:rsidRDefault="008432B7" w:rsidP="008432B7">
      <w:pPr>
        <w:spacing w:line="360" w:lineRule="auto"/>
        <w:rPr>
          <w:rFonts w:eastAsia="Times New Roman" w:cs="Times New Roman"/>
          <w:lang w:eastAsia="en-GB"/>
        </w:rPr>
      </w:pPr>
    </w:p>
    <w:p w14:paraId="56BEC319" w14:textId="030841F8" w:rsidR="00891DC0" w:rsidRDefault="008432B7" w:rsidP="00891DC0">
      <w:pPr>
        <w:spacing w:line="360" w:lineRule="auto"/>
        <w:rPr>
          <w:rFonts w:eastAsia="Times New Roman" w:cs="Times New Roman"/>
          <w:lang w:eastAsia="en-GB"/>
        </w:rPr>
      </w:pPr>
      <w:r>
        <w:rPr>
          <w:rFonts w:eastAsia="Times New Roman" w:cs="Times New Roman"/>
          <w:lang w:eastAsia="en-GB"/>
        </w:rPr>
        <w:t xml:space="preserve">A successful plea of undue influence, much like duress, makes the contract in question voidable. The effects of pleading undue influence may be avoided subject to the principles of </w:t>
      </w:r>
      <w:r>
        <w:rPr>
          <w:rFonts w:eastAsia="Times New Roman" w:cs="Times New Roman"/>
          <w:lang w:eastAsia="en-GB"/>
        </w:rPr>
        <w:lastRenderedPageBreak/>
        <w:t xml:space="preserve">restitutio in integrum, however, the claimant may be deprived of an effective remedy if the value of the property has changed as highlighted in </w:t>
      </w:r>
      <w:r>
        <w:rPr>
          <w:rFonts w:eastAsia="Times New Roman" w:cs="Times New Roman"/>
          <w:i/>
          <w:iCs/>
          <w:lang w:eastAsia="en-GB"/>
        </w:rPr>
        <w:t xml:space="preserve">Cheese v Thomas </w:t>
      </w:r>
      <w:r>
        <w:rPr>
          <w:rFonts w:eastAsia="Times New Roman" w:cs="Times New Roman"/>
          <w:lang w:eastAsia="en-GB"/>
        </w:rPr>
        <w:t>(1994) (Turner, 2014).</w:t>
      </w:r>
    </w:p>
    <w:p w14:paraId="6ED76FC7" w14:textId="59E81756" w:rsidR="0051082F" w:rsidRDefault="0051082F" w:rsidP="00891DC0">
      <w:pPr>
        <w:spacing w:line="360" w:lineRule="auto"/>
        <w:rPr>
          <w:rFonts w:eastAsia="Times New Roman" w:cs="Times New Roman"/>
          <w:lang w:eastAsia="en-GB"/>
        </w:rPr>
      </w:pPr>
    </w:p>
    <w:p w14:paraId="75E15511" w14:textId="7F9E5E41" w:rsidR="00F94C38" w:rsidRDefault="0051082F" w:rsidP="00F94C38">
      <w:pPr>
        <w:spacing w:line="360" w:lineRule="auto"/>
        <w:rPr>
          <w:rFonts w:eastAsia="Times New Roman" w:cs="Times New Roman"/>
          <w:lang w:eastAsia="en-GB"/>
        </w:rPr>
      </w:pPr>
      <w:r>
        <w:rPr>
          <w:rFonts w:eastAsia="Times New Roman" w:cs="Times New Roman"/>
          <w:lang w:eastAsia="en-GB"/>
        </w:rPr>
        <w:t xml:space="preserve">It is often argued that duress and undue influence should be merged to create </w:t>
      </w:r>
      <w:r w:rsidR="008A4E1C">
        <w:rPr>
          <w:rFonts w:eastAsia="Times New Roman" w:cs="Times New Roman"/>
          <w:lang w:eastAsia="en-GB"/>
        </w:rPr>
        <w:t>one shared principle of illegitimate pressure. However, after evaluation</w:t>
      </w:r>
      <w:r w:rsidR="0079230D">
        <w:rPr>
          <w:rFonts w:eastAsia="Times New Roman" w:cs="Times New Roman"/>
          <w:lang w:eastAsia="en-GB"/>
        </w:rPr>
        <w:t>,</w:t>
      </w:r>
      <w:r w:rsidR="008A4E1C">
        <w:rPr>
          <w:rFonts w:eastAsia="Times New Roman" w:cs="Times New Roman"/>
          <w:lang w:eastAsia="en-GB"/>
        </w:rPr>
        <w:t xml:space="preserve"> it is apparent that these legal ideas work in different ways. The ways in which the courts hold their rulings differs between the doctrines, especially since there are a number of factors within all principles relating to pressure and influence that are not completely </w:t>
      </w:r>
      <w:r w:rsidR="00801635">
        <w:rPr>
          <w:rFonts w:eastAsia="Times New Roman" w:cs="Times New Roman"/>
          <w:lang w:eastAsia="en-GB"/>
        </w:rPr>
        <w:t>framed and</w:t>
      </w:r>
      <w:r w:rsidR="008A4E1C">
        <w:rPr>
          <w:rFonts w:eastAsia="Times New Roman" w:cs="Times New Roman"/>
          <w:lang w:eastAsia="en-GB"/>
        </w:rPr>
        <w:t xml:space="preserve"> are still being developed in </w:t>
      </w:r>
      <w:r w:rsidR="0079230D">
        <w:rPr>
          <w:rFonts w:eastAsia="Times New Roman" w:cs="Times New Roman"/>
          <w:lang w:eastAsia="en-GB"/>
        </w:rPr>
        <w:t>modern-day</w:t>
      </w:r>
      <w:r w:rsidR="008A4E1C">
        <w:rPr>
          <w:rFonts w:eastAsia="Times New Roman" w:cs="Times New Roman"/>
          <w:lang w:eastAsia="en-GB"/>
        </w:rPr>
        <w:t xml:space="preserve"> law.</w:t>
      </w:r>
    </w:p>
    <w:p w14:paraId="37C287A2" w14:textId="3CDA10F1" w:rsidR="00C5683D" w:rsidRDefault="00C5683D" w:rsidP="00F94C38">
      <w:pPr>
        <w:spacing w:line="360" w:lineRule="auto"/>
        <w:rPr>
          <w:rFonts w:eastAsia="Times New Roman" w:cs="Times New Roman"/>
          <w:i/>
          <w:iCs/>
          <w:lang w:eastAsia="en-GB"/>
        </w:rPr>
      </w:pPr>
    </w:p>
    <w:p w14:paraId="3A14B4CB" w14:textId="4768B234" w:rsidR="00E40DCB" w:rsidRDefault="00E40DCB" w:rsidP="00F94C38">
      <w:pPr>
        <w:spacing w:line="360" w:lineRule="auto"/>
        <w:rPr>
          <w:rFonts w:eastAsia="Times New Roman" w:cs="Times New Roman"/>
          <w:lang w:eastAsia="en-GB"/>
        </w:rPr>
      </w:pPr>
    </w:p>
    <w:p w14:paraId="101FE51D" w14:textId="32A5367E" w:rsidR="00AA7452" w:rsidRDefault="00AA7452" w:rsidP="00F94C38">
      <w:pPr>
        <w:spacing w:line="360" w:lineRule="auto"/>
        <w:rPr>
          <w:rFonts w:eastAsia="Times New Roman" w:cs="Times New Roman"/>
          <w:i/>
          <w:iCs/>
          <w:lang w:eastAsia="en-GB"/>
        </w:rPr>
      </w:pPr>
    </w:p>
    <w:p w14:paraId="07285904" w14:textId="77777777" w:rsidR="00AA7452" w:rsidRPr="00F94C38" w:rsidRDefault="00AA7452" w:rsidP="00F94C38">
      <w:pPr>
        <w:spacing w:line="360" w:lineRule="auto"/>
        <w:rPr>
          <w:rFonts w:eastAsia="Times New Roman" w:cs="Times New Roman"/>
          <w:i/>
          <w:iCs/>
          <w:lang w:eastAsia="en-GB"/>
        </w:rPr>
      </w:pPr>
    </w:p>
    <w:p w14:paraId="3F7AE020" w14:textId="138FA4B8" w:rsidR="00733078" w:rsidRDefault="00733078">
      <w:r>
        <w:br w:type="page"/>
      </w:r>
    </w:p>
    <w:p w14:paraId="3A811EB3" w14:textId="676D8D98" w:rsidR="00733078" w:rsidRDefault="00733078" w:rsidP="00733078">
      <w:pPr>
        <w:pStyle w:val="Heading1"/>
      </w:pPr>
      <w:r>
        <w:lastRenderedPageBreak/>
        <w:t xml:space="preserve">References </w:t>
      </w:r>
    </w:p>
    <w:p w14:paraId="2276451B" w14:textId="77777777" w:rsidR="00BC6947" w:rsidRPr="00C5683D" w:rsidRDefault="00BC6947" w:rsidP="00BC6947">
      <w:pPr>
        <w:spacing w:after="240" w:line="360" w:lineRule="auto"/>
        <w:rPr>
          <w:rFonts w:eastAsia="Times New Roman" w:cs="Times New Roman"/>
          <w:color w:val="000000"/>
          <w:lang w:eastAsia="en-GB"/>
        </w:rPr>
      </w:pPr>
      <w:r w:rsidRPr="00C5683D">
        <w:rPr>
          <w:rFonts w:eastAsia="Times New Roman" w:cs="Times New Roman"/>
          <w:color w:val="000000"/>
          <w:lang w:eastAsia="en-GB"/>
        </w:rPr>
        <w:t>Cambridge Dictionary (2021). </w:t>
      </w:r>
      <w:r w:rsidRPr="00C5683D">
        <w:rPr>
          <w:rFonts w:eastAsia="Times New Roman" w:cs="Times New Roman"/>
          <w:i/>
          <w:iCs/>
          <w:color w:val="000000"/>
          <w:lang w:eastAsia="en-GB"/>
        </w:rPr>
        <w:t>undue influence</w:t>
      </w:r>
      <w:r w:rsidRPr="00C5683D">
        <w:rPr>
          <w:rFonts w:eastAsia="Times New Roman" w:cs="Times New Roman"/>
          <w:color w:val="000000"/>
          <w:lang w:eastAsia="en-GB"/>
        </w:rPr>
        <w:t>. [online] @CambridgeWords. Available at: https://dictionary.cambridge.org/dictionary/english/undue-influence [Accessed 30 Apr. 2021].</w:t>
      </w:r>
    </w:p>
    <w:p w14:paraId="2E45E50A" w14:textId="77777777" w:rsidR="00BC6947" w:rsidRDefault="00BC6947" w:rsidP="00BC6947">
      <w:pPr>
        <w:spacing w:after="240" w:line="360" w:lineRule="auto"/>
        <w:rPr>
          <w:rFonts w:eastAsia="Times New Roman" w:cs="Times New Roman"/>
          <w:color w:val="000000"/>
          <w:lang w:eastAsia="en-GB"/>
        </w:rPr>
      </w:pPr>
      <w:r w:rsidRPr="0001090A">
        <w:rPr>
          <w:rFonts w:eastAsia="Times New Roman" w:cs="Times New Roman"/>
          <w:color w:val="000000"/>
          <w:lang w:eastAsia="en-GB"/>
        </w:rPr>
        <w:t>Dispute Resolution Law Team (2014). </w:t>
      </w:r>
      <w:r w:rsidRPr="0001090A">
        <w:rPr>
          <w:rFonts w:eastAsia="Times New Roman" w:cs="Times New Roman"/>
          <w:i/>
          <w:iCs/>
          <w:color w:val="000000"/>
          <w:lang w:eastAsia="en-GB"/>
        </w:rPr>
        <w:t>Legal Update: The Court of Appeal limits the presumption of undue influence</w:t>
      </w:r>
      <w:r w:rsidRPr="0001090A">
        <w:rPr>
          <w:rFonts w:eastAsia="Times New Roman" w:cs="Times New Roman"/>
          <w:color w:val="000000"/>
          <w:lang w:eastAsia="en-GB"/>
        </w:rPr>
        <w:t>. [online] Kingsleynapley.co.uk. Available at: https://www.kingsleynapley.co.uk/insights/blogs/dispute-resolution-law-blog/legal-update-the-court-of-appeal-limits-the-presumption-of-undue-influence#:~:text=In%20a%20case%20of%20actual,a%20presumption%20of%20undue%20influence. [Accessed 30 Apr. 2021].</w:t>
      </w:r>
    </w:p>
    <w:p w14:paraId="4A708E5E" w14:textId="77777777" w:rsidR="00BC6947" w:rsidRPr="006A0263" w:rsidRDefault="00BC6947" w:rsidP="00BC6947">
      <w:pPr>
        <w:pStyle w:val="NormalWeb"/>
        <w:spacing w:before="0" w:beforeAutospacing="0" w:after="240" w:afterAutospacing="0" w:line="360" w:lineRule="auto"/>
      </w:pPr>
      <w:r>
        <w:rPr>
          <w:color w:val="000000"/>
        </w:rPr>
        <w:t>E-lawresources.co.uk. (2021). </w:t>
      </w:r>
      <w:r>
        <w:rPr>
          <w:i/>
          <w:iCs/>
          <w:color w:val="000000"/>
        </w:rPr>
        <w:t>Duress</w:t>
      </w:r>
      <w:r>
        <w:rPr>
          <w:color w:val="000000"/>
        </w:rPr>
        <w:t>. [online] Available at: http://e-lawresources.co.uk/Duress.php [Accessed 29 Apr. 2021].</w:t>
      </w:r>
    </w:p>
    <w:p w14:paraId="5B128EE7" w14:textId="77777777" w:rsidR="00BC6947" w:rsidRPr="006A0263" w:rsidRDefault="00BC6947" w:rsidP="00BC6947">
      <w:pPr>
        <w:pStyle w:val="NormalWeb"/>
        <w:spacing w:before="0" w:beforeAutospacing="0" w:after="240" w:afterAutospacing="0" w:line="360" w:lineRule="auto"/>
        <w:rPr>
          <w:color w:val="000000"/>
        </w:rPr>
      </w:pPr>
      <w:r>
        <w:t xml:space="preserve">Elliott, C. and Quinn, F. (2017). </w:t>
      </w:r>
      <w:r>
        <w:rPr>
          <w:i/>
          <w:iCs/>
        </w:rPr>
        <w:t>Contract law.</w:t>
      </w:r>
      <w:r>
        <w:t xml:space="preserve"> 11th ed. Harlow: Pearson Education Limited.</w:t>
      </w:r>
    </w:p>
    <w:p w14:paraId="72011D31" w14:textId="77777777" w:rsidR="00BC6947" w:rsidRDefault="00BC6947" w:rsidP="00BC6947">
      <w:pPr>
        <w:pStyle w:val="NormalWeb"/>
        <w:spacing w:before="0" w:beforeAutospacing="0" w:after="240" w:afterAutospacing="0" w:line="360" w:lineRule="auto"/>
      </w:pPr>
      <w:proofErr w:type="spellStart"/>
      <w:r>
        <w:t>Fafinski</w:t>
      </w:r>
      <w:proofErr w:type="spellEnd"/>
      <w:r>
        <w:t xml:space="preserve">, E. (2018). </w:t>
      </w:r>
      <w:r>
        <w:rPr>
          <w:i/>
          <w:iCs/>
        </w:rPr>
        <w:t>LAW EXPRESS: contract law.</w:t>
      </w:r>
      <w:r>
        <w:t xml:space="preserve"> Harlow: Pearson.</w:t>
      </w:r>
    </w:p>
    <w:p w14:paraId="2FC9C282" w14:textId="77777777" w:rsidR="00BC6947" w:rsidRDefault="00BC6947" w:rsidP="00BC6947">
      <w:pPr>
        <w:spacing w:after="240" w:line="360" w:lineRule="auto"/>
        <w:rPr>
          <w:rFonts w:eastAsia="Times New Roman" w:cs="Times New Roman"/>
          <w:lang w:eastAsia="en-GB"/>
        </w:rPr>
      </w:pPr>
      <w:r w:rsidRPr="0029028A">
        <w:rPr>
          <w:rFonts w:eastAsia="Times New Roman" w:cs="Times New Roman"/>
          <w:lang w:eastAsia="en-GB"/>
        </w:rPr>
        <w:t xml:space="preserve">Finch, E. and </w:t>
      </w:r>
      <w:proofErr w:type="spellStart"/>
      <w:r w:rsidRPr="0029028A">
        <w:rPr>
          <w:rFonts w:eastAsia="Times New Roman" w:cs="Times New Roman"/>
          <w:lang w:eastAsia="en-GB"/>
        </w:rPr>
        <w:t>Fafinski</w:t>
      </w:r>
      <w:proofErr w:type="spellEnd"/>
      <w:r w:rsidRPr="0029028A">
        <w:rPr>
          <w:rFonts w:eastAsia="Times New Roman" w:cs="Times New Roman"/>
          <w:lang w:eastAsia="en-GB"/>
        </w:rPr>
        <w:t xml:space="preserve">, S. (2019). </w:t>
      </w:r>
      <w:r w:rsidRPr="0029028A">
        <w:rPr>
          <w:rFonts w:eastAsia="Times New Roman" w:cs="Times New Roman"/>
          <w:i/>
          <w:iCs/>
          <w:lang w:eastAsia="en-GB"/>
        </w:rPr>
        <w:t>LAW EXPRESS: contract law.</w:t>
      </w:r>
      <w:r w:rsidRPr="0029028A">
        <w:rPr>
          <w:rFonts w:eastAsia="Times New Roman" w:cs="Times New Roman"/>
          <w:lang w:eastAsia="en-GB"/>
        </w:rPr>
        <w:t xml:space="preserve"> 6th ed. Harlow: Pearson.</w:t>
      </w:r>
    </w:p>
    <w:p w14:paraId="6A37C9AB" w14:textId="77777777" w:rsidR="00BC6947" w:rsidRDefault="00BC6947" w:rsidP="00BC6947">
      <w:pPr>
        <w:pStyle w:val="NormalWeb"/>
        <w:spacing w:before="0" w:beforeAutospacing="0" w:after="240" w:afterAutospacing="0" w:line="360" w:lineRule="auto"/>
        <w:rPr>
          <w:color w:val="000000"/>
        </w:rPr>
      </w:pPr>
      <w:proofErr w:type="spellStart"/>
      <w:r>
        <w:rPr>
          <w:color w:val="000000"/>
        </w:rPr>
        <w:t>Gowling</w:t>
      </w:r>
      <w:proofErr w:type="spellEnd"/>
      <w:r>
        <w:rPr>
          <w:color w:val="000000"/>
        </w:rPr>
        <w:t xml:space="preserve"> WLG. (2018). </w:t>
      </w:r>
      <w:r>
        <w:rPr>
          <w:i/>
          <w:iCs/>
          <w:color w:val="000000"/>
        </w:rPr>
        <w:t>The Basics: How easy is it to distinguish between rigorous commercial bargaining and economic duress?</w:t>
      </w:r>
      <w:r>
        <w:rPr>
          <w:color w:val="000000"/>
        </w:rPr>
        <w:t xml:space="preserve"> [online] Available at: </w:t>
      </w:r>
      <w:hyperlink r:id="rId10" w:anchor=":~:text=Commercial%20pressure%20exists%20wherever%20one,economic%20duress%20are%20relatively%20rare.&amp;text=Where%20illegitimate%20pressure%20has%20been,for%20economic%20duress%20will%20arise" w:history="1">
        <w:r w:rsidRPr="002E4F08">
          <w:rPr>
            <w:rStyle w:val="Hyperlink"/>
          </w:rPr>
          <w:t>https://gowlingwlg.com/en/insights-resources/articles/2018/the-basics-economic-duress/#:~:text=Commercial%20pressure%20exists%20wherever%20one,economic%20duress%20are%20relatively%20rare.&amp;text=Where%20illegitimate%20pressure%20has%20been,for%20economic%20duress%20will%20arise</w:t>
        </w:r>
      </w:hyperlink>
      <w:r>
        <w:rPr>
          <w:color w:val="000000"/>
        </w:rPr>
        <w:t>. [Accessed 29 Apr. 2021].</w:t>
      </w:r>
    </w:p>
    <w:p w14:paraId="79409A28" w14:textId="77777777" w:rsidR="00BC6947" w:rsidRDefault="00BC6947" w:rsidP="00BC6947">
      <w:pPr>
        <w:spacing w:after="240" w:line="360" w:lineRule="auto"/>
        <w:rPr>
          <w:rFonts w:eastAsia="Times New Roman" w:cs="Times New Roman"/>
          <w:lang w:eastAsia="en-GB"/>
        </w:rPr>
      </w:pPr>
      <w:r w:rsidRPr="00E40DCB">
        <w:rPr>
          <w:rFonts w:eastAsia="Times New Roman" w:cs="Times New Roman"/>
          <w:lang w:eastAsia="en-GB"/>
        </w:rPr>
        <w:t xml:space="preserve">Hamilton, M. (2016). </w:t>
      </w:r>
      <w:r w:rsidRPr="00E40DCB">
        <w:rPr>
          <w:rFonts w:eastAsia="Times New Roman" w:cs="Times New Roman"/>
          <w:i/>
          <w:iCs/>
          <w:lang w:eastAsia="en-GB"/>
        </w:rPr>
        <w:t>Contract law</w:t>
      </w:r>
      <w:r w:rsidRPr="00E40DCB">
        <w:rPr>
          <w:rFonts w:eastAsia="Times New Roman" w:cs="Times New Roman"/>
          <w:lang w:eastAsia="en-GB"/>
        </w:rPr>
        <w:t>. Harlow: Pearson.</w:t>
      </w:r>
    </w:p>
    <w:p w14:paraId="3E66E618" w14:textId="77777777" w:rsidR="00BC6947" w:rsidRDefault="00BC6947" w:rsidP="00BC6947">
      <w:pPr>
        <w:spacing w:after="240" w:line="360" w:lineRule="auto"/>
        <w:rPr>
          <w:rFonts w:eastAsia="Times New Roman" w:cs="Times New Roman"/>
          <w:lang w:eastAsia="en-GB"/>
        </w:rPr>
      </w:pPr>
      <w:r w:rsidRPr="00891DC0">
        <w:rPr>
          <w:rFonts w:eastAsia="Times New Roman" w:cs="Times New Roman"/>
          <w:lang w:eastAsia="en-GB"/>
        </w:rPr>
        <w:t xml:space="preserve">Law, J. and Martin, </w:t>
      </w:r>
      <w:proofErr w:type="spellStart"/>
      <w:r w:rsidRPr="00891DC0">
        <w:rPr>
          <w:rFonts w:eastAsia="Times New Roman" w:cs="Times New Roman"/>
          <w:lang w:eastAsia="en-GB"/>
        </w:rPr>
        <w:t>Elizabeth.A</w:t>
      </w:r>
      <w:proofErr w:type="spellEnd"/>
      <w:r w:rsidRPr="00891DC0">
        <w:rPr>
          <w:rFonts w:eastAsia="Times New Roman" w:cs="Times New Roman"/>
          <w:lang w:eastAsia="en-GB"/>
        </w:rPr>
        <w:t xml:space="preserve">. (2009). </w:t>
      </w:r>
      <w:r w:rsidRPr="00891DC0">
        <w:rPr>
          <w:rFonts w:eastAsia="Times New Roman" w:cs="Times New Roman"/>
          <w:i/>
          <w:iCs/>
          <w:lang w:eastAsia="en-GB"/>
        </w:rPr>
        <w:t>A dictionary of law</w:t>
      </w:r>
      <w:r w:rsidRPr="00891DC0">
        <w:rPr>
          <w:rFonts w:eastAsia="Times New Roman" w:cs="Times New Roman"/>
          <w:lang w:eastAsia="en-GB"/>
        </w:rPr>
        <w:t xml:space="preserve">. [online] </w:t>
      </w:r>
      <w:proofErr w:type="gramStart"/>
      <w:r w:rsidRPr="00891DC0">
        <w:rPr>
          <w:rFonts w:eastAsia="Times New Roman" w:cs="Times New Roman"/>
          <w:lang w:eastAsia="en-GB"/>
        </w:rPr>
        <w:t>Oxford ;</w:t>
      </w:r>
      <w:proofErr w:type="gramEnd"/>
      <w:r w:rsidRPr="00891DC0">
        <w:rPr>
          <w:rFonts w:eastAsia="Times New Roman" w:cs="Times New Roman"/>
          <w:lang w:eastAsia="en-GB"/>
        </w:rPr>
        <w:t xml:space="preserve"> New York: Oxford University Press. Available at: </w:t>
      </w:r>
      <w:hyperlink r:id="rId11" w:history="1">
        <w:r w:rsidRPr="002E4F08">
          <w:rPr>
            <w:rStyle w:val="Hyperlink"/>
            <w:rFonts w:eastAsia="Times New Roman" w:cs="Times New Roman"/>
            <w:lang w:eastAsia="en-GB"/>
          </w:rPr>
          <w:t>https://www.oxfordreference.com/view/10.1093/acref/9780199551248.001.0001/acref-9780199551248</w:t>
        </w:r>
      </w:hyperlink>
      <w:r w:rsidRPr="00891DC0">
        <w:rPr>
          <w:rFonts w:eastAsia="Times New Roman" w:cs="Times New Roman"/>
          <w:lang w:eastAsia="en-GB"/>
        </w:rPr>
        <w:t>.</w:t>
      </w:r>
    </w:p>
    <w:p w14:paraId="0C960069" w14:textId="77777777" w:rsidR="00BC6947" w:rsidRDefault="00BC6947" w:rsidP="00BC6947">
      <w:pPr>
        <w:spacing w:after="240" w:line="360" w:lineRule="auto"/>
        <w:rPr>
          <w:rFonts w:eastAsia="Times New Roman" w:cs="Times New Roman"/>
          <w:color w:val="000000"/>
          <w:lang w:eastAsia="en-GB"/>
        </w:rPr>
      </w:pPr>
      <w:proofErr w:type="spellStart"/>
      <w:r w:rsidRPr="007C1384">
        <w:rPr>
          <w:rFonts w:eastAsia="Times New Roman" w:cs="Times New Roman"/>
          <w:color w:val="000000"/>
          <w:lang w:eastAsia="en-GB"/>
        </w:rPr>
        <w:lastRenderedPageBreak/>
        <w:t>Lawble</w:t>
      </w:r>
      <w:proofErr w:type="spellEnd"/>
      <w:r w:rsidRPr="007C1384">
        <w:rPr>
          <w:rFonts w:eastAsia="Times New Roman" w:cs="Times New Roman"/>
          <w:color w:val="000000"/>
          <w:lang w:eastAsia="en-GB"/>
        </w:rPr>
        <w:t xml:space="preserve"> (2019). </w:t>
      </w:r>
      <w:r w:rsidRPr="007C1384">
        <w:rPr>
          <w:rFonts w:eastAsia="Times New Roman" w:cs="Times New Roman"/>
          <w:i/>
          <w:iCs/>
          <w:color w:val="000000"/>
          <w:lang w:eastAsia="en-GB"/>
        </w:rPr>
        <w:t xml:space="preserve">Duress in Contract Law (What is it? Can I rely on it?) | </w:t>
      </w:r>
      <w:proofErr w:type="spellStart"/>
      <w:r w:rsidRPr="007C1384">
        <w:rPr>
          <w:rFonts w:eastAsia="Times New Roman" w:cs="Times New Roman"/>
          <w:i/>
          <w:iCs/>
          <w:color w:val="000000"/>
          <w:lang w:eastAsia="en-GB"/>
        </w:rPr>
        <w:t>Lawble</w:t>
      </w:r>
      <w:proofErr w:type="spellEnd"/>
      <w:r w:rsidRPr="007C1384">
        <w:rPr>
          <w:rFonts w:eastAsia="Times New Roman" w:cs="Times New Roman"/>
          <w:color w:val="000000"/>
          <w:lang w:eastAsia="en-GB"/>
        </w:rPr>
        <w:t xml:space="preserve">. [online] </w:t>
      </w:r>
      <w:proofErr w:type="spellStart"/>
      <w:r w:rsidRPr="007C1384">
        <w:rPr>
          <w:rFonts w:eastAsia="Times New Roman" w:cs="Times New Roman"/>
          <w:color w:val="000000"/>
          <w:lang w:eastAsia="en-GB"/>
        </w:rPr>
        <w:t>Lawble</w:t>
      </w:r>
      <w:proofErr w:type="spellEnd"/>
      <w:r w:rsidRPr="007C1384">
        <w:rPr>
          <w:rFonts w:eastAsia="Times New Roman" w:cs="Times New Roman"/>
          <w:color w:val="000000"/>
          <w:lang w:eastAsia="en-GB"/>
        </w:rPr>
        <w:t>. Available at: https://www.lawble.co.uk/duress-in-contract-law/ [Accessed 30 Apr. 2021].</w:t>
      </w:r>
    </w:p>
    <w:p w14:paraId="719A7FE1" w14:textId="77777777" w:rsidR="00BC6947" w:rsidRPr="0080005F" w:rsidRDefault="00BC6947" w:rsidP="00BC6947">
      <w:pPr>
        <w:spacing w:after="240" w:line="360" w:lineRule="auto"/>
        <w:rPr>
          <w:rFonts w:eastAsia="Times New Roman" w:cs="Times New Roman"/>
          <w:color w:val="000000"/>
          <w:lang w:eastAsia="en-GB"/>
        </w:rPr>
      </w:pPr>
      <w:proofErr w:type="spellStart"/>
      <w:r w:rsidRPr="0080005F">
        <w:rPr>
          <w:rFonts w:eastAsia="Times New Roman" w:cs="Times New Roman"/>
          <w:color w:val="000000"/>
          <w:lang w:eastAsia="en-GB"/>
        </w:rPr>
        <w:t>Lawexplores</w:t>
      </w:r>
      <w:proofErr w:type="spellEnd"/>
      <w:r w:rsidRPr="0080005F">
        <w:rPr>
          <w:rFonts w:eastAsia="Times New Roman" w:cs="Times New Roman"/>
          <w:color w:val="000000"/>
          <w:lang w:eastAsia="en-GB"/>
        </w:rPr>
        <w:t>. (2016). </w:t>
      </w:r>
      <w:r w:rsidRPr="0080005F">
        <w:rPr>
          <w:rFonts w:eastAsia="Times New Roman" w:cs="Times New Roman"/>
          <w:i/>
          <w:iCs/>
          <w:color w:val="000000"/>
          <w:lang w:eastAsia="en-GB"/>
        </w:rPr>
        <w:t>Undue Influence |</w:t>
      </w:r>
      <w:r w:rsidRPr="0080005F">
        <w:rPr>
          <w:rFonts w:eastAsia="Times New Roman" w:cs="Times New Roman"/>
          <w:color w:val="000000"/>
          <w:lang w:eastAsia="en-GB"/>
        </w:rPr>
        <w:t>. [online] Available at: https://lawexplores.com/undue-influence/ [Accessed 30 Apr. 2021].</w:t>
      </w:r>
    </w:p>
    <w:p w14:paraId="4F28BC5F" w14:textId="77777777" w:rsidR="00BC6947" w:rsidRDefault="00BC6947" w:rsidP="00BC6947">
      <w:pPr>
        <w:spacing w:after="240" w:line="360" w:lineRule="auto"/>
        <w:rPr>
          <w:rFonts w:eastAsia="Times New Roman" w:cs="Times New Roman"/>
          <w:color w:val="000000"/>
          <w:lang w:eastAsia="en-GB"/>
        </w:rPr>
      </w:pPr>
      <w:proofErr w:type="spellStart"/>
      <w:r w:rsidRPr="00C013E9">
        <w:rPr>
          <w:rFonts w:eastAsia="Times New Roman" w:cs="Times New Roman"/>
          <w:color w:val="000000"/>
          <w:lang w:eastAsia="en-GB"/>
        </w:rPr>
        <w:t>Lawteacher</w:t>
      </w:r>
      <w:proofErr w:type="spellEnd"/>
      <w:r>
        <w:rPr>
          <w:rFonts w:eastAsia="Times New Roman" w:cs="Times New Roman"/>
          <w:color w:val="000000"/>
          <w:lang w:eastAsia="en-GB"/>
        </w:rPr>
        <w:t>.</w:t>
      </w:r>
      <w:r w:rsidRPr="00C013E9">
        <w:rPr>
          <w:rFonts w:eastAsia="Times New Roman" w:cs="Times New Roman"/>
          <w:color w:val="000000"/>
          <w:lang w:eastAsia="en-GB"/>
        </w:rPr>
        <w:t xml:space="preserve"> (2019). </w:t>
      </w:r>
      <w:r w:rsidRPr="00C013E9">
        <w:rPr>
          <w:rFonts w:eastAsia="Times New Roman" w:cs="Times New Roman"/>
          <w:i/>
          <w:iCs/>
          <w:color w:val="000000"/>
          <w:lang w:eastAsia="en-GB"/>
        </w:rPr>
        <w:t>Undue Influence Lecture Notes</w:t>
      </w:r>
      <w:r w:rsidRPr="00C013E9">
        <w:rPr>
          <w:rFonts w:eastAsia="Times New Roman" w:cs="Times New Roman"/>
          <w:color w:val="000000"/>
          <w:lang w:eastAsia="en-GB"/>
        </w:rPr>
        <w:t>. [online] Available at: https://www.lawteacher.net/lecture-notes/undue-influence-lecture.php [Accessed 30 Apr. 2021].</w:t>
      </w:r>
    </w:p>
    <w:p w14:paraId="68CF560F" w14:textId="77777777" w:rsidR="00BC6947" w:rsidRPr="00EA42A3" w:rsidRDefault="00BC6947" w:rsidP="00BC6947">
      <w:pPr>
        <w:spacing w:after="240" w:line="360" w:lineRule="auto"/>
        <w:rPr>
          <w:rFonts w:eastAsia="Times New Roman" w:cs="Times New Roman"/>
          <w:color w:val="000000"/>
          <w:lang w:eastAsia="en-GB"/>
        </w:rPr>
      </w:pPr>
      <w:r w:rsidRPr="00EA42A3">
        <w:rPr>
          <w:rFonts w:eastAsia="Times New Roman" w:cs="Times New Roman"/>
          <w:color w:val="000000"/>
          <w:lang w:eastAsia="en-GB"/>
        </w:rPr>
        <w:t>Lawteacher.net. (2019). </w:t>
      </w:r>
      <w:r w:rsidRPr="00EA42A3">
        <w:rPr>
          <w:rFonts w:eastAsia="Times New Roman" w:cs="Times New Roman"/>
          <w:i/>
          <w:iCs/>
          <w:color w:val="000000"/>
          <w:lang w:eastAsia="en-GB"/>
        </w:rPr>
        <w:t xml:space="preserve">Atlas Express v </w:t>
      </w:r>
      <w:proofErr w:type="spellStart"/>
      <w:r w:rsidRPr="00EA42A3">
        <w:rPr>
          <w:rFonts w:eastAsia="Times New Roman" w:cs="Times New Roman"/>
          <w:i/>
          <w:iCs/>
          <w:color w:val="000000"/>
          <w:lang w:eastAsia="en-GB"/>
        </w:rPr>
        <w:t>Kafco</w:t>
      </w:r>
      <w:proofErr w:type="spellEnd"/>
      <w:r w:rsidRPr="00EA42A3">
        <w:rPr>
          <w:rFonts w:eastAsia="Times New Roman" w:cs="Times New Roman"/>
          <w:color w:val="000000"/>
          <w:lang w:eastAsia="en-GB"/>
        </w:rPr>
        <w:t>. [online] Available at: https://www.lawteacher.net/cases/atlas-express-v-kafco.php [Accessed 3 May 2021].</w:t>
      </w:r>
    </w:p>
    <w:p w14:paraId="75257D93" w14:textId="77777777" w:rsidR="00BC6947" w:rsidRDefault="00BC6947" w:rsidP="00BC6947">
      <w:pPr>
        <w:spacing w:after="240" w:line="360" w:lineRule="auto"/>
        <w:rPr>
          <w:rFonts w:eastAsia="Times New Roman" w:cs="Times New Roman"/>
          <w:color w:val="000000"/>
          <w:lang w:eastAsia="en-GB"/>
        </w:rPr>
      </w:pPr>
      <w:r w:rsidRPr="00CB6BB3">
        <w:rPr>
          <w:rFonts w:eastAsia="Times New Roman" w:cs="Times New Roman"/>
          <w:color w:val="000000"/>
          <w:lang w:eastAsia="en-GB"/>
        </w:rPr>
        <w:t>Legalmortgage.co.uk. (2021). </w:t>
      </w:r>
      <w:r w:rsidRPr="00CB6BB3">
        <w:rPr>
          <w:rFonts w:eastAsia="Times New Roman" w:cs="Times New Roman"/>
          <w:i/>
          <w:iCs/>
          <w:color w:val="000000"/>
          <w:lang w:eastAsia="en-GB"/>
        </w:rPr>
        <w:t>www.legalmortgage.co.uk</w:t>
      </w:r>
      <w:r w:rsidRPr="00CB6BB3">
        <w:rPr>
          <w:rFonts w:eastAsia="Times New Roman" w:cs="Times New Roman"/>
          <w:color w:val="000000"/>
          <w:lang w:eastAsia="en-GB"/>
        </w:rPr>
        <w:t>. [online] Available at: https://www.legalmortgage.co.uk/undue-influence [Accessed 30 Apr. 2021].</w:t>
      </w:r>
    </w:p>
    <w:p w14:paraId="3A4F6178" w14:textId="77777777" w:rsidR="00BC6947" w:rsidRDefault="00BC6947" w:rsidP="00BC6947">
      <w:pPr>
        <w:spacing w:after="240" w:line="360" w:lineRule="auto"/>
        <w:rPr>
          <w:rFonts w:eastAsia="Times New Roman" w:cs="Times New Roman"/>
          <w:color w:val="000000"/>
          <w:lang w:eastAsia="en-GB"/>
        </w:rPr>
      </w:pPr>
      <w:r w:rsidRPr="00EA42A3">
        <w:rPr>
          <w:rFonts w:eastAsia="Times New Roman" w:cs="Times New Roman"/>
          <w:color w:val="000000"/>
          <w:lang w:eastAsia="en-GB"/>
        </w:rPr>
        <w:t>Oxford Reference. (2021). </w:t>
      </w:r>
      <w:r w:rsidRPr="00EA42A3">
        <w:rPr>
          <w:rFonts w:eastAsia="Times New Roman" w:cs="Times New Roman"/>
          <w:i/>
          <w:iCs/>
          <w:color w:val="000000"/>
          <w:lang w:eastAsia="en-GB"/>
        </w:rPr>
        <w:t>economic duress</w:t>
      </w:r>
      <w:r w:rsidRPr="00EA42A3">
        <w:rPr>
          <w:rFonts w:eastAsia="Times New Roman" w:cs="Times New Roman"/>
          <w:color w:val="000000"/>
          <w:lang w:eastAsia="en-GB"/>
        </w:rPr>
        <w:t>. [online] Available at: https://www.oxfordreference.com/view/10.1093/oi/authority.20110803095741349 [Accessed 3 May 2021].</w:t>
      </w:r>
    </w:p>
    <w:p w14:paraId="125B162F" w14:textId="77777777" w:rsidR="00BC6947" w:rsidRDefault="00BC6947" w:rsidP="00BC6947">
      <w:pPr>
        <w:pStyle w:val="NormalWeb"/>
        <w:spacing w:before="0" w:beforeAutospacing="0" w:after="240" w:afterAutospacing="0" w:line="360" w:lineRule="auto"/>
      </w:pPr>
      <w:proofErr w:type="spellStart"/>
      <w:r>
        <w:t>Rahnavard</w:t>
      </w:r>
      <w:proofErr w:type="spellEnd"/>
      <w:r>
        <w:t xml:space="preserve">, D. (2014). </w:t>
      </w:r>
      <w:r>
        <w:rPr>
          <w:i/>
          <w:iCs/>
        </w:rPr>
        <w:t>Course Notes: Contract Law</w:t>
      </w:r>
      <w:r>
        <w:t>. New York: Routledge.</w:t>
      </w:r>
    </w:p>
    <w:p w14:paraId="4B6EB788" w14:textId="77777777" w:rsidR="00BC6947" w:rsidRPr="00DC43BA" w:rsidRDefault="00BC6947" w:rsidP="00BC6947">
      <w:pPr>
        <w:spacing w:line="360" w:lineRule="auto"/>
        <w:rPr>
          <w:rFonts w:eastAsia="Times New Roman" w:cs="Times New Roman"/>
          <w:lang w:eastAsia="en-GB"/>
        </w:rPr>
      </w:pPr>
      <w:r>
        <w:t xml:space="preserve">Richards, P. (2019). </w:t>
      </w:r>
      <w:r>
        <w:rPr>
          <w:i/>
          <w:iCs/>
        </w:rPr>
        <w:t xml:space="preserve">Law </w:t>
      </w:r>
      <w:proofErr w:type="gramStart"/>
      <w:r>
        <w:rPr>
          <w:i/>
          <w:iCs/>
        </w:rPr>
        <w:t>Of</w:t>
      </w:r>
      <w:proofErr w:type="gramEnd"/>
      <w:r>
        <w:rPr>
          <w:i/>
          <w:iCs/>
        </w:rPr>
        <w:t xml:space="preserve"> Contract.</w:t>
      </w:r>
      <w:r>
        <w:t xml:space="preserve"> 14th ed. Harlow: Pearson.</w:t>
      </w:r>
    </w:p>
    <w:p w14:paraId="7183A78E" w14:textId="77777777" w:rsidR="00BC6947" w:rsidRDefault="00BC6947" w:rsidP="00BC6947">
      <w:pPr>
        <w:pStyle w:val="NormalWeb"/>
        <w:spacing w:before="0" w:beforeAutospacing="0" w:after="240" w:afterAutospacing="0" w:line="360" w:lineRule="auto"/>
        <w:rPr>
          <w:color w:val="000000"/>
        </w:rPr>
      </w:pPr>
      <w:r>
        <w:rPr>
          <w:color w:val="000000"/>
        </w:rPr>
        <w:t>RPC. (2019). </w:t>
      </w:r>
      <w:r>
        <w:rPr>
          <w:i/>
          <w:iCs/>
          <w:color w:val="000000"/>
        </w:rPr>
        <w:t>Economic duress: when is a threat not an (illegitimate) threat?</w:t>
      </w:r>
      <w:r>
        <w:rPr>
          <w:color w:val="000000"/>
        </w:rPr>
        <w:t xml:space="preserve"> [online] Available at: </w:t>
      </w:r>
      <w:hyperlink r:id="rId12" w:history="1">
        <w:r w:rsidRPr="002E4F08">
          <w:rPr>
            <w:rStyle w:val="Hyperlink"/>
          </w:rPr>
          <w:t>https://www.rpc.co.uk/perspectives/commercial-disputes/economic-duress-when-is-a-threat-not-an-illegitimate-threat/</w:t>
        </w:r>
      </w:hyperlink>
      <w:r>
        <w:rPr>
          <w:color w:val="000000"/>
        </w:rPr>
        <w:t xml:space="preserve"> [Accessed 30 Apr. 2021].</w:t>
      </w:r>
    </w:p>
    <w:p w14:paraId="62BFF9E8" w14:textId="77777777" w:rsidR="00BC6947" w:rsidRDefault="00BC6947" w:rsidP="00BC6947">
      <w:pPr>
        <w:pStyle w:val="NormalWeb"/>
        <w:spacing w:before="0" w:beforeAutospacing="0" w:after="240" w:afterAutospacing="0" w:line="360" w:lineRule="auto"/>
        <w:rPr>
          <w:color w:val="000000"/>
        </w:rPr>
      </w:pPr>
      <w:r>
        <w:rPr>
          <w:color w:val="000000"/>
        </w:rPr>
        <w:t>The National Law Review. (2019). </w:t>
      </w:r>
      <w:r>
        <w:rPr>
          <w:i/>
          <w:iCs/>
          <w:color w:val="000000"/>
        </w:rPr>
        <w:t>But life isn’t fair….</w:t>
      </w:r>
      <w:r>
        <w:rPr>
          <w:color w:val="000000"/>
        </w:rPr>
        <w:t> [online] Available at: https://www.natlawreview.com/article/life-isn-t-fair [Accessed 30 Apr. 2021].</w:t>
      </w:r>
    </w:p>
    <w:p w14:paraId="79E314EA" w14:textId="77777777" w:rsidR="00BC6947" w:rsidRDefault="00BC6947" w:rsidP="00BC6947">
      <w:pPr>
        <w:spacing w:line="360" w:lineRule="auto"/>
        <w:rPr>
          <w:rFonts w:eastAsia="Times New Roman" w:cs="Times New Roman"/>
          <w:lang w:eastAsia="en-GB"/>
        </w:rPr>
      </w:pPr>
      <w:proofErr w:type="spellStart"/>
      <w:r w:rsidRPr="00A06D27">
        <w:rPr>
          <w:rFonts w:eastAsia="Times New Roman" w:cs="Times New Roman"/>
          <w:lang w:eastAsia="en-GB"/>
        </w:rPr>
        <w:t>Treitel</w:t>
      </w:r>
      <w:proofErr w:type="spellEnd"/>
      <w:r w:rsidRPr="00A06D27">
        <w:rPr>
          <w:rFonts w:eastAsia="Times New Roman" w:cs="Times New Roman"/>
          <w:lang w:eastAsia="en-GB"/>
        </w:rPr>
        <w:t xml:space="preserve">, G.H. (1999) </w:t>
      </w:r>
      <w:r w:rsidRPr="00A06D27">
        <w:rPr>
          <w:rFonts w:eastAsia="Times New Roman" w:cs="Times New Roman"/>
          <w:i/>
          <w:iCs/>
          <w:lang w:eastAsia="en-GB"/>
        </w:rPr>
        <w:t>The law of contract</w:t>
      </w:r>
      <w:r w:rsidRPr="00A06D27">
        <w:rPr>
          <w:rFonts w:eastAsia="Times New Roman" w:cs="Times New Roman"/>
          <w:lang w:eastAsia="en-GB"/>
        </w:rPr>
        <w:t>. 10th ed. London: Sweet &amp; Maxwell.</w:t>
      </w:r>
    </w:p>
    <w:p w14:paraId="17A65AD5" w14:textId="77777777" w:rsidR="00BC6947" w:rsidRDefault="00BC6947" w:rsidP="00BC6947">
      <w:pPr>
        <w:pStyle w:val="NormalWeb"/>
        <w:spacing w:before="0" w:beforeAutospacing="0" w:after="240" w:afterAutospacing="0" w:line="360" w:lineRule="auto"/>
      </w:pPr>
      <w:r>
        <w:t xml:space="preserve">Turner, C. (2014). </w:t>
      </w:r>
      <w:r>
        <w:rPr>
          <w:i/>
          <w:iCs/>
        </w:rPr>
        <w:t>Contract law</w:t>
      </w:r>
      <w:r>
        <w:t>. London: Routledge.</w:t>
      </w:r>
    </w:p>
    <w:p w14:paraId="63F760BD" w14:textId="77777777" w:rsidR="00BC6947" w:rsidRDefault="00BC6947" w:rsidP="00BC6947">
      <w:pPr>
        <w:spacing w:after="240" w:line="360" w:lineRule="auto"/>
        <w:rPr>
          <w:rFonts w:eastAsia="Times New Roman" w:cs="Times New Roman"/>
          <w:lang w:eastAsia="en-GB"/>
        </w:rPr>
      </w:pPr>
      <w:r w:rsidRPr="009659D2">
        <w:rPr>
          <w:rFonts w:eastAsia="Times New Roman" w:cs="Times New Roman"/>
          <w:lang w:eastAsia="en-GB"/>
        </w:rPr>
        <w:t xml:space="preserve">Turner, C. (2014). </w:t>
      </w:r>
      <w:r w:rsidRPr="009659D2">
        <w:rPr>
          <w:rFonts w:eastAsia="Times New Roman" w:cs="Times New Roman"/>
          <w:i/>
          <w:iCs/>
          <w:lang w:eastAsia="en-GB"/>
        </w:rPr>
        <w:t>Contract law</w:t>
      </w:r>
      <w:r w:rsidRPr="009659D2">
        <w:rPr>
          <w:rFonts w:eastAsia="Times New Roman" w:cs="Times New Roman"/>
          <w:lang w:eastAsia="en-GB"/>
        </w:rPr>
        <w:t>. London: Routledge.</w:t>
      </w:r>
    </w:p>
    <w:p w14:paraId="709E8B15" w14:textId="0272F7DB" w:rsidR="00EA42A3" w:rsidRPr="00EA42A3" w:rsidRDefault="00EA42A3" w:rsidP="00EA42A3">
      <w:pPr>
        <w:spacing w:before="100" w:beforeAutospacing="1" w:after="100" w:afterAutospacing="1"/>
        <w:rPr>
          <w:rFonts w:eastAsia="Times New Roman" w:cs="Times New Roman"/>
          <w:color w:val="000000"/>
          <w:lang w:eastAsia="en-GB"/>
        </w:rPr>
      </w:pPr>
    </w:p>
    <w:p w14:paraId="51F86E30" w14:textId="17242567" w:rsidR="00C013E9" w:rsidRPr="00C013E9" w:rsidRDefault="00C013E9" w:rsidP="00C013E9">
      <w:pPr>
        <w:spacing w:before="100" w:beforeAutospacing="1" w:after="100" w:afterAutospacing="1"/>
        <w:rPr>
          <w:rFonts w:eastAsia="Times New Roman" w:cs="Times New Roman"/>
          <w:color w:val="000000"/>
          <w:lang w:eastAsia="en-GB"/>
        </w:rPr>
      </w:pPr>
    </w:p>
    <w:p w14:paraId="26D70ACB" w14:textId="593B97C8" w:rsidR="00DC43BA" w:rsidRPr="007D420C" w:rsidRDefault="00DC43BA" w:rsidP="007D420C">
      <w:pPr>
        <w:spacing w:before="100" w:beforeAutospacing="1" w:after="100" w:afterAutospacing="1"/>
        <w:rPr>
          <w:rFonts w:eastAsia="Times New Roman" w:cs="Times New Roman"/>
          <w:color w:val="000000"/>
          <w:lang w:eastAsia="en-GB"/>
        </w:rPr>
      </w:pPr>
    </w:p>
    <w:p w14:paraId="7D62E1DD" w14:textId="3DBF1AA2" w:rsidR="00733078" w:rsidRPr="00733078" w:rsidRDefault="00733078" w:rsidP="00733078">
      <w:pPr>
        <w:pStyle w:val="Heading1"/>
      </w:pPr>
      <w:r>
        <w:t>Cases</w:t>
      </w:r>
    </w:p>
    <w:p w14:paraId="3F047036" w14:textId="0A95D8C3" w:rsidR="00BC6947" w:rsidRDefault="00BC6947" w:rsidP="00BC6947">
      <w:pPr>
        <w:pStyle w:val="NormalWeb"/>
        <w:spacing w:before="0" w:beforeAutospacing="0" w:after="240" w:afterAutospacing="0" w:line="480" w:lineRule="auto"/>
      </w:pPr>
      <w:r w:rsidRPr="00AC2EEC">
        <w:t>“R” v Attorney General for England and Wales (2003)</w:t>
      </w:r>
      <w:r>
        <w:t xml:space="preserve"> UKPC 22</w:t>
      </w:r>
    </w:p>
    <w:p w14:paraId="31A96823" w14:textId="02B985FE" w:rsidR="00BC6947" w:rsidRPr="00AC2EEC" w:rsidRDefault="00BC6947" w:rsidP="00BC6947">
      <w:pPr>
        <w:pStyle w:val="NormalWeb"/>
        <w:spacing w:before="0" w:beforeAutospacing="0" w:after="240" w:afterAutospacing="0" w:line="480" w:lineRule="auto"/>
      </w:pPr>
      <w:r>
        <w:t>Antonio v Antonio EWHC 1199 (QB)</w:t>
      </w:r>
    </w:p>
    <w:p w14:paraId="2851A8A7" w14:textId="77777777" w:rsidR="00BC6947" w:rsidRDefault="00BC6947" w:rsidP="00BC6947">
      <w:pPr>
        <w:spacing w:line="480" w:lineRule="auto"/>
        <w:ind w:left="720" w:hanging="720"/>
        <w:rPr>
          <w:rFonts w:eastAsia="Times New Roman" w:cs="Times New Roman"/>
          <w:lang w:eastAsia="en-GB"/>
        </w:rPr>
      </w:pPr>
      <w:r w:rsidRPr="0021210D">
        <w:rPr>
          <w:rFonts w:eastAsia="Times New Roman" w:cs="Times New Roman"/>
          <w:lang w:eastAsia="en-GB"/>
        </w:rPr>
        <w:t xml:space="preserve">Atlas Express Ltd v </w:t>
      </w:r>
      <w:proofErr w:type="spellStart"/>
      <w:r w:rsidRPr="0021210D">
        <w:rPr>
          <w:rFonts w:eastAsia="Times New Roman" w:cs="Times New Roman"/>
          <w:lang w:eastAsia="en-GB"/>
        </w:rPr>
        <w:t>Kafco</w:t>
      </w:r>
      <w:proofErr w:type="spellEnd"/>
      <w:r w:rsidRPr="0021210D">
        <w:rPr>
          <w:rFonts w:eastAsia="Times New Roman" w:cs="Times New Roman"/>
          <w:lang w:eastAsia="en-GB"/>
        </w:rPr>
        <w:t xml:space="preserve"> (Importers &amp; Distributors) Ltd (1989)</w:t>
      </w:r>
      <w:r>
        <w:rPr>
          <w:rFonts w:eastAsia="Times New Roman" w:cs="Times New Roman"/>
          <w:lang w:eastAsia="en-GB"/>
        </w:rPr>
        <w:t xml:space="preserve"> QB 833</w:t>
      </w:r>
    </w:p>
    <w:p w14:paraId="5FBFCAC2" w14:textId="77777777" w:rsidR="00BC6947" w:rsidRDefault="00BC6947" w:rsidP="00BC6947">
      <w:pPr>
        <w:pStyle w:val="NormalWeb"/>
        <w:spacing w:before="0" w:beforeAutospacing="0" w:after="240" w:afterAutospacing="0" w:line="480" w:lineRule="auto"/>
      </w:pPr>
      <w:r w:rsidRPr="000C73C5">
        <w:t>Bank of Credit and Commerce International SA v Aboody</w:t>
      </w:r>
      <w:r>
        <w:t xml:space="preserve"> (1992) 4 All ER 955</w:t>
      </w:r>
    </w:p>
    <w:p w14:paraId="5BD2683D" w14:textId="77777777" w:rsidR="00BC6947" w:rsidRDefault="00BC6947" w:rsidP="00BC6947">
      <w:pPr>
        <w:spacing w:line="480" w:lineRule="auto"/>
      </w:pPr>
      <w:r>
        <w:t>Barton v Armstrong (1975) UKPC 27</w:t>
      </w:r>
    </w:p>
    <w:p w14:paraId="31F5DE5A" w14:textId="77777777" w:rsidR="00BC6947" w:rsidRDefault="00BC6947" w:rsidP="00BC6947">
      <w:pPr>
        <w:pStyle w:val="NormalWeb"/>
        <w:spacing w:before="0" w:beforeAutospacing="0" w:after="240" w:afterAutospacing="0" w:line="480" w:lineRule="auto"/>
      </w:pPr>
      <w:r w:rsidRPr="00775935">
        <w:t>Cheese v Thomas</w:t>
      </w:r>
      <w:r>
        <w:rPr>
          <w:i/>
          <w:iCs/>
        </w:rPr>
        <w:t xml:space="preserve"> </w:t>
      </w:r>
      <w:r>
        <w:t>(1994) 1 All ER 35</w:t>
      </w:r>
    </w:p>
    <w:p w14:paraId="405FF5A4" w14:textId="77777777" w:rsidR="00BC6947" w:rsidRPr="000C73C5" w:rsidRDefault="00BC6947" w:rsidP="00BC6947">
      <w:pPr>
        <w:pStyle w:val="NormalWeb"/>
        <w:spacing w:before="0" w:beforeAutospacing="0" w:after="240" w:afterAutospacing="0" w:line="480" w:lineRule="auto"/>
      </w:pPr>
      <w:r w:rsidRPr="000C73C5">
        <w:t>CIBC Mortgages v Pitt (1993)</w:t>
      </w:r>
      <w:r>
        <w:t xml:space="preserve"> UKHL 7</w:t>
      </w:r>
    </w:p>
    <w:p w14:paraId="3C5F7157" w14:textId="77777777" w:rsidR="00BC6947" w:rsidRDefault="00BC6947" w:rsidP="00BC6947">
      <w:pPr>
        <w:pStyle w:val="NormalWeb"/>
        <w:spacing w:before="0" w:beforeAutospacing="0" w:after="240" w:afterAutospacing="0" w:line="480" w:lineRule="auto"/>
        <w:rPr>
          <w:color w:val="000000"/>
        </w:rPr>
      </w:pPr>
      <w:r>
        <w:rPr>
          <w:color w:val="000000"/>
        </w:rPr>
        <w:t xml:space="preserve">CTN Cash and Carry Ltd v Gallaher Ltd (1993) EWCA </w:t>
      </w:r>
      <w:proofErr w:type="spellStart"/>
      <w:r>
        <w:rPr>
          <w:color w:val="000000"/>
        </w:rPr>
        <w:t>Civ</w:t>
      </w:r>
      <w:proofErr w:type="spellEnd"/>
      <w:r>
        <w:rPr>
          <w:color w:val="000000"/>
        </w:rPr>
        <w:t xml:space="preserve"> 19</w:t>
      </w:r>
    </w:p>
    <w:p w14:paraId="348BEB80" w14:textId="77777777" w:rsidR="00BC6947" w:rsidRDefault="00BC6947" w:rsidP="00BC6947">
      <w:pPr>
        <w:pStyle w:val="NormalWeb"/>
        <w:spacing w:before="0" w:beforeAutospacing="0" w:after="240" w:afterAutospacing="0" w:line="480" w:lineRule="auto"/>
      </w:pPr>
      <w:r>
        <w:t>Dent v Bennett (1839) 4 My &amp; Cr 269</w:t>
      </w:r>
    </w:p>
    <w:p w14:paraId="76D65F9E" w14:textId="77777777" w:rsidR="00BC6947" w:rsidRDefault="00BC6947" w:rsidP="00BC6947">
      <w:pPr>
        <w:pStyle w:val="NormalWeb"/>
        <w:spacing w:before="0" w:beforeAutospacing="0" w:after="240" w:afterAutospacing="0" w:line="480" w:lineRule="auto"/>
      </w:pPr>
      <w:r>
        <w:t>Lancashire Loans Co v Black (1993) 1 KB 380</w:t>
      </w:r>
    </w:p>
    <w:p w14:paraId="191F339A" w14:textId="77777777" w:rsidR="00BC6947" w:rsidRPr="0080005F" w:rsidRDefault="00BC6947" w:rsidP="00BC6947">
      <w:pPr>
        <w:pStyle w:val="NormalWeb"/>
        <w:spacing w:before="0" w:beforeAutospacing="0" w:after="240" w:afterAutospacing="0" w:line="480" w:lineRule="auto"/>
      </w:pPr>
      <w:r w:rsidRPr="0080005F">
        <w:t>Leeder v Stevens</w:t>
      </w:r>
      <w:r>
        <w:t xml:space="preserve"> (2005) EWCA </w:t>
      </w:r>
      <w:proofErr w:type="spellStart"/>
      <w:r>
        <w:t>Civ</w:t>
      </w:r>
      <w:proofErr w:type="spellEnd"/>
      <w:r>
        <w:t xml:space="preserve"> 50</w:t>
      </w:r>
    </w:p>
    <w:p w14:paraId="5D0B5085" w14:textId="77777777" w:rsidR="00BC6947" w:rsidRPr="004F5458" w:rsidRDefault="00BC6947" w:rsidP="00BC6947">
      <w:pPr>
        <w:spacing w:line="480" w:lineRule="auto"/>
      </w:pPr>
      <w:r>
        <w:rPr>
          <w:rFonts w:eastAsia="Times New Roman" w:cs="Times New Roman"/>
          <w:lang w:eastAsia="en-GB"/>
        </w:rPr>
        <w:t>Maskell v Horner (1915) 3 KB 106</w:t>
      </w:r>
    </w:p>
    <w:p w14:paraId="161CD34A" w14:textId="77777777" w:rsidR="00BC6947" w:rsidRDefault="00BC6947" w:rsidP="00BC6947">
      <w:pPr>
        <w:pStyle w:val="NormalWeb"/>
        <w:spacing w:before="0" w:beforeAutospacing="0" w:after="240" w:afterAutospacing="0" w:line="480" w:lineRule="auto"/>
      </w:pPr>
      <w:r w:rsidRPr="00775935">
        <w:t>Matthew v Bobbins</w:t>
      </w:r>
      <w:r>
        <w:t xml:space="preserve"> (1980) 256 EG 603</w:t>
      </w:r>
    </w:p>
    <w:p w14:paraId="6AE2709B" w14:textId="77777777" w:rsidR="00BC6947" w:rsidRDefault="00BC6947" w:rsidP="00BC6947">
      <w:pPr>
        <w:pStyle w:val="NormalWeb"/>
        <w:spacing w:before="0" w:beforeAutospacing="0" w:after="240" w:afterAutospacing="0" w:line="480" w:lineRule="auto"/>
      </w:pPr>
      <w:r>
        <w:t>Midland Bank v Shepherd (1988) BTLC 395</w:t>
      </w:r>
    </w:p>
    <w:p w14:paraId="0C06E964" w14:textId="77777777" w:rsidR="00BC6947" w:rsidRDefault="00BC6947" w:rsidP="00BC6947">
      <w:pPr>
        <w:pStyle w:val="NormalWeb"/>
        <w:spacing w:before="0" w:beforeAutospacing="0" w:after="240" w:afterAutospacing="0" w:line="480" w:lineRule="auto"/>
      </w:pPr>
      <w:r>
        <w:t>National Westminster Bank plc v Morgan (1985) UKHL 2</w:t>
      </w:r>
    </w:p>
    <w:p w14:paraId="00345735" w14:textId="77777777" w:rsidR="00BC6947" w:rsidRPr="009B5E60" w:rsidRDefault="00BC6947" w:rsidP="00BC6947">
      <w:pPr>
        <w:spacing w:line="480" w:lineRule="auto"/>
      </w:pPr>
      <w:r w:rsidRPr="004F5458">
        <w:rPr>
          <w:rFonts w:eastAsia="Times New Roman" w:cs="Times New Roman"/>
          <w:lang w:eastAsia="en-GB"/>
        </w:rPr>
        <w:t xml:space="preserve">Occidental </w:t>
      </w:r>
      <w:r>
        <w:rPr>
          <w:rFonts w:eastAsia="Times New Roman" w:cs="Times New Roman"/>
          <w:lang w:eastAsia="en-GB"/>
        </w:rPr>
        <w:t>Worldwide</w:t>
      </w:r>
      <w:r w:rsidRPr="004F5458">
        <w:rPr>
          <w:rFonts w:eastAsia="Times New Roman" w:cs="Times New Roman"/>
          <w:lang w:eastAsia="en-GB"/>
        </w:rPr>
        <w:t xml:space="preserve"> Investment Co. v </w:t>
      </w:r>
      <w:proofErr w:type="spellStart"/>
      <w:r w:rsidRPr="004F5458">
        <w:rPr>
          <w:rFonts w:eastAsia="Times New Roman" w:cs="Times New Roman"/>
          <w:lang w:eastAsia="en-GB"/>
        </w:rPr>
        <w:t>Skibs</w:t>
      </w:r>
      <w:proofErr w:type="spellEnd"/>
      <w:r w:rsidRPr="004F5458">
        <w:rPr>
          <w:rFonts w:eastAsia="Times New Roman" w:cs="Times New Roman"/>
          <w:lang w:eastAsia="en-GB"/>
        </w:rPr>
        <w:t xml:space="preserve"> A/S Avanti (The </w:t>
      </w:r>
      <w:proofErr w:type="spellStart"/>
      <w:r w:rsidRPr="004F5458">
        <w:rPr>
          <w:rFonts w:eastAsia="Times New Roman" w:cs="Times New Roman"/>
          <w:lang w:eastAsia="en-GB"/>
        </w:rPr>
        <w:t>Siboen</w:t>
      </w:r>
      <w:proofErr w:type="spellEnd"/>
      <w:r w:rsidRPr="004F5458">
        <w:rPr>
          <w:rFonts w:eastAsia="Times New Roman" w:cs="Times New Roman"/>
          <w:lang w:eastAsia="en-GB"/>
        </w:rPr>
        <w:t xml:space="preserve"> and The </w:t>
      </w:r>
      <w:proofErr w:type="spellStart"/>
      <w:r w:rsidRPr="004F5458">
        <w:rPr>
          <w:rFonts w:eastAsia="Times New Roman" w:cs="Times New Roman"/>
          <w:lang w:eastAsia="en-GB"/>
        </w:rPr>
        <w:t>Sibotre</w:t>
      </w:r>
      <w:proofErr w:type="spellEnd"/>
      <w:r w:rsidRPr="004F5458">
        <w:rPr>
          <w:rFonts w:eastAsia="Times New Roman" w:cs="Times New Roman"/>
          <w:lang w:eastAsia="en-GB"/>
        </w:rPr>
        <w:t>)</w:t>
      </w:r>
      <w:r>
        <w:rPr>
          <w:rFonts w:eastAsia="Times New Roman" w:cs="Times New Roman"/>
          <w:lang w:eastAsia="en-GB"/>
        </w:rPr>
        <w:t xml:space="preserve"> </w:t>
      </w:r>
      <w:r w:rsidRPr="004F5458">
        <w:rPr>
          <w:rFonts w:eastAsia="Times New Roman" w:cs="Times New Roman"/>
          <w:lang w:eastAsia="en-GB"/>
        </w:rPr>
        <w:t>(1976)</w:t>
      </w:r>
      <w:r>
        <w:rPr>
          <w:rFonts w:eastAsia="Times New Roman" w:cs="Times New Roman"/>
          <w:lang w:eastAsia="en-GB"/>
        </w:rPr>
        <w:t xml:space="preserve"> 1 Lloyd’s Rep 293</w:t>
      </w:r>
    </w:p>
    <w:p w14:paraId="7302305E" w14:textId="77777777" w:rsidR="00BC6947" w:rsidRDefault="00BC6947" w:rsidP="00BC6947">
      <w:pPr>
        <w:spacing w:line="480" w:lineRule="auto"/>
      </w:pPr>
      <w:r>
        <w:t xml:space="preserve">Pao on v Lau </w:t>
      </w:r>
      <w:proofErr w:type="spellStart"/>
      <w:r>
        <w:t>yiu</w:t>
      </w:r>
      <w:proofErr w:type="spellEnd"/>
      <w:r>
        <w:t xml:space="preserve"> Long (1979) UKPC 17</w:t>
      </w:r>
    </w:p>
    <w:p w14:paraId="3606751F" w14:textId="77777777" w:rsidR="00BC6947" w:rsidRDefault="00BC6947" w:rsidP="00BC6947">
      <w:pPr>
        <w:pStyle w:val="NormalWeb"/>
        <w:spacing w:before="0" w:beforeAutospacing="0" w:after="240" w:afterAutospacing="0" w:line="480" w:lineRule="auto"/>
        <w:rPr>
          <w:color w:val="000000"/>
        </w:rPr>
      </w:pPr>
      <w:r>
        <w:rPr>
          <w:color w:val="000000"/>
        </w:rPr>
        <w:lastRenderedPageBreak/>
        <w:t>R v Attorney General of England and Wales (2003)‌ UKPC 22</w:t>
      </w:r>
    </w:p>
    <w:p w14:paraId="30C7E893" w14:textId="77777777" w:rsidR="00BC6947" w:rsidRDefault="00BC6947" w:rsidP="00BC6947">
      <w:pPr>
        <w:pStyle w:val="NormalWeb"/>
        <w:spacing w:before="0" w:beforeAutospacing="0" w:after="240" w:afterAutospacing="0" w:line="480" w:lineRule="auto"/>
      </w:pPr>
      <w:r w:rsidRPr="00C5683D">
        <w:t xml:space="preserve">Royal Bank of Scotland v </w:t>
      </w:r>
      <w:proofErr w:type="spellStart"/>
      <w:r w:rsidRPr="00C5683D">
        <w:t>Etridge</w:t>
      </w:r>
      <w:proofErr w:type="spellEnd"/>
      <w:r w:rsidRPr="00C5683D">
        <w:t xml:space="preserve"> (No.2)</w:t>
      </w:r>
      <w:r>
        <w:t xml:space="preserve"> (2001)</w:t>
      </w:r>
      <w:r w:rsidRPr="00C5683D">
        <w:t xml:space="preserve"> </w:t>
      </w:r>
      <w:r>
        <w:t>UKHL 44</w:t>
      </w:r>
    </w:p>
    <w:p w14:paraId="00321FBB" w14:textId="77777777" w:rsidR="00BC6947" w:rsidRDefault="00BC6947" w:rsidP="00BC6947">
      <w:pPr>
        <w:spacing w:line="480" w:lineRule="auto"/>
      </w:pPr>
      <w:proofErr w:type="spellStart"/>
      <w:r>
        <w:t>Skeate</w:t>
      </w:r>
      <w:proofErr w:type="spellEnd"/>
      <w:r>
        <w:t xml:space="preserve"> v Beale (1840) 11 Ad &amp; El 983</w:t>
      </w:r>
    </w:p>
    <w:p w14:paraId="1DF7F19F" w14:textId="77777777" w:rsidR="00BC6947" w:rsidRDefault="00BC6947" w:rsidP="00BC6947">
      <w:pPr>
        <w:spacing w:line="480" w:lineRule="auto"/>
        <w:ind w:left="720" w:hanging="720"/>
        <w:rPr>
          <w:rFonts w:eastAsia="Times New Roman" w:cs="Times New Roman"/>
          <w:lang w:eastAsia="en-GB"/>
        </w:rPr>
      </w:pPr>
      <w:r w:rsidRPr="00187E7F">
        <w:rPr>
          <w:rFonts w:eastAsia="Times New Roman" w:cs="Times New Roman"/>
          <w:lang w:eastAsia="en-GB"/>
        </w:rPr>
        <w:t>Times Travel (UK) Ltd v Pakistan International Airlines Corporation (2019)</w:t>
      </w:r>
      <w:r>
        <w:rPr>
          <w:rFonts w:eastAsia="Times New Roman" w:cs="Times New Roman"/>
          <w:lang w:eastAsia="en-GB"/>
        </w:rPr>
        <w:t xml:space="preserve"> EWVA </w:t>
      </w:r>
      <w:proofErr w:type="spellStart"/>
      <w:r>
        <w:rPr>
          <w:rFonts w:eastAsia="Times New Roman" w:cs="Times New Roman"/>
          <w:lang w:eastAsia="en-GB"/>
        </w:rPr>
        <w:t>Civ</w:t>
      </w:r>
      <w:proofErr w:type="spellEnd"/>
      <w:r>
        <w:rPr>
          <w:rFonts w:eastAsia="Times New Roman" w:cs="Times New Roman"/>
          <w:lang w:eastAsia="en-GB"/>
        </w:rPr>
        <w:t xml:space="preserve"> 828</w:t>
      </w:r>
    </w:p>
    <w:p w14:paraId="4BFD2C71" w14:textId="77777777" w:rsidR="00BC6947" w:rsidRDefault="00BC6947" w:rsidP="00BC6947">
      <w:pPr>
        <w:spacing w:line="480" w:lineRule="auto"/>
        <w:rPr>
          <w:rFonts w:eastAsia="Times New Roman" w:cs="Times New Roman"/>
          <w:lang w:eastAsia="en-GB"/>
        </w:rPr>
      </w:pPr>
      <w:r w:rsidRPr="00946C1B">
        <w:rPr>
          <w:rFonts w:eastAsia="Times New Roman" w:cs="Times New Roman"/>
          <w:lang w:eastAsia="en-GB"/>
        </w:rPr>
        <w:t>Universal Tankships v International Transport Workers Federation (The Universal Sentinel) (1983)</w:t>
      </w:r>
      <w:r>
        <w:rPr>
          <w:rFonts w:eastAsia="Times New Roman" w:cs="Times New Roman"/>
          <w:lang w:eastAsia="en-GB"/>
        </w:rPr>
        <w:t xml:space="preserve"> 2 All ER 67</w:t>
      </w:r>
    </w:p>
    <w:p w14:paraId="4A9EBE72" w14:textId="77777777" w:rsidR="00BC6947" w:rsidRDefault="00BC6947" w:rsidP="00BC6947">
      <w:pPr>
        <w:pStyle w:val="NormalWeb"/>
        <w:spacing w:before="0" w:beforeAutospacing="0" w:after="240" w:afterAutospacing="0" w:line="480" w:lineRule="auto"/>
        <w:rPr>
          <w:color w:val="000000"/>
        </w:rPr>
      </w:pPr>
      <w:r>
        <w:rPr>
          <w:color w:val="000000"/>
        </w:rPr>
        <w:t>Williams v Bayley (1866) LR 1 HL 200</w:t>
      </w:r>
    </w:p>
    <w:p w14:paraId="46FCFB9F" w14:textId="77777777" w:rsidR="00BC6947" w:rsidRDefault="00BC6947" w:rsidP="00BC6947">
      <w:pPr>
        <w:pStyle w:val="NormalWeb"/>
        <w:spacing w:before="0" w:beforeAutospacing="0" w:after="240" w:afterAutospacing="0" w:line="480" w:lineRule="auto"/>
      </w:pPr>
      <w:r>
        <w:t>Wright v Carter (1903) 1 Ch 27</w:t>
      </w:r>
    </w:p>
    <w:p w14:paraId="7AB9364D" w14:textId="77777777" w:rsidR="009659D2" w:rsidRPr="000C73C5" w:rsidRDefault="009659D2" w:rsidP="0062200E">
      <w:pPr>
        <w:pStyle w:val="NormalWeb"/>
        <w:spacing w:before="0" w:beforeAutospacing="0" w:after="240" w:afterAutospacing="0" w:line="480" w:lineRule="auto"/>
        <w:rPr>
          <w:color w:val="000000"/>
        </w:rPr>
      </w:pPr>
    </w:p>
    <w:p w14:paraId="203883D2" w14:textId="77777777" w:rsidR="006E17DD" w:rsidRDefault="006E17DD" w:rsidP="006E17DD">
      <w:pPr>
        <w:pStyle w:val="NormalWeb"/>
        <w:spacing w:before="0" w:beforeAutospacing="0" w:after="240" w:afterAutospacing="0" w:line="480" w:lineRule="auto"/>
        <w:rPr>
          <w:color w:val="000000"/>
        </w:rPr>
      </w:pPr>
    </w:p>
    <w:p w14:paraId="0590EF6B" w14:textId="77777777" w:rsidR="006E17DD" w:rsidRPr="00187E7F" w:rsidRDefault="006E17DD" w:rsidP="0021210D">
      <w:pPr>
        <w:spacing w:line="360" w:lineRule="auto"/>
        <w:ind w:left="720" w:hanging="720"/>
        <w:rPr>
          <w:rFonts w:eastAsia="Times New Roman" w:cs="Times New Roman"/>
          <w:lang w:eastAsia="en-GB"/>
        </w:rPr>
      </w:pPr>
    </w:p>
    <w:p w14:paraId="745DF9F1" w14:textId="77777777" w:rsidR="0021210D" w:rsidRPr="00946C1B" w:rsidRDefault="0021210D" w:rsidP="009B5E60">
      <w:pPr>
        <w:spacing w:line="480" w:lineRule="auto"/>
      </w:pPr>
    </w:p>
    <w:sectPr w:rsidR="0021210D" w:rsidRPr="00946C1B" w:rsidSect="006935DE">
      <w:headerReference w:type="default"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5305EE" w14:textId="77777777" w:rsidR="00801635" w:rsidRDefault="00801635" w:rsidP="006935DE">
      <w:r>
        <w:separator/>
      </w:r>
    </w:p>
  </w:endnote>
  <w:endnote w:type="continuationSeparator" w:id="0">
    <w:p w14:paraId="103CCCB1" w14:textId="77777777" w:rsidR="00801635" w:rsidRDefault="00801635" w:rsidP="006935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B1804" w14:textId="74584E09" w:rsidR="00801635" w:rsidRDefault="00801635">
    <w:pPr>
      <w:pStyle w:val="Footer"/>
    </w:pPr>
    <w:r>
      <w:t>Rebecca Steele</w:t>
    </w:r>
    <w:r>
      <w:tab/>
    </w:r>
    <w:r>
      <w:tab/>
      <w:t>Contract Law</w:t>
    </w:r>
  </w:p>
  <w:p w14:paraId="34C5390B" w14:textId="06F9D1F6" w:rsidR="00801635" w:rsidRDefault="00801635">
    <w:pPr>
      <w:pStyle w:val="Footer"/>
    </w:pPr>
    <w:r>
      <w:t>1902180</w:t>
    </w:r>
    <w:r>
      <w:tab/>
    </w:r>
    <w:r>
      <w:tab/>
      <w:t>BMLW5006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D973A0" w14:textId="77777777" w:rsidR="00801635" w:rsidRDefault="00801635" w:rsidP="006935DE">
      <w:r>
        <w:separator/>
      </w:r>
    </w:p>
  </w:footnote>
  <w:footnote w:type="continuationSeparator" w:id="0">
    <w:p w14:paraId="40F7E76B" w14:textId="77777777" w:rsidR="00801635" w:rsidRDefault="00801635" w:rsidP="006935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780DB" w14:textId="7ABA2DD4" w:rsidR="00801635" w:rsidRDefault="00801635">
    <w:pPr>
      <w:pStyle w:val="Header"/>
    </w:pPr>
    <w:r>
      <w:rPr>
        <w:noProof/>
      </w:rPr>
      <w:drawing>
        <wp:anchor distT="0" distB="0" distL="114300" distR="114300" simplePos="0" relativeHeight="251658240" behindDoc="0" locked="0" layoutInCell="1" allowOverlap="1" wp14:anchorId="5D47C81B" wp14:editId="25D4AC72">
          <wp:simplePos x="0" y="0"/>
          <wp:positionH relativeFrom="column">
            <wp:posOffset>-585788</wp:posOffset>
          </wp:positionH>
          <wp:positionV relativeFrom="paragraph">
            <wp:posOffset>-249872</wp:posOffset>
          </wp:positionV>
          <wp:extent cx="1809050" cy="600075"/>
          <wp:effectExtent l="0" t="0" r="0" b="0"/>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809050" cy="600075"/>
                  </a:xfrm>
                  <a:prstGeom prst="rect">
                    <a:avLst/>
                  </a:prstGeom>
                </pic:spPr>
              </pic:pic>
            </a:graphicData>
          </a:graphic>
          <wp14:sizeRelH relativeFrom="page">
            <wp14:pctWidth>0</wp14:pctWidth>
          </wp14:sizeRelH>
          <wp14:sizeRelV relativeFrom="page">
            <wp14:pctHeight>0</wp14:pctHeight>
          </wp14:sizeRelV>
        </wp:anchor>
      </w:drawing>
    </w:r>
    <w:r>
      <w:tab/>
    </w:r>
    <w:r>
      <w:tab/>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86020"/>
    <w:multiLevelType w:val="hybridMultilevel"/>
    <w:tmpl w:val="9C3AC300"/>
    <w:lvl w:ilvl="0" w:tplc="0BF89856">
      <w:start w:val="5"/>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8357EF"/>
    <w:multiLevelType w:val="hybridMultilevel"/>
    <w:tmpl w:val="565442B4"/>
    <w:lvl w:ilvl="0" w:tplc="D72E97F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6A"/>
    <w:rsid w:val="0001090A"/>
    <w:rsid w:val="00077E4D"/>
    <w:rsid w:val="00083714"/>
    <w:rsid w:val="000C73C5"/>
    <w:rsid w:val="001338A7"/>
    <w:rsid w:val="00187E7F"/>
    <w:rsid w:val="001978C6"/>
    <w:rsid w:val="0021210D"/>
    <w:rsid w:val="00243F7D"/>
    <w:rsid w:val="00276591"/>
    <w:rsid w:val="0029028A"/>
    <w:rsid w:val="002A59EF"/>
    <w:rsid w:val="003D5235"/>
    <w:rsid w:val="004165E4"/>
    <w:rsid w:val="00463D26"/>
    <w:rsid w:val="004B31D0"/>
    <w:rsid w:val="004F5458"/>
    <w:rsid w:val="0051082F"/>
    <w:rsid w:val="00527CFB"/>
    <w:rsid w:val="005F43B9"/>
    <w:rsid w:val="0062200E"/>
    <w:rsid w:val="006935DE"/>
    <w:rsid w:val="00697F21"/>
    <w:rsid w:val="006A0263"/>
    <w:rsid w:val="006C7EFB"/>
    <w:rsid w:val="006E17DD"/>
    <w:rsid w:val="0071195D"/>
    <w:rsid w:val="00733078"/>
    <w:rsid w:val="00766F23"/>
    <w:rsid w:val="00775935"/>
    <w:rsid w:val="0079230D"/>
    <w:rsid w:val="007C1384"/>
    <w:rsid w:val="007D420C"/>
    <w:rsid w:val="007D5EE3"/>
    <w:rsid w:val="0080005F"/>
    <w:rsid w:val="00801635"/>
    <w:rsid w:val="008432B7"/>
    <w:rsid w:val="00891DC0"/>
    <w:rsid w:val="008A4E1C"/>
    <w:rsid w:val="008F1ACE"/>
    <w:rsid w:val="00901D7B"/>
    <w:rsid w:val="00915F47"/>
    <w:rsid w:val="00940B6A"/>
    <w:rsid w:val="00946C1B"/>
    <w:rsid w:val="009659D2"/>
    <w:rsid w:val="009B5E60"/>
    <w:rsid w:val="009C318A"/>
    <w:rsid w:val="00A05E28"/>
    <w:rsid w:val="00A107CB"/>
    <w:rsid w:val="00A324E3"/>
    <w:rsid w:val="00AA7452"/>
    <w:rsid w:val="00AC2EEC"/>
    <w:rsid w:val="00B24121"/>
    <w:rsid w:val="00B83B9C"/>
    <w:rsid w:val="00BC6947"/>
    <w:rsid w:val="00C013E9"/>
    <w:rsid w:val="00C43966"/>
    <w:rsid w:val="00C525E8"/>
    <w:rsid w:val="00C5683D"/>
    <w:rsid w:val="00CB6BB3"/>
    <w:rsid w:val="00CD66C6"/>
    <w:rsid w:val="00D26BA2"/>
    <w:rsid w:val="00D325F4"/>
    <w:rsid w:val="00D45119"/>
    <w:rsid w:val="00DB178C"/>
    <w:rsid w:val="00DC43BA"/>
    <w:rsid w:val="00DE726B"/>
    <w:rsid w:val="00E1786A"/>
    <w:rsid w:val="00E40DCB"/>
    <w:rsid w:val="00E471A1"/>
    <w:rsid w:val="00E76211"/>
    <w:rsid w:val="00EA42A3"/>
    <w:rsid w:val="00F77DCD"/>
    <w:rsid w:val="00F94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88386B2"/>
  <w15:chartTrackingRefBased/>
  <w15:docId w15:val="{FCA00B75-B698-B04C-A13E-3AA2C7076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B9C"/>
    <w:rPr>
      <w:rFonts w:ascii="Times New Roman" w:hAnsi="Times New Roman"/>
    </w:rPr>
  </w:style>
  <w:style w:type="paragraph" w:styleId="Heading1">
    <w:name w:val="heading 1"/>
    <w:basedOn w:val="Normal"/>
    <w:next w:val="Normal"/>
    <w:link w:val="Heading1Char"/>
    <w:uiPriority w:val="9"/>
    <w:qFormat/>
    <w:rsid w:val="00B83B9C"/>
    <w:pPr>
      <w:keepNext/>
      <w:keepLines/>
      <w:spacing w:before="240"/>
      <w:outlineLvl w:val="0"/>
    </w:pPr>
    <w:rPr>
      <w:rFonts w:eastAsiaTheme="majorEastAsia" w:cstheme="majorBidi"/>
      <w:color w:val="30678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35DE"/>
    <w:rPr>
      <w:rFonts w:eastAsiaTheme="minorEastAsia"/>
      <w:sz w:val="22"/>
      <w:szCs w:val="22"/>
      <w:lang w:val="en-US" w:eastAsia="zh-CN"/>
    </w:rPr>
  </w:style>
  <w:style w:type="character" w:customStyle="1" w:styleId="NoSpacingChar">
    <w:name w:val="No Spacing Char"/>
    <w:basedOn w:val="DefaultParagraphFont"/>
    <w:link w:val="NoSpacing"/>
    <w:uiPriority w:val="1"/>
    <w:rsid w:val="006935DE"/>
    <w:rPr>
      <w:rFonts w:eastAsiaTheme="minorEastAsia"/>
      <w:sz w:val="22"/>
      <w:szCs w:val="22"/>
      <w:lang w:val="en-US" w:eastAsia="zh-CN"/>
    </w:rPr>
  </w:style>
  <w:style w:type="paragraph" w:styleId="Header">
    <w:name w:val="header"/>
    <w:basedOn w:val="Normal"/>
    <w:link w:val="HeaderChar"/>
    <w:uiPriority w:val="99"/>
    <w:unhideWhenUsed/>
    <w:rsid w:val="006935DE"/>
    <w:pPr>
      <w:tabs>
        <w:tab w:val="center" w:pos="4513"/>
        <w:tab w:val="right" w:pos="9026"/>
      </w:tabs>
    </w:pPr>
  </w:style>
  <w:style w:type="character" w:customStyle="1" w:styleId="HeaderChar">
    <w:name w:val="Header Char"/>
    <w:basedOn w:val="DefaultParagraphFont"/>
    <w:link w:val="Header"/>
    <w:uiPriority w:val="99"/>
    <w:rsid w:val="006935DE"/>
  </w:style>
  <w:style w:type="paragraph" w:styleId="Footer">
    <w:name w:val="footer"/>
    <w:basedOn w:val="Normal"/>
    <w:link w:val="FooterChar"/>
    <w:uiPriority w:val="99"/>
    <w:unhideWhenUsed/>
    <w:rsid w:val="006935DE"/>
    <w:pPr>
      <w:tabs>
        <w:tab w:val="center" w:pos="4513"/>
        <w:tab w:val="right" w:pos="9026"/>
      </w:tabs>
    </w:pPr>
  </w:style>
  <w:style w:type="character" w:customStyle="1" w:styleId="FooterChar">
    <w:name w:val="Footer Char"/>
    <w:basedOn w:val="DefaultParagraphFont"/>
    <w:link w:val="Footer"/>
    <w:uiPriority w:val="99"/>
    <w:rsid w:val="006935DE"/>
  </w:style>
  <w:style w:type="character" w:customStyle="1" w:styleId="Heading1Char">
    <w:name w:val="Heading 1 Char"/>
    <w:basedOn w:val="DefaultParagraphFont"/>
    <w:link w:val="Heading1"/>
    <w:uiPriority w:val="9"/>
    <w:rsid w:val="00B83B9C"/>
    <w:rPr>
      <w:rFonts w:ascii="Times New Roman" w:eastAsiaTheme="majorEastAsia" w:hAnsi="Times New Roman" w:cstheme="majorBidi"/>
      <w:color w:val="306785" w:themeColor="accent1" w:themeShade="BF"/>
      <w:sz w:val="32"/>
      <w:szCs w:val="32"/>
    </w:rPr>
  </w:style>
  <w:style w:type="paragraph" w:styleId="ListParagraph">
    <w:name w:val="List Paragraph"/>
    <w:basedOn w:val="Normal"/>
    <w:uiPriority w:val="34"/>
    <w:qFormat/>
    <w:rsid w:val="00E1786A"/>
    <w:pPr>
      <w:ind w:left="720"/>
      <w:contextualSpacing/>
    </w:pPr>
  </w:style>
  <w:style w:type="paragraph" w:styleId="NormalWeb">
    <w:name w:val="Normal (Web)"/>
    <w:basedOn w:val="Normal"/>
    <w:uiPriority w:val="99"/>
    <w:unhideWhenUsed/>
    <w:rsid w:val="006C7EFB"/>
    <w:pPr>
      <w:spacing w:before="100" w:beforeAutospacing="1" w:after="100" w:afterAutospacing="1"/>
    </w:pPr>
    <w:rPr>
      <w:rFonts w:eastAsia="Times New Roman" w:cs="Times New Roman"/>
      <w:lang w:eastAsia="en-GB"/>
    </w:rPr>
  </w:style>
  <w:style w:type="character" w:styleId="Hyperlink">
    <w:name w:val="Hyperlink"/>
    <w:basedOn w:val="DefaultParagraphFont"/>
    <w:uiPriority w:val="99"/>
    <w:unhideWhenUsed/>
    <w:rsid w:val="00C5683D"/>
    <w:rPr>
      <w:color w:val="F59E00" w:themeColor="hyperlink"/>
      <w:u w:val="single"/>
    </w:rPr>
  </w:style>
  <w:style w:type="character" w:styleId="UnresolvedMention">
    <w:name w:val="Unresolved Mention"/>
    <w:basedOn w:val="DefaultParagraphFont"/>
    <w:uiPriority w:val="99"/>
    <w:semiHidden/>
    <w:unhideWhenUsed/>
    <w:rsid w:val="00C568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19780">
      <w:bodyDiv w:val="1"/>
      <w:marLeft w:val="0"/>
      <w:marRight w:val="0"/>
      <w:marTop w:val="0"/>
      <w:marBottom w:val="0"/>
      <w:divBdr>
        <w:top w:val="none" w:sz="0" w:space="0" w:color="auto"/>
        <w:left w:val="none" w:sz="0" w:space="0" w:color="auto"/>
        <w:bottom w:val="none" w:sz="0" w:space="0" w:color="auto"/>
        <w:right w:val="none" w:sz="0" w:space="0" w:color="auto"/>
      </w:divBdr>
    </w:div>
    <w:div w:id="195898129">
      <w:bodyDiv w:val="1"/>
      <w:marLeft w:val="0"/>
      <w:marRight w:val="0"/>
      <w:marTop w:val="0"/>
      <w:marBottom w:val="0"/>
      <w:divBdr>
        <w:top w:val="none" w:sz="0" w:space="0" w:color="auto"/>
        <w:left w:val="none" w:sz="0" w:space="0" w:color="auto"/>
        <w:bottom w:val="none" w:sz="0" w:space="0" w:color="auto"/>
        <w:right w:val="none" w:sz="0" w:space="0" w:color="auto"/>
      </w:divBdr>
    </w:div>
    <w:div w:id="246892239">
      <w:bodyDiv w:val="1"/>
      <w:marLeft w:val="0"/>
      <w:marRight w:val="0"/>
      <w:marTop w:val="0"/>
      <w:marBottom w:val="0"/>
      <w:divBdr>
        <w:top w:val="none" w:sz="0" w:space="0" w:color="auto"/>
        <w:left w:val="none" w:sz="0" w:space="0" w:color="auto"/>
        <w:bottom w:val="none" w:sz="0" w:space="0" w:color="auto"/>
        <w:right w:val="none" w:sz="0" w:space="0" w:color="auto"/>
      </w:divBdr>
    </w:div>
    <w:div w:id="388573980">
      <w:bodyDiv w:val="1"/>
      <w:marLeft w:val="0"/>
      <w:marRight w:val="0"/>
      <w:marTop w:val="0"/>
      <w:marBottom w:val="0"/>
      <w:divBdr>
        <w:top w:val="none" w:sz="0" w:space="0" w:color="auto"/>
        <w:left w:val="none" w:sz="0" w:space="0" w:color="auto"/>
        <w:bottom w:val="none" w:sz="0" w:space="0" w:color="auto"/>
        <w:right w:val="none" w:sz="0" w:space="0" w:color="auto"/>
      </w:divBdr>
      <w:divsChild>
        <w:div w:id="1723361852">
          <w:marLeft w:val="0"/>
          <w:marRight w:val="0"/>
          <w:marTop w:val="0"/>
          <w:marBottom w:val="0"/>
          <w:divBdr>
            <w:top w:val="none" w:sz="0" w:space="0" w:color="auto"/>
            <w:left w:val="none" w:sz="0" w:space="0" w:color="auto"/>
            <w:bottom w:val="none" w:sz="0" w:space="0" w:color="auto"/>
            <w:right w:val="none" w:sz="0" w:space="0" w:color="auto"/>
          </w:divBdr>
        </w:div>
      </w:divsChild>
    </w:div>
    <w:div w:id="465391744">
      <w:bodyDiv w:val="1"/>
      <w:marLeft w:val="0"/>
      <w:marRight w:val="0"/>
      <w:marTop w:val="0"/>
      <w:marBottom w:val="0"/>
      <w:divBdr>
        <w:top w:val="none" w:sz="0" w:space="0" w:color="auto"/>
        <w:left w:val="none" w:sz="0" w:space="0" w:color="auto"/>
        <w:bottom w:val="none" w:sz="0" w:space="0" w:color="auto"/>
        <w:right w:val="none" w:sz="0" w:space="0" w:color="auto"/>
      </w:divBdr>
    </w:div>
    <w:div w:id="469516348">
      <w:bodyDiv w:val="1"/>
      <w:marLeft w:val="0"/>
      <w:marRight w:val="0"/>
      <w:marTop w:val="0"/>
      <w:marBottom w:val="0"/>
      <w:divBdr>
        <w:top w:val="none" w:sz="0" w:space="0" w:color="auto"/>
        <w:left w:val="none" w:sz="0" w:space="0" w:color="auto"/>
        <w:bottom w:val="none" w:sz="0" w:space="0" w:color="auto"/>
        <w:right w:val="none" w:sz="0" w:space="0" w:color="auto"/>
      </w:divBdr>
      <w:divsChild>
        <w:div w:id="969164262">
          <w:marLeft w:val="0"/>
          <w:marRight w:val="0"/>
          <w:marTop w:val="0"/>
          <w:marBottom w:val="0"/>
          <w:divBdr>
            <w:top w:val="none" w:sz="0" w:space="0" w:color="auto"/>
            <w:left w:val="none" w:sz="0" w:space="0" w:color="auto"/>
            <w:bottom w:val="none" w:sz="0" w:space="0" w:color="auto"/>
            <w:right w:val="none" w:sz="0" w:space="0" w:color="auto"/>
          </w:divBdr>
        </w:div>
      </w:divsChild>
    </w:div>
    <w:div w:id="636495027">
      <w:bodyDiv w:val="1"/>
      <w:marLeft w:val="0"/>
      <w:marRight w:val="0"/>
      <w:marTop w:val="0"/>
      <w:marBottom w:val="0"/>
      <w:divBdr>
        <w:top w:val="none" w:sz="0" w:space="0" w:color="auto"/>
        <w:left w:val="none" w:sz="0" w:space="0" w:color="auto"/>
        <w:bottom w:val="none" w:sz="0" w:space="0" w:color="auto"/>
        <w:right w:val="none" w:sz="0" w:space="0" w:color="auto"/>
      </w:divBdr>
    </w:div>
    <w:div w:id="655841385">
      <w:bodyDiv w:val="1"/>
      <w:marLeft w:val="0"/>
      <w:marRight w:val="0"/>
      <w:marTop w:val="0"/>
      <w:marBottom w:val="0"/>
      <w:divBdr>
        <w:top w:val="none" w:sz="0" w:space="0" w:color="auto"/>
        <w:left w:val="none" w:sz="0" w:space="0" w:color="auto"/>
        <w:bottom w:val="none" w:sz="0" w:space="0" w:color="auto"/>
        <w:right w:val="none" w:sz="0" w:space="0" w:color="auto"/>
      </w:divBdr>
    </w:div>
    <w:div w:id="673918262">
      <w:bodyDiv w:val="1"/>
      <w:marLeft w:val="0"/>
      <w:marRight w:val="0"/>
      <w:marTop w:val="0"/>
      <w:marBottom w:val="0"/>
      <w:divBdr>
        <w:top w:val="none" w:sz="0" w:space="0" w:color="auto"/>
        <w:left w:val="none" w:sz="0" w:space="0" w:color="auto"/>
        <w:bottom w:val="none" w:sz="0" w:space="0" w:color="auto"/>
        <w:right w:val="none" w:sz="0" w:space="0" w:color="auto"/>
      </w:divBdr>
      <w:divsChild>
        <w:div w:id="1862429294">
          <w:marLeft w:val="0"/>
          <w:marRight w:val="0"/>
          <w:marTop w:val="0"/>
          <w:marBottom w:val="0"/>
          <w:divBdr>
            <w:top w:val="none" w:sz="0" w:space="0" w:color="auto"/>
            <w:left w:val="none" w:sz="0" w:space="0" w:color="auto"/>
            <w:bottom w:val="none" w:sz="0" w:space="0" w:color="auto"/>
            <w:right w:val="none" w:sz="0" w:space="0" w:color="auto"/>
          </w:divBdr>
        </w:div>
      </w:divsChild>
    </w:div>
    <w:div w:id="681589555">
      <w:bodyDiv w:val="1"/>
      <w:marLeft w:val="0"/>
      <w:marRight w:val="0"/>
      <w:marTop w:val="0"/>
      <w:marBottom w:val="0"/>
      <w:divBdr>
        <w:top w:val="none" w:sz="0" w:space="0" w:color="auto"/>
        <w:left w:val="none" w:sz="0" w:space="0" w:color="auto"/>
        <w:bottom w:val="none" w:sz="0" w:space="0" w:color="auto"/>
        <w:right w:val="none" w:sz="0" w:space="0" w:color="auto"/>
      </w:divBdr>
    </w:div>
    <w:div w:id="930240954">
      <w:bodyDiv w:val="1"/>
      <w:marLeft w:val="0"/>
      <w:marRight w:val="0"/>
      <w:marTop w:val="0"/>
      <w:marBottom w:val="0"/>
      <w:divBdr>
        <w:top w:val="none" w:sz="0" w:space="0" w:color="auto"/>
        <w:left w:val="none" w:sz="0" w:space="0" w:color="auto"/>
        <w:bottom w:val="none" w:sz="0" w:space="0" w:color="auto"/>
        <w:right w:val="none" w:sz="0" w:space="0" w:color="auto"/>
      </w:divBdr>
      <w:divsChild>
        <w:div w:id="956060055">
          <w:marLeft w:val="0"/>
          <w:marRight w:val="0"/>
          <w:marTop w:val="0"/>
          <w:marBottom w:val="0"/>
          <w:divBdr>
            <w:top w:val="none" w:sz="0" w:space="0" w:color="auto"/>
            <w:left w:val="none" w:sz="0" w:space="0" w:color="auto"/>
            <w:bottom w:val="none" w:sz="0" w:space="0" w:color="auto"/>
            <w:right w:val="none" w:sz="0" w:space="0" w:color="auto"/>
          </w:divBdr>
        </w:div>
      </w:divsChild>
    </w:div>
    <w:div w:id="1031881223">
      <w:bodyDiv w:val="1"/>
      <w:marLeft w:val="0"/>
      <w:marRight w:val="0"/>
      <w:marTop w:val="0"/>
      <w:marBottom w:val="0"/>
      <w:divBdr>
        <w:top w:val="none" w:sz="0" w:space="0" w:color="auto"/>
        <w:left w:val="none" w:sz="0" w:space="0" w:color="auto"/>
        <w:bottom w:val="none" w:sz="0" w:space="0" w:color="auto"/>
        <w:right w:val="none" w:sz="0" w:space="0" w:color="auto"/>
      </w:divBdr>
      <w:divsChild>
        <w:div w:id="613294361">
          <w:marLeft w:val="0"/>
          <w:marRight w:val="0"/>
          <w:marTop w:val="0"/>
          <w:marBottom w:val="0"/>
          <w:divBdr>
            <w:top w:val="none" w:sz="0" w:space="0" w:color="auto"/>
            <w:left w:val="none" w:sz="0" w:space="0" w:color="auto"/>
            <w:bottom w:val="none" w:sz="0" w:space="0" w:color="auto"/>
            <w:right w:val="none" w:sz="0" w:space="0" w:color="auto"/>
          </w:divBdr>
        </w:div>
      </w:divsChild>
    </w:div>
    <w:div w:id="1034770247">
      <w:bodyDiv w:val="1"/>
      <w:marLeft w:val="0"/>
      <w:marRight w:val="0"/>
      <w:marTop w:val="0"/>
      <w:marBottom w:val="0"/>
      <w:divBdr>
        <w:top w:val="none" w:sz="0" w:space="0" w:color="auto"/>
        <w:left w:val="none" w:sz="0" w:space="0" w:color="auto"/>
        <w:bottom w:val="none" w:sz="0" w:space="0" w:color="auto"/>
        <w:right w:val="none" w:sz="0" w:space="0" w:color="auto"/>
      </w:divBdr>
    </w:div>
    <w:div w:id="1108431494">
      <w:bodyDiv w:val="1"/>
      <w:marLeft w:val="0"/>
      <w:marRight w:val="0"/>
      <w:marTop w:val="0"/>
      <w:marBottom w:val="0"/>
      <w:divBdr>
        <w:top w:val="none" w:sz="0" w:space="0" w:color="auto"/>
        <w:left w:val="none" w:sz="0" w:space="0" w:color="auto"/>
        <w:bottom w:val="none" w:sz="0" w:space="0" w:color="auto"/>
        <w:right w:val="none" w:sz="0" w:space="0" w:color="auto"/>
      </w:divBdr>
      <w:divsChild>
        <w:div w:id="2045014222">
          <w:marLeft w:val="0"/>
          <w:marRight w:val="0"/>
          <w:marTop w:val="0"/>
          <w:marBottom w:val="0"/>
          <w:divBdr>
            <w:top w:val="none" w:sz="0" w:space="0" w:color="auto"/>
            <w:left w:val="none" w:sz="0" w:space="0" w:color="auto"/>
            <w:bottom w:val="none" w:sz="0" w:space="0" w:color="auto"/>
            <w:right w:val="none" w:sz="0" w:space="0" w:color="auto"/>
          </w:divBdr>
        </w:div>
      </w:divsChild>
    </w:div>
    <w:div w:id="1212890026">
      <w:bodyDiv w:val="1"/>
      <w:marLeft w:val="0"/>
      <w:marRight w:val="0"/>
      <w:marTop w:val="0"/>
      <w:marBottom w:val="0"/>
      <w:divBdr>
        <w:top w:val="none" w:sz="0" w:space="0" w:color="auto"/>
        <w:left w:val="none" w:sz="0" w:space="0" w:color="auto"/>
        <w:bottom w:val="none" w:sz="0" w:space="0" w:color="auto"/>
        <w:right w:val="none" w:sz="0" w:space="0" w:color="auto"/>
      </w:divBdr>
      <w:divsChild>
        <w:div w:id="458765427">
          <w:marLeft w:val="0"/>
          <w:marRight w:val="0"/>
          <w:marTop w:val="0"/>
          <w:marBottom w:val="0"/>
          <w:divBdr>
            <w:top w:val="none" w:sz="0" w:space="0" w:color="auto"/>
            <w:left w:val="none" w:sz="0" w:space="0" w:color="auto"/>
            <w:bottom w:val="none" w:sz="0" w:space="0" w:color="auto"/>
            <w:right w:val="none" w:sz="0" w:space="0" w:color="auto"/>
          </w:divBdr>
        </w:div>
      </w:divsChild>
    </w:div>
    <w:div w:id="1305964805">
      <w:bodyDiv w:val="1"/>
      <w:marLeft w:val="0"/>
      <w:marRight w:val="0"/>
      <w:marTop w:val="0"/>
      <w:marBottom w:val="0"/>
      <w:divBdr>
        <w:top w:val="none" w:sz="0" w:space="0" w:color="auto"/>
        <w:left w:val="none" w:sz="0" w:space="0" w:color="auto"/>
        <w:bottom w:val="none" w:sz="0" w:space="0" w:color="auto"/>
        <w:right w:val="none" w:sz="0" w:space="0" w:color="auto"/>
      </w:divBdr>
    </w:div>
    <w:div w:id="1396780565">
      <w:bodyDiv w:val="1"/>
      <w:marLeft w:val="0"/>
      <w:marRight w:val="0"/>
      <w:marTop w:val="0"/>
      <w:marBottom w:val="0"/>
      <w:divBdr>
        <w:top w:val="none" w:sz="0" w:space="0" w:color="auto"/>
        <w:left w:val="none" w:sz="0" w:space="0" w:color="auto"/>
        <w:bottom w:val="none" w:sz="0" w:space="0" w:color="auto"/>
        <w:right w:val="none" w:sz="0" w:space="0" w:color="auto"/>
      </w:divBdr>
    </w:div>
    <w:div w:id="1417509471">
      <w:bodyDiv w:val="1"/>
      <w:marLeft w:val="0"/>
      <w:marRight w:val="0"/>
      <w:marTop w:val="0"/>
      <w:marBottom w:val="0"/>
      <w:divBdr>
        <w:top w:val="none" w:sz="0" w:space="0" w:color="auto"/>
        <w:left w:val="none" w:sz="0" w:space="0" w:color="auto"/>
        <w:bottom w:val="none" w:sz="0" w:space="0" w:color="auto"/>
        <w:right w:val="none" w:sz="0" w:space="0" w:color="auto"/>
      </w:divBdr>
      <w:divsChild>
        <w:div w:id="256716639">
          <w:marLeft w:val="0"/>
          <w:marRight w:val="0"/>
          <w:marTop w:val="0"/>
          <w:marBottom w:val="0"/>
          <w:divBdr>
            <w:top w:val="none" w:sz="0" w:space="0" w:color="auto"/>
            <w:left w:val="none" w:sz="0" w:space="0" w:color="auto"/>
            <w:bottom w:val="none" w:sz="0" w:space="0" w:color="auto"/>
            <w:right w:val="none" w:sz="0" w:space="0" w:color="auto"/>
          </w:divBdr>
        </w:div>
      </w:divsChild>
    </w:div>
    <w:div w:id="1451242948">
      <w:bodyDiv w:val="1"/>
      <w:marLeft w:val="0"/>
      <w:marRight w:val="0"/>
      <w:marTop w:val="0"/>
      <w:marBottom w:val="0"/>
      <w:divBdr>
        <w:top w:val="none" w:sz="0" w:space="0" w:color="auto"/>
        <w:left w:val="none" w:sz="0" w:space="0" w:color="auto"/>
        <w:bottom w:val="none" w:sz="0" w:space="0" w:color="auto"/>
        <w:right w:val="none" w:sz="0" w:space="0" w:color="auto"/>
      </w:divBdr>
    </w:div>
    <w:div w:id="1726415851">
      <w:bodyDiv w:val="1"/>
      <w:marLeft w:val="0"/>
      <w:marRight w:val="0"/>
      <w:marTop w:val="0"/>
      <w:marBottom w:val="0"/>
      <w:divBdr>
        <w:top w:val="none" w:sz="0" w:space="0" w:color="auto"/>
        <w:left w:val="none" w:sz="0" w:space="0" w:color="auto"/>
        <w:bottom w:val="none" w:sz="0" w:space="0" w:color="auto"/>
        <w:right w:val="none" w:sz="0" w:space="0" w:color="auto"/>
      </w:divBdr>
    </w:div>
    <w:div w:id="1765422798">
      <w:bodyDiv w:val="1"/>
      <w:marLeft w:val="0"/>
      <w:marRight w:val="0"/>
      <w:marTop w:val="0"/>
      <w:marBottom w:val="0"/>
      <w:divBdr>
        <w:top w:val="none" w:sz="0" w:space="0" w:color="auto"/>
        <w:left w:val="none" w:sz="0" w:space="0" w:color="auto"/>
        <w:bottom w:val="none" w:sz="0" w:space="0" w:color="auto"/>
        <w:right w:val="none" w:sz="0" w:space="0" w:color="auto"/>
      </w:divBdr>
    </w:div>
    <w:div w:id="2002853505">
      <w:bodyDiv w:val="1"/>
      <w:marLeft w:val="0"/>
      <w:marRight w:val="0"/>
      <w:marTop w:val="0"/>
      <w:marBottom w:val="0"/>
      <w:divBdr>
        <w:top w:val="none" w:sz="0" w:space="0" w:color="auto"/>
        <w:left w:val="none" w:sz="0" w:space="0" w:color="auto"/>
        <w:bottom w:val="none" w:sz="0" w:space="0" w:color="auto"/>
        <w:right w:val="none" w:sz="0" w:space="0" w:color="auto"/>
      </w:divBdr>
    </w:div>
    <w:div w:id="2011062374">
      <w:bodyDiv w:val="1"/>
      <w:marLeft w:val="0"/>
      <w:marRight w:val="0"/>
      <w:marTop w:val="0"/>
      <w:marBottom w:val="0"/>
      <w:divBdr>
        <w:top w:val="none" w:sz="0" w:space="0" w:color="auto"/>
        <w:left w:val="none" w:sz="0" w:space="0" w:color="auto"/>
        <w:bottom w:val="none" w:sz="0" w:space="0" w:color="auto"/>
        <w:right w:val="none" w:sz="0" w:space="0" w:color="auto"/>
      </w:divBdr>
      <w:divsChild>
        <w:div w:id="1299141247">
          <w:marLeft w:val="0"/>
          <w:marRight w:val="0"/>
          <w:marTop w:val="0"/>
          <w:marBottom w:val="0"/>
          <w:divBdr>
            <w:top w:val="none" w:sz="0" w:space="0" w:color="auto"/>
            <w:left w:val="none" w:sz="0" w:space="0" w:color="auto"/>
            <w:bottom w:val="none" w:sz="0" w:space="0" w:color="auto"/>
            <w:right w:val="none" w:sz="0" w:space="0" w:color="auto"/>
          </w:divBdr>
        </w:div>
      </w:divsChild>
    </w:div>
    <w:div w:id="213759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pc.co.uk/perspectives/commercial-disputes/economic-duress-when-is-a-threat-not-an-illegitimate-threa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xfordreference.com/view/10.1093/acref/9780199551248.001.0001/acref-978019955124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gowlingwlg.com/en/insights-resources/articles/2018/the-basics-economic-dures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beccasteele/Library/Group%20Containers/UBF8T346G9.Office/User%20Content.localized/Templates.localized/Assignment%20Template.dotx" TargetMode="Externa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076BC3-A706-0241-8D44-28EDD6374622}">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Assignment Template.dotx</Template>
  <TotalTime>135</TotalTime>
  <Pages>12</Pages>
  <Words>3296</Words>
  <Characters>18793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ASSESSMENT 2
Contract Law BMLW5006</vt:lpstr>
    </vt:vector>
  </TitlesOfParts>
  <Company/>
  <LinksUpToDate>false</LinksUpToDate>
  <CharactersWithSpaces>22045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Contract Law BMLW5006</dc:title>
  <dc:subject>Rebecca Steele 1902180</dc:subject>
  <dc:creator>Rebecca Steele (1902180)</dc:creator>
  <cp:keywords/>
  <dc:description/>
  <cp:lastModifiedBy>Rebecca Jayne Steele (1902180)</cp:lastModifiedBy>
  <cp:revision>10</cp:revision>
  <dcterms:created xsi:type="dcterms:W3CDTF">2021-04-30T10:02:00Z</dcterms:created>
  <dcterms:modified xsi:type="dcterms:W3CDTF">2021-05-06T10:15:00Z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documentId_3588</vt:lpwstr>
  </property>
  <property fmtid="{D5CDD505-2E9C-101B-9397-08002B2CF9AE}" pid="3" name="grammarly_documentContext">
    <vt:lpwstr>{"goals":[],"domain":"general","emotions":[],"dialect":"american"}</vt:lpwstr>
  </property>
</Properties>
</file>