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294A2" w14:textId="77777777" w:rsidR="00192846" w:rsidRPr="001D1201" w:rsidRDefault="00192846" w:rsidP="00192846">
      <w:pPr>
        <w:spacing w:line="360" w:lineRule="auto"/>
        <w:jc w:val="both"/>
        <w:rPr>
          <w:rFonts w:ascii="Arial" w:hAnsi="Arial" w:cs="Arial"/>
          <w:sz w:val="22"/>
          <w:szCs w:val="22"/>
        </w:rPr>
      </w:pPr>
    </w:p>
    <w:p w14:paraId="71F442BB" w14:textId="77777777" w:rsidR="00192846" w:rsidRPr="001D1201" w:rsidRDefault="00192846" w:rsidP="00192846">
      <w:pPr>
        <w:spacing w:line="360" w:lineRule="auto"/>
        <w:jc w:val="both"/>
        <w:rPr>
          <w:rFonts w:ascii="Arial" w:hAnsi="Arial" w:cs="Arial"/>
          <w:sz w:val="22"/>
          <w:szCs w:val="22"/>
        </w:rPr>
      </w:pPr>
    </w:p>
    <w:p w14:paraId="1AC99730" w14:textId="77777777" w:rsidR="00192846" w:rsidRPr="001D1201" w:rsidRDefault="00192846" w:rsidP="00192846">
      <w:pPr>
        <w:spacing w:line="360" w:lineRule="auto"/>
        <w:jc w:val="both"/>
        <w:rPr>
          <w:rFonts w:ascii="Arial" w:hAnsi="Arial" w:cs="Arial"/>
          <w:sz w:val="22"/>
          <w:szCs w:val="22"/>
        </w:rPr>
      </w:pPr>
    </w:p>
    <w:p w14:paraId="6F5CB3A1" w14:textId="77777777" w:rsidR="00192846" w:rsidRPr="001D1201" w:rsidRDefault="00192846" w:rsidP="00192846">
      <w:pPr>
        <w:spacing w:line="360" w:lineRule="auto"/>
        <w:jc w:val="both"/>
        <w:rPr>
          <w:rFonts w:ascii="Arial" w:hAnsi="Arial" w:cs="Arial"/>
          <w:sz w:val="22"/>
          <w:szCs w:val="22"/>
        </w:rPr>
      </w:pPr>
    </w:p>
    <w:p w14:paraId="40C4C0A3" w14:textId="77777777" w:rsidR="00192846" w:rsidRPr="001D1201" w:rsidRDefault="00192846" w:rsidP="00192846">
      <w:pPr>
        <w:spacing w:line="360" w:lineRule="auto"/>
        <w:jc w:val="both"/>
        <w:rPr>
          <w:rFonts w:ascii="Arial" w:hAnsi="Arial" w:cs="Arial"/>
          <w:sz w:val="22"/>
          <w:szCs w:val="22"/>
        </w:rPr>
      </w:pPr>
    </w:p>
    <w:p w14:paraId="5E7DBD50" w14:textId="77777777" w:rsidR="00192846" w:rsidRPr="001D1201" w:rsidRDefault="00192846" w:rsidP="00192846">
      <w:pPr>
        <w:spacing w:line="360" w:lineRule="auto"/>
        <w:jc w:val="both"/>
        <w:rPr>
          <w:rFonts w:ascii="Arial" w:hAnsi="Arial" w:cs="Arial"/>
          <w:sz w:val="22"/>
          <w:szCs w:val="22"/>
        </w:rPr>
      </w:pPr>
    </w:p>
    <w:p w14:paraId="2F2C8533" w14:textId="77777777" w:rsidR="00192846" w:rsidRPr="001D1201" w:rsidRDefault="00192846" w:rsidP="00192846">
      <w:pPr>
        <w:spacing w:line="360" w:lineRule="auto"/>
        <w:jc w:val="both"/>
        <w:rPr>
          <w:rFonts w:ascii="Arial" w:hAnsi="Arial" w:cs="Arial"/>
          <w:sz w:val="22"/>
          <w:szCs w:val="22"/>
        </w:rPr>
      </w:pPr>
    </w:p>
    <w:p w14:paraId="63F809A4" w14:textId="77777777" w:rsidR="00192846" w:rsidRPr="001D1201" w:rsidRDefault="00192846" w:rsidP="00192846">
      <w:pPr>
        <w:spacing w:line="360" w:lineRule="auto"/>
        <w:jc w:val="both"/>
        <w:rPr>
          <w:rFonts w:ascii="Arial" w:hAnsi="Arial" w:cs="Arial"/>
          <w:sz w:val="22"/>
          <w:szCs w:val="22"/>
        </w:rPr>
      </w:pPr>
    </w:p>
    <w:p w14:paraId="59E59D6E" w14:textId="77777777" w:rsidR="00192846" w:rsidRPr="001D1201" w:rsidRDefault="00192846" w:rsidP="00192846">
      <w:pPr>
        <w:spacing w:line="360" w:lineRule="auto"/>
        <w:jc w:val="both"/>
        <w:rPr>
          <w:rFonts w:ascii="Arial" w:hAnsi="Arial" w:cs="Arial"/>
          <w:sz w:val="22"/>
          <w:szCs w:val="22"/>
        </w:rPr>
      </w:pPr>
    </w:p>
    <w:p w14:paraId="0D188AD8" w14:textId="77777777" w:rsidR="00192846" w:rsidRPr="001D1201" w:rsidRDefault="00192846" w:rsidP="00192846">
      <w:pPr>
        <w:spacing w:line="360" w:lineRule="auto"/>
        <w:jc w:val="both"/>
        <w:rPr>
          <w:rFonts w:ascii="Arial" w:hAnsi="Arial" w:cs="Arial"/>
          <w:sz w:val="22"/>
          <w:szCs w:val="22"/>
        </w:rPr>
      </w:pPr>
    </w:p>
    <w:p w14:paraId="0A9815EC" w14:textId="268E512A" w:rsidR="00192846" w:rsidRPr="001D1201" w:rsidRDefault="00192846" w:rsidP="00192846">
      <w:pPr>
        <w:spacing w:line="360" w:lineRule="auto"/>
        <w:jc w:val="center"/>
        <w:rPr>
          <w:rFonts w:ascii="Arial" w:hAnsi="Arial" w:cs="Arial"/>
          <w:sz w:val="22"/>
          <w:szCs w:val="22"/>
        </w:rPr>
      </w:pPr>
      <w:r w:rsidRPr="001D1201">
        <w:rPr>
          <w:rFonts w:ascii="Arial" w:hAnsi="Arial" w:cs="Arial"/>
          <w:sz w:val="22"/>
          <w:szCs w:val="22"/>
        </w:rPr>
        <w:t>Student Name</w:t>
      </w:r>
      <w:r w:rsidR="0069057F">
        <w:rPr>
          <w:rFonts w:ascii="Arial" w:hAnsi="Arial" w:cs="Arial"/>
          <w:sz w:val="22"/>
          <w:szCs w:val="22"/>
        </w:rPr>
        <w:t>: Valentino Fernando</w:t>
      </w:r>
    </w:p>
    <w:p w14:paraId="1A1B8722" w14:textId="480A2E81" w:rsidR="00192846" w:rsidRPr="001D1201" w:rsidRDefault="00192846" w:rsidP="00192846">
      <w:pPr>
        <w:spacing w:line="360" w:lineRule="auto"/>
        <w:jc w:val="center"/>
        <w:rPr>
          <w:rFonts w:ascii="Arial" w:hAnsi="Arial" w:cs="Arial"/>
          <w:sz w:val="22"/>
          <w:szCs w:val="22"/>
        </w:rPr>
      </w:pPr>
      <w:r w:rsidRPr="001D1201">
        <w:rPr>
          <w:rFonts w:ascii="Arial" w:hAnsi="Arial" w:cs="Arial"/>
          <w:sz w:val="22"/>
          <w:szCs w:val="22"/>
        </w:rPr>
        <w:t>Student ID</w:t>
      </w:r>
      <w:r w:rsidR="0069057F">
        <w:rPr>
          <w:rFonts w:ascii="Arial" w:hAnsi="Arial" w:cs="Arial"/>
          <w:sz w:val="22"/>
          <w:szCs w:val="22"/>
        </w:rPr>
        <w:t>:2532545</w:t>
      </w:r>
    </w:p>
    <w:p w14:paraId="4753465F" w14:textId="422A899D" w:rsidR="00192846" w:rsidRPr="001D1201" w:rsidRDefault="00192846" w:rsidP="00192846">
      <w:pPr>
        <w:spacing w:line="360" w:lineRule="auto"/>
        <w:jc w:val="center"/>
        <w:rPr>
          <w:rFonts w:ascii="Arial" w:hAnsi="Arial" w:cs="Arial"/>
          <w:sz w:val="22"/>
          <w:szCs w:val="22"/>
        </w:rPr>
      </w:pPr>
      <w:r w:rsidRPr="001D1201">
        <w:rPr>
          <w:rFonts w:ascii="Arial" w:hAnsi="Arial" w:cs="Arial"/>
          <w:sz w:val="22"/>
          <w:szCs w:val="22"/>
        </w:rPr>
        <w:t xml:space="preserve">Module </w:t>
      </w:r>
      <w:r w:rsidR="0069057F" w:rsidRPr="001D1201">
        <w:rPr>
          <w:rFonts w:ascii="Arial" w:hAnsi="Arial" w:cs="Arial"/>
          <w:sz w:val="22"/>
          <w:szCs w:val="22"/>
        </w:rPr>
        <w:t>Code</w:t>
      </w:r>
      <w:r w:rsidR="0069057F">
        <w:rPr>
          <w:rFonts w:ascii="Arial" w:hAnsi="Arial" w:cs="Arial"/>
          <w:sz w:val="22"/>
          <w:szCs w:val="22"/>
        </w:rPr>
        <w:t>: LCHS4003</w:t>
      </w:r>
    </w:p>
    <w:p w14:paraId="57B930A9" w14:textId="4DE5BA09" w:rsidR="00192846" w:rsidRDefault="00192846" w:rsidP="00192846">
      <w:pPr>
        <w:spacing w:line="360" w:lineRule="auto"/>
        <w:jc w:val="center"/>
        <w:rPr>
          <w:rFonts w:ascii="Arial" w:hAnsi="Arial" w:cs="Arial"/>
          <w:sz w:val="22"/>
          <w:szCs w:val="22"/>
        </w:rPr>
      </w:pPr>
      <w:r w:rsidRPr="001D1201">
        <w:rPr>
          <w:rFonts w:ascii="Arial" w:hAnsi="Arial" w:cs="Arial"/>
          <w:sz w:val="22"/>
          <w:szCs w:val="22"/>
        </w:rPr>
        <w:t xml:space="preserve">Date of </w:t>
      </w:r>
      <w:r w:rsidR="0069057F" w:rsidRPr="001D1201">
        <w:rPr>
          <w:rFonts w:ascii="Arial" w:hAnsi="Arial" w:cs="Arial"/>
          <w:sz w:val="22"/>
          <w:szCs w:val="22"/>
        </w:rPr>
        <w:t>Submission</w:t>
      </w:r>
      <w:r w:rsidR="0069057F">
        <w:rPr>
          <w:rFonts w:ascii="Arial" w:hAnsi="Arial" w:cs="Arial"/>
          <w:sz w:val="22"/>
          <w:szCs w:val="22"/>
        </w:rPr>
        <w:t>: 21/08/26</w:t>
      </w:r>
    </w:p>
    <w:p w14:paraId="167F1DB2" w14:textId="62D2E690" w:rsidR="0069057F" w:rsidRDefault="0069057F" w:rsidP="00192846">
      <w:pPr>
        <w:spacing w:line="360" w:lineRule="auto"/>
        <w:jc w:val="center"/>
        <w:rPr>
          <w:rFonts w:ascii="Arial" w:hAnsi="Arial" w:cs="Arial"/>
          <w:sz w:val="22"/>
          <w:szCs w:val="22"/>
        </w:rPr>
      </w:pPr>
      <w:r>
        <w:rPr>
          <w:rFonts w:ascii="Arial" w:hAnsi="Arial" w:cs="Arial"/>
          <w:sz w:val="22"/>
          <w:szCs w:val="22"/>
        </w:rPr>
        <w:t>Module Leader: Umma Suleiman</w:t>
      </w:r>
    </w:p>
    <w:p w14:paraId="261A5F74" w14:textId="77777777" w:rsidR="0069057F" w:rsidRPr="001D1201" w:rsidRDefault="0069057F" w:rsidP="00192846">
      <w:pPr>
        <w:spacing w:line="360" w:lineRule="auto"/>
        <w:jc w:val="center"/>
        <w:rPr>
          <w:rFonts w:ascii="Arial" w:hAnsi="Arial" w:cs="Arial"/>
          <w:sz w:val="22"/>
          <w:szCs w:val="22"/>
        </w:rPr>
      </w:pPr>
    </w:p>
    <w:p w14:paraId="613A0774" w14:textId="77777777" w:rsidR="00192846" w:rsidRPr="001D1201" w:rsidRDefault="00192846" w:rsidP="00192846">
      <w:pPr>
        <w:spacing w:line="360" w:lineRule="auto"/>
        <w:jc w:val="both"/>
        <w:rPr>
          <w:rFonts w:ascii="Arial" w:hAnsi="Arial" w:cs="Arial"/>
          <w:sz w:val="22"/>
          <w:szCs w:val="22"/>
        </w:rPr>
      </w:pPr>
    </w:p>
    <w:p w14:paraId="5BED673F" w14:textId="77777777" w:rsidR="00192846" w:rsidRPr="001D1201" w:rsidRDefault="00192846" w:rsidP="00192846">
      <w:pPr>
        <w:spacing w:line="360" w:lineRule="auto"/>
        <w:jc w:val="both"/>
        <w:rPr>
          <w:rFonts w:ascii="Arial" w:hAnsi="Arial" w:cs="Arial"/>
          <w:sz w:val="22"/>
          <w:szCs w:val="22"/>
        </w:rPr>
      </w:pPr>
    </w:p>
    <w:p w14:paraId="10A80477" w14:textId="77777777" w:rsidR="00192846" w:rsidRPr="001D1201" w:rsidRDefault="00192846" w:rsidP="00192846">
      <w:pPr>
        <w:spacing w:line="360" w:lineRule="auto"/>
        <w:jc w:val="both"/>
        <w:rPr>
          <w:rFonts w:ascii="Arial" w:hAnsi="Arial" w:cs="Arial"/>
          <w:sz w:val="22"/>
          <w:szCs w:val="22"/>
        </w:rPr>
      </w:pPr>
    </w:p>
    <w:p w14:paraId="18150004" w14:textId="77777777" w:rsidR="00192846" w:rsidRPr="001D1201" w:rsidRDefault="00192846" w:rsidP="00192846">
      <w:pPr>
        <w:spacing w:line="360" w:lineRule="auto"/>
        <w:jc w:val="both"/>
        <w:rPr>
          <w:rFonts w:ascii="Arial" w:hAnsi="Arial" w:cs="Arial"/>
          <w:sz w:val="22"/>
          <w:szCs w:val="22"/>
        </w:rPr>
      </w:pPr>
    </w:p>
    <w:p w14:paraId="52934F14" w14:textId="77777777" w:rsidR="00192846" w:rsidRPr="001D1201" w:rsidRDefault="00192846" w:rsidP="00192846">
      <w:pPr>
        <w:spacing w:line="360" w:lineRule="auto"/>
        <w:jc w:val="both"/>
        <w:rPr>
          <w:rFonts w:ascii="Arial" w:hAnsi="Arial" w:cs="Arial"/>
          <w:sz w:val="22"/>
          <w:szCs w:val="22"/>
        </w:rPr>
      </w:pPr>
    </w:p>
    <w:p w14:paraId="54B69A71" w14:textId="77777777" w:rsidR="00192846" w:rsidRPr="001D1201" w:rsidRDefault="00192846" w:rsidP="00192846">
      <w:pPr>
        <w:spacing w:line="360" w:lineRule="auto"/>
        <w:jc w:val="both"/>
        <w:rPr>
          <w:rFonts w:ascii="Arial" w:hAnsi="Arial" w:cs="Arial"/>
          <w:sz w:val="22"/>
          <w:szCs w:val="22"/>
        </w:rPr>
      </w:pPr>
    </w:p>
    <w:p w14:paraId="1AF80089" w14:textId="77777777" w:rsidR="00192846" w:rsidRPr="001D1201" w:rsidRDefault="00192846" w:rsidP="00192846">
      <w:pPr>
        <w:spacing w:line="360" w:lineRule="auto"/>
        <w:jc w:val="both"/>
        <w:rPr>
          <w:rFonts w:ascii="Arial" w:hAnsi="Arial" w:cs="Arial"/>
          <w:sz w:val="22"/>
          <w:szCs w:val="22"/>
        </w:rPr>
      </w:pPr>
    </w:p>
    <w:p w14:paraId="2BE197B2" w14:textId="77777777" w:rsidR="00192846" w:rsidRPr="001D1201" w:rsidRDefault="00192846" w:rsidP="00192846">
      <w:pPr>
        <w:spacing w:line="360" w:lineRule="auto"/>
        <w:jc w:val="both"/>
        <w:rPr>
          <w:rFonts w:ascii="Arial" w:hAnsi="Arial" w:cs="Arial"/>
          <w:sz w:val="22"/>
          <w:szCs w:val="22"/>
        </w:rPr>
      </w:pPr>
    </w:p>
    <w:p w14:paraId="610AC302" w14:textId="77777777" w:rsidR="00192846" w:rsidRPr="001D1201" w:rsidRDefault="00192846" w:rsidP="00192846">
      <w:pPr>
        <w:spacing w:line="360" w:lineRule="auto"/>
        <w:jc w:val="both"/>
        <w:rPr>
          <w:rFonts w:ascii="Arial" w:hAnsi="Arial" w:cs="Arial"/>
          <w:sz w:val="22"/>
          <w:szCs w:val="22"/>
        </w:rPr>
      </w:pPr>
    </w:p>
    <w:sdt>
      <w:sdtPr>
        <w:rPr>
          <w:rFonts w:asciiTheme="minorHAnsi" w:eastAsiaTheme="minorEastAsia" w:hAnsiTheme="minorHAnsi" w:cs="Arial"/>
          <w:b w:val="0"/>
          <w:sz w:val="21"/>
          <w:szCs w:val="21"/>
        </w:rPr>
        <w:id w:val="892622117"/>
        <w:docPartObj>
          <w:docPartGallery w:val="Table of Contents"/>
          <w:docPartUnique/>
        </w:docPartObj>
      </w:sdtPr>
      <w:sdtEndPr>
        <w:rPr>
          <w:bCs/>
          <w:noProof/>
        </w:rPr>
      </w:sdtEndPr>
      <w:sdtContent>
        <w:p w14:paraId="00402699" w14:textId="0E2ACA29" w:rsidR="001D1201" w:rsidRPr="001D1201" w:rsidRDefault="001D1201">
          <w:pPr>
            <w:pStyle w:val="TOCHeading"/>
            <w:rPr>
              <w:rFonts w:cs="Arial"/>
              <w:b w:val="0"/>
              <w:bCs/>
              <w:szCs w:val="22"/>
            </w:rPr>
          </w:pPr>
          <w:r w:rsidRPr="001D1201">
            <w:rPr>
              <w:rFonts w:cs="Arial"/>
              <w:b w:val="0"/>
              <w:bCs/>
              <w:szCs w:val="22"/>
            </w:rPr>
            <w:t>Table of Contents</w:t>
          </w:r>
        </w:p>
        <w:p w14:paraId="2A927488" w14:textId="27B71A5F" w:rsidR="001D1201" w:rsidRPr="001D1201" w:rsidRDefault="001D1201">
          <w:pPr>
            <w:pStyle w:val="TOC1"/>
            <w:tabs>
              <w:tab w:val="right" w:leader="dot" w:pos="9350"/>
            </w:tabs>
            <w:rPr>
              <w:rFonts w:ascii="Arial" w:hAnsi="Arial" w:cs="Arial"/>
              <w:noProof/>
            </w:rPr>
          </w:pPr>
          <w:r w:rsidRPr="001D1201">
            <w:rPr>
              <w:rFonts w:ascii="Arial" w:hAnsi="Arial" w:cs="Arial"/>
            </w:rPr>
            <w:fldChar w:fldCharType="begin"/>
          </w:r>
          <w:r w:rsidRPr="001D1201">
            <w:rPr>
              <w:rFonts w:ascii="Arial" w:hAnsi="Arial" w:cs="Arial"/>
            </w:rPr>
            <w:instrText xml:space="preserve"> TOC \o "1-3" \h \z \u </w:instrText>
          </w:r>
          <w:r w:rsidRPr="001D1201">
            <w:rPr>
              <w:rFonts w:ascii="Arial" w:hAnsi="Arial" w:cs="Arial"/>
            </w:rPr>
            <w:fldChar w:fldCharType="separate"/>
          </w:r>
          <w:hyperlink w:anchor="_Toc236060593" w:history="1">
            <w:r w:rsidRPr="001D1201">
              <w:rPr>
                <w:rStyle w:val="Hyperlink"/>
                <w:rFonts w:ascii="Arial" w:hAnsi="Arial" w:cs="Arial"/>
                <w:noProof/>
              </w:rPr>
              <w:t>An Analysis of Mrs Thompson’s Case</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_Toc236060593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3</w:t>
            </w:r>
            <w:r w:rsidRPr="001D1201">
              <w:rPr>
                <w:rFonts w:ascii="Arial" w:hAnsi="Arial" w:cs="Arial"/>
                <w:noProof/>
                <w:webHidden/>
              </w:rPr>
              <w:fldChar w:fldCharType="end"/>
            </w:r>
          </w:hyperlink>
        </w:p>
        <w:p w14:paraId="4F8D4F49" w14:textId="37E66783" w:rsidR="001D1201" w:rsidRPr="001D1201" w:rsidRDefault="001D1201">
          <w:pPr>
            <w:pStyle w:val="TOC2"/>
            <w:tabs>
              <w:tab w:val="right" w:leader="dot" w:pos="9350"/>
            </w:tabs>
            <w:rPr>
              <w:rFonts w:ascii="Arial" w:hAnsi="Arial" w:cs="Arial"/>
              <w:noProof/>
            </w:rPr>
          </w:pPr>
          <w:hyperlink w:anchor="_Toc236060594" w:history="1">
            <w:r w:rsidRPr="001D1201">
              <w:rPr>
                <w:rStyle w:val="Hyperlink"/>
                <w:rFonts w:ascii="Arial" w:hAnsi="Arial" w:cs="Arial"/>
                <w:noProof/>
              </w:rPr>
              <w:t>Introduction</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_Toc236060594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3</w:t>
            </w:r>
            <w:r w:rsidRPr="001D1201">
              <w:rPr>
                <w:rFonts w:ascii="Arial" w:hAnsi="Arial" w:cs="Arial"/>
                <w:noProof/>
                <w:webHidden/>
              </w:rPr>
              <w:fldChar w:fldCharType="end"/>
            </w:r>
          </w:hyperlink>
        </w:p>
        <w:p w14:paraId="7B27811A" w14:textId="1E04284F" w:rsidR="001D1201" w:rsidRPr="001D1201" w:rsidRDefault="001D1201">
          <w:pPr>
            <w:pStyle w:val="TOC2"/>
            <w:tabs>
              <w:tab w:val="right" w:leader="dot" w:pos="9350"/>
            </w:tabs>
            <w:rPr>
              <w:rFonts w:ascii="Arial" w:hAnsi="Arial" w:cs="Arial"/>
              <w:noProof/>
            </w:rPr>
          </w:pPr>
          <w:hyperlink w:anchor="_Toc236060595" w:history="1">
            <w:r w:rsidRPr="001D1201">
              <w:rPr>
                <w:rStyle w:val="Hyperlink"/>
                <w:rFonts w:ascii="Arial" w:hAnsi="Arial" w:cs="Arial"/>
                <w:noProof/>
              </w:rPr>
              <w:t>Importance of Effective Communication</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_Toc236060595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4</w:t>
            </w:r>
            <w:r w:rsidRPr="001D1201">
              <w:rPr>
                <w:rFonts w:ascii="Arial" w:hAnsi="Arial" w:cs="Arial"/>
                <w:noProof/>
                <w:webHidden/>
              </w:rPr>
              <w:fldChar w:fldCharType="end"/>
            </w:r>
          </w:hyperlink>
        </w:p>
        <w:p w14:paraId="3590BDA1" w14:textId="153BF7E1" w:rsidR="001D1201" w:rsidRPr="001D1201" w:rsidRDefault="001D1201">
          <w:pPr>
            <w:pStyle w:val="TOC2"/>
            <w:tabs>
              <w:tab w:val="right" w:leader="dot" w:pos="9350"/>
            </w:tabs>
            <w:rPr>
              <w:rFonts w:ascii="Arial" w:hAnsi="Arial" w:cs="Arial"/>
              <w:noProof/>
            </w:rPr>
          </w:pPr>
          <w:hyperlink w:anchor="_Toc236060596" w:history="1">
            <w:r w:rsidRPr="001D1201">
              <w:rPr>
                <w:rStyle w:val="Hyperlink"/>
                <w:rFonts w:ascii="Arial" w:hAnsi="Arial" w:cs="Arial"/>
                <w:noProof/>
              </w:rPr>
              <w:t>Importance of Administrative Skills</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_Toc236060596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5</w:t>
            </w:r>
            <w:r w:rsidRPr="001D1201">
              <w:rPr>
                <w:rFonts w:ascii="Arial" w:hAnsi="Arial" w:cs="Arial"/>
                <w:noProof/>
                <w:webHidden/>
              </w:rPr>
              <w:fldChar w:fldCharType="end"/>
            </w:r>
          </w:hyperlink>
        </w:p>
        <w:p w14:paraId="0CC794A5" w14:textId="1CE17403" w:rsidR="001D1201" w:rsidRPr="001D1201" w:rsidRDefault="001D1201">
          <w:pPr>
            <w:pStyle w:val="TOC2"/>
            <w:tabs>
              <w:tab w:val="right" w:leader="dot" w:pos="9350"/>
            </w:tabs>
            <w:rPr>
              <w:rFonts w:ascii="Arial" w:hAnsi="Arial" w:cs="Arial"/>
              <w:noProof/>
            </w:rPr>
          </w:pPr>
          <w:hyperlink w:anchor="_Toc236060597" w:history="1">
            <w:r w:rsidRPr="001D1201">
              <w:rPr>
                <w:rStyle w:val="Hyperlink"/>
                <w:rFonts w:ascii="Arial" w:hAnsi="Arial" w:cs="Arial"/>
                <w:noProof/>
              </w:rPr>
              <w:t>Importance of Collaboration</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_Toc236060597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6</w:t>
            </w:r>
            <w:r w:rsidRPr="001D1201">
              <w:rPr>
                <w:rFonts w:ascii="Arial" w:hAnsi="Arial" w:cs="Arial"/>
                <w:noProof/>
                <w:webHidden/>
              </w:rPr>
              <w:fldChar w:fldCharType="end"/>
            </w:r>
          </w:hyperlink>
        </w:p>
        <w:p w14:paraId="5F9E3889" w14:textId="107FD3F8" w:rsidR="001D1201" w:rsidRPr="001D1201" w:rsidRDefault="001D1201">
          <w:pPr>
            <w:pStyle w:val="TOC2"/>
            <w:tabs>
              <w:tab w:val="right" w:leader="dot" w:pos="9350"/>
            </w:tabs>
            <w:rPr>
              <w:rFonts w:ascii="Arial" w:hAnsi="Arial" w:cs="Arial"/>
              <w:noProof/>
            </w:rPr>
          </w:pPr>
          <w:hyperlink w:anchor="_Toc236060598" w:history="1">
            <w:r w:rsidRPr="001D1201">
              <w:rPr>
                <w:rStyle w:val="Hyperlink"/>
                <w:rFonts w:ascii="Arial" w:hAnsi="Arial" w:cs="Arial"/>
                <w:noProof/>
              </w:rPr>
              <w:t>Conclusion</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_Toc236060598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7</w:t>
            </w:r>
            <w:r w:rsidRPr="001D1201">
              <w:rPr>
                <w:rFonts w:ascii="Arial" w:hAnsi="Arial" w:cs="Arial"/>
                <w:noProof/>
                <w:webHidden/>
              </w:rPr>
              <w:fldChar w:fldCharType="end"/>
            </w:r>
          </w:hyperlink>
        </w:p>
        <w:p w14:paraId="53EBBB42" w14:textId="239EE1CC" w:rsidR="001D1201" w:rsidRPr="001D1201" w:rsidRDefault="001D1201">
          <w:pPr>
            <w:pStyle w:val="TOC1"/>
            <w:tabs>
              <w:tab w:val="right" w:leader="dot" w:pos="9350"/>
            </w:tabs>
            <w:rPr>
              <w:rFonts w:ascii="Arial" w:hAnsi="Arial" w:cs="Arial"/>
              <w:noProof/>
            </w:rPr>
          </w:pPr>
          <w:hyperlink w:anchor="_Toc236060599" w:history="1">
            <w:r w:rsidRPr="001D1201">
              <w:rPr>
                <w:rStyle w:val="Hyperlink"/>
                <w:rFonts w:ascii="Arial" w:hAnsi="Arial" w:cs="Arial"/>
                <w:noProof/>
              </w:rPr>
              <w:t>References</w:t>
            </w:r>
            <w:r w:rsidRPr="001D1201">
              <w:rPr>
                <w:rFonts w:ascii="Arial" w:hAnsi="Arial" w:cs="Arial"/>
                <w:noProof/>
                <w:webHidden/>
              </w:rPr>
              <w:tab/>
            </w:r>
            <w:r w:rsidRPr="001D1201">
              <w:rPr>
                <w:rFonts w:ascii="Arial" w:hAnsi="Arial" w:cs="Arial"/>
                <w:noProof/>
                <w:webHidden/>
              </w:rPr>
              <w:fldChar w:fldCharType="begin"/>
            </w:r>
            <w:r w:rsidRPr="001D1201">
              <w:rPr>
                <w:rFonts w:ascii="Arial" w:hAnsi="Arial" w:cs="Arial"/>
                <w:noProof/>
                <w:webHidden/>
              </w:rPr>
              <w:instrText xml:space="preserve"> PAGEREF _Toc236060599 \h </w:instrText>
            </w:r>
            <w:r w:rsidRPr="001D1201">
              <w:rPr>
                <w:rFonts w:ascii="Arial" w:hAnsi="Arial" w:cs="Arial"/>
                <w:noProof/>
                <w:webHidden/>
              </w:rPr>
            </w:r>
            <w:r w:rsidRPr="001D1201">
              <w:rPr>
                <w:rFonts w:ascii="Arial" w:hAnsi="Arial" w:cs="Arial"/>
                <w:noProof/>
                <w:webHidden/>
              </w:rPr>
              <w:fldChar w:fldCharType="separate"/>
            </w:r>
            <w:r w:rsidRPr="001D1201">
              <w:rPr>
                <w:rFonts w:ascii="Arial" w:hAnsi="Arial" w:cs="Arial"/>
                <w:noProof/>
                <w:webHidden/>
              </w:rPr>
              <w:t>8</w:t>
            </w:r>
            <w:r w:rsidRPr="001D1201">
              <w:rPr>
                <w:rFonts w:ascii="Arial" w:hAnsi="Arial" w:cs="Arial"/>
                <w:noProof/>
                <w:webHidden/>
              </w:rPr>
              <w:fldChar w:fldCharType="end"/>
            </w:r>
          </w:hyperlink>
        </w:p>
        <w:p w14:paraId="3815634B" w14:textId="2149255B" w:rsidR="001D1201" w:rsidRPr="001D1201" w:rsidRDefault="001D1201">
          <w:pPr>
            <w:rPr>
              <w:rFonts w:ascii="Arial" w:hAnsi="Arial" w:cs="Arial"/>
            </w:rPr>
          </w:pPr>
          <w:r w:rsidRPr="001D1201">
            <w:rPr>
              <w:rFonts w:ascii="Arial" w:hAnsi="Arial" w:cs="Arial"/>
              <w:b/>
              <w:bCs/>
              <w:noProof/>
            </w:rPr>
            <w:fldChar w:fldCharType="end"/>
          </w:r>
        </w:p>
      </w:sdtContent>
    </w:sdt>
    <w:p w14:paraId="59ED05B2" w14:textId="77777777" w:rsidR="001D1201" w:rsidRPr="001D1201" w:rsidRDefault="001D1201" w:rsidP="00192846">
      <w:pPr>
        <w:pStyle w:val="Heading1"/>
        <w:rPr>
          <w:rFonts w:cs="Arial"/>
          <w:szCs w:val="22"/>
        </w:rPr>
      </w:pPr>
    </w:p>
    <w:p w14:paraId="2DDE2B59" w14:textId="77777777" w:rsidR="001D1201" w:rsidRPr="001D1201" w:rsidRDefault="001D1201" w:rsidP="00192846">
      <w:pPr>
        <w:pStyle w:val="Heading1"/>
        <w:rPr>
          <w:rFonts w:cs="Arial"/>
          <w:szCs w:val="22"/>
        </w:rPr>
      </w:pPr>
    </w:p>
    <w:p w14:paraId="74C8DDF2" w14:textId="77777777" w:rsidR="001D1201" w:rsidRPr="001D1201" w:rsidRDefault="001D1201" w:rsidP="00192846">
      <w:pPr>
        <w:pStyle w:val="Heading1"/>
        <w:rPr>
          <w:rFonts w:cs="Arial"/>
          <w:szCs w:val="22"/>
        </w:rPr>
      </w:pPr>
    </w:p>
    <w:p w14:paraId="2C498582" w14:textId="77777777" w:rsidR="001D1201" w:rsidRPr="001D1201" w:rsidRDefault="001D1201" w:rsidP="00192846">
      <w:pPr>
        <w:pStyle w:val="Heading1"/>
        <w:rPr>
          <w:rFonts w:cs="Arial"/>
          <w:szCs w:val="22"/>
        </w:rPr>
      </w:pPr>
    </w:p>
    <w:p w14:paraId="08CCDD92" w14:textId="77777777" w:rsidR="001D1201" w:rsidRPr="001D1201" w:rsidRDefault="001D1201" w:rsidP="00192846">
      <w:pPr>
        <w:pStyle w:val="Heading1"/>
        <w:rPr>
          <w:rFonts w:cs="Arial"/>
          <w:szCs w:val="22"/>
        </w:rPr>
      </w:pPr>
    </w:p>
    <w:p w14:paraId="21F8D628" w14:textId="77777777" w:rsidR="001D1201" w:rsidRPr="001D1201" w:rsidRDefault="001D1201" w:rsidP="00192846">
      <w:pPr>
        <w:pStyle w:val="Heading1"/>
        <w:rPr>
          <w:rFonts w:cs="Arial"/>
          <w:szCs w:val="22"/>
        </w:rPr>
      </w:pPr>
    </w:p>
    <w:p w14:paraId="1093EAFF" w14:textId="5D20481A" w:rsidR="001D1201" w:rsidRDefault="001D1201" w:rsidP="001D1201">
      <w:pPr>
        <w:pStyle w:val="Heading1"/>
        <w:jc w:val="left"/>
        <w:rPr>
          <w:rFonts w:cs="Arial"/>
          <w:szCs w:val="22"/>
        </w:rPr>
      </w:pPr>
    </w:p>
    <w:p w14:paraId="17BFD06D" w14:textId="77777777" w:rsidR="001D1201" w:rsidRDefault="001D1201" w:rsidP="001D1201"/>
    <w:p w14:paraId="39FBF2F5" w14:textId="77777777" w:rsidR="001D1201" w:rsidRPr="001D1201" w:rsidRDefault="001D1201" w:rsidP="001D1201"/>
    <w:p w14:paraId="57F1D490" w14:textId="77777777" w:rsidR="001D1201" w:rsidRDefault="001D1201" w:rsidP="00192846">
      <w:pPr>
        <w:pStyle w:val="Heading1"/>
        <w:rPr>
          <w:rFonts w:cs="Arial"/>
          <w:szCs w:val="22"/>
        </w:rPr>
      </w:pPr>
    </w:p>
    <w:p w14:paraId="7C619CC8" w14:textId="77777777" w:rsidR="001D1201" w:rsidRDefault="001D1201" w:rsidP="001D1201"/>
    <w:p w14:paraId="74F999CE" w14:textId="77777777" w:rsidR="001D1201" w:rsidRDefault="001D1201" w:rsidP="001D1201"/>
    <w:p w14:paraId="40152BD4" w14:textId="77777777" w:rsidR="001D1201" w:rsidRDefault="001D1201" w:rsidP="001D1201"/>
    <w:p w14:paraId="1FD5F080" w14:textId="77777777" w:rsidR="001D1201" w:rsidRPr="001D1201" w:rsidRDefault="001D1201" w:rsidP="001D1201"/>
    <w:p w14:paraId="54CAB9A9" w14:textId="77777777" w:rsidR="001D1201" w:rsidRPr="001D1201" w:rsidRDefault="001D1201" w:rsidP="00192846">
      <w:pPr>
        <w:pStyle w:val="Heading1"/>
        <w:rPr>
          <w:rFonts w:cs="Arial"/>
          <w:szCs w:val="22"/>
        </w:rPr>
      </w:pPr>
    </w:p>
    <w:p w14:paraId="1B472A49" w14:textId="73746EC7" w:rsidR="00192846" w:rsidRPr="001D1201" w:rsidRDefault="00192846" w:rsidP="00192846">
      <w:pPr>
        <w:pStyle w:val="Heading1"/>
        <w:rPr>
          <w:rFonts w:cs="Arial"/>
          <w:szCs w:val="22"/>
        </w:rPr>
      </w:pPr>
      <w:bookmarkStart w:id="0" w:name="_Toc236060593"/>
      <w:r w:rsidRPr="001D1201">
        <w:rPr>
          <w:rFonts w:cs="Arial"/>
          <w:szCs w:val="22"/>
        </w:rPr>
        <w:t>An Analysis of Mrs Thompson’s Case</w:t>
      </w:r>
      <w:bookmarkEnd w:id="0"/>
      <w:r w:rsidRPr="001D1201">
        <w:rPr>
          <w:rFonts w:cs="Arial"/>
          <w:szCs w:val="22"/>
        </w:rPr>
        <w:t xml:space="preserve"> </w:t>
      </w:r>
    </w:p>
    <w:p w14:paraId="1F79E9B8" w14:textId="59FEB3DE" w:rsidR="004F6AAA" w:rsidRPr="001D1201" w:rsidRDefault="00F219CF" w:rsidP="00192846">
      <w:pPr>
        <w:pStyle w:val="Heading2"/>
        <w:rPr>
          <w:rFonts w:cs="Arial"/>
          <w:szCs w:val="22"/>
        </w:rPr>
      </w:pPr>
      <w:bookmarkStart w:id="1" w:name="_Toc236060594"/>
      <w:r w:rsidRPr="001D1201">
        <w:rPr>
          <w:rFonts w:cs="Arial"/>
          <w:szCs w:val="22"/>
        </w:rPr>
        <w:t>Introduction</w:t>
      </w:r>
      <w:bookmarkEnd w:id="1"/>
    </w:p>
    <w:p w14:paraId="2CBD23D6" w14:textId="04D28A45" w:rsidR="00192846" w:rsidRPr="001D1201" w:rsidRDefault="000019AF" w:rsidP="00192846">
      <w:pPr>
        <w:spacing w:line="360" w:lineRule="auto"/>
        <w:jc w:val="both"/>
        <w:rPr>
          <w:rFonts w:ascii="Arial" w:hAnsi="Arial" w:cs="Arial"/>
          <w:sz w:val="22"/>
          <w:szCs w:val="22"/>
        </w:rPr>
      </w:pPr>
      <w:r w:rsidRPr="001D1201">
        <w:rPr>
          <w:rFonts w:ascii="Arial" w:hAnsi="Arial" w:cs="Arial"/>
          <w:sz w:val="22"/>
          <w:szCs w:val="22"/>
        </w:rPr>
        <w:t xml:space="preserve">The origins of the UK’s health and social care system stem from </w:t>
      </w:r>
      <w:r w:rsidR="00192846" w:rsidRPr="001D1201">
        <w:rPr>
          <w:rFonts w:ascii="Arial" w:hAnsi="Arial" w:cs="Arial"/>
          <w:sz w:val="22"/>
          <w:szCs w:val="22"/>
        </w:rPr>
        <w:t xml:space="preserve">the </w:t>
      </w:r>
      <w:r w:rsidRPr="001D1201">
        <w:rPr>
          <w:rFonts w:ascii="Arial" w:hAnsi="Arial" w:cs="Arial"/>
          <w:sz w:val="22"/>
          <w:szCs w:val="22"/>
        </w:rPr>
        <w:t>NHS</w:t>
      </w:r>
      <w:r w:rsidR="00192846" w:rsidRPr="001D1201">
        <w:rPr>
          <w:rFonts w:ascii="Arial" w:hAnsi="Arial" w:cs="Arial"/>
          <w:sz w:val="22"/>
          <w:szCs w:val="22"/>
        </w:rPr>
        <w:t>,</w:t>
      </w:r>
      <w:r w:rsidRPr="001D1201">
        <w:rPr>
          <w:rFonts w:ascii="Arial" w:hAnsi="Arial" w:cs="Arial"/>
          <w:sz w:val="22"/>
          <w:szCs w:val="22"/>
        </w:rPr>
        <w:t xml:space="preserve"> which was built in 1948 and funded through taxation (</w:t>
      </w:r>
      <w:r w:rsidR="00A46D10" w:rsidRPr="001D1201">
        <w:rPr>
          <w:rFonts w:ascii="Arial" w:hAnsi="Arial" w:cs="Arial"/>
          <w:sz w:val="22"/>
          <w:szCs w:val="22"/>
        </w:rPr>
        <w:t>NHS, 2013</w:t>
      </w:r>
      <w:r w:rsidRPr="001D1201">
        <w:rPr>
          <w:rFonts w:ascii="Arial" w:hAnsi="Arial" w:cs="Arial"/>
          <w:sz w:val="22"/>
          <w:szCs w:val="22"/>
        </w:rPr>
        <w:t>). Its foundations were established on the basis of patients’ well-being prioritisation</w:t>
      </w:r>
      <w:r w:rsidR="00192846" w:rsidRPr="001D1201">
        <w:rPr>
          <w:rFonts w:ascii="Arial" w:hAnsi="Arial" w:cs="Arial"/>
          <w:sz w:val="22"/>
          <w:szCs w:val="22"/>
        </w:rPr>
        <w:t>,</w:t>
      </w:r>
      <w:r w:rsidRPr="001D1201">
        <w:rPr>
          <w:rFonts w:ascii="Arial" w:hAnsi="Arial" w:cs="Arial"/>
          <w:sz w:val="22"/>
          <w:szCs w:val="22"/>
        </w:rPr>
        <w:t xml:space="preserve"> where healthcare services were provided on need instead of patients’ income levels (</w:t>
      </w:r>
      <w:r w:rsidR="00A46D10" w:rsidRPr="001D1201">
        <w:rPr>
          <w:rFonts w:ascii="Arial" w:eastAsia="Times New Roman" w:hAnsi="Arial" w:cs="Arial"/>
          <w:sz w:val="22"/>
          <w:szCs w:val="22"/>
          <w:lang w:eastAsia="en-IE"/>
        </w:rPr>
        <w:t>Gov. UK, 2023</w:t>
      </w:r>
      <w:r w:rsidRPr="001D1201">
        <w:rPr>
          <w:rFonts w:ascii="Arial" w:hAnsi="Arial" w:cs="Arial"/>
          <w:sz w:val="22"/>
          <w:szCs w:val="22"/>
        </w:rPr>
        <w:t xml:space="preserve">). Such origins have strong relevance to </w:t>
      </w:r>
      <w:r w:rsidR="00192846" w:rsidRPr="001D1201">
        <w:rPr>
          <w:rFonts w:ascii="Arial" w:hAnsi="Arial" w:cs="Arial"/>
          <w:sz w:val="22"/>
          <w:szCs w:val="22"/>
        </w:rPr>
        <w:t xml:space="preserve">the </w:t>
      </w:r>
      <w:r w:rsidRPr="001D1201">
        <w:rPr>
          <w:rFonts w:ascii="Arial" w:hAnsi="Arial" w:cs="Arial"/>
          <w:sz w:val="22"/>
          <w:szCs w:val="22"/>
        </w:rPr>
        <w:t>existing healthcare system of the UK</w:t>
      </w:r>
      <w:r w:rsidR="00192846" w:rsidRPr="001D1201">
        <w:rPr>
          <w:rFonts w:ascii="Arial" w:hAnsi="Arial" w:cs="Arial"/>
          <w:sz w:val="22"/>
          <w:szCs w:val="22"/>
        </w:rPr>
        <w:t>,</w:t>
      </w:r>
      <w:r w:rsidRPr="001D1201">
        <w:rPr>
          <w:rFonts w:ascii="Arial" w:hAnsi="Arial" w:cs="Arial"/>
          <w:sz w:val="22"/>
          <w:szCs w:val="22"/>
        </w:rPr>
        <w:t xml:space="preserve"> where healthcare professionals are seen giving their best healthcare services. However, </w:t>
      </w:r>
      <w:r w:rsidR="00A46D10" w:rsidRPr="001D1201">
        <w:rPr>
          <w:rFonts w:ascii="Arial" w:hAnsi="Arial" w:cs="Arial"/>
          <w:sz w:val="22"/>
          <w:szCs w:val="22"/>
        </w:rPr>
        <w:t xml:space="preserve">Gov. UK </w:t>
      </w:r>
      <w:r w:rsidRPr="001D1201">
        <w:rPr>
          <w:rFonts w:ascii="Arial" w:hAnsi="Arial" w:cs="Arial"/>
          <w:sz w:val="22"/>
          <w:szCs w:val="22"/>
        </w:rPr>
        <w:t>(</w:t>
      </w:r>
      <w:r w:rsidR="00A46D10" w:rsidRPr="001D1201">
        <w:rPr>
          <w:rFonts w:ascii="Arial" w:hAnsi="Arial" w:cs="Arial"/>
          <w:sz w:val="22"/>
          <w:szCs w:val="22"/>
        </w:rPr>
        <w:t>2025</w:t>
      </w:r>
      <w:r w:rsidRPr="001D1201">
        <w:rPr>
          <w:rFonts w:ascii="Arial" w:hAnsi="Arial" w:cs="Arial"/>
          <w:sz w:val="22"/>
          <w:szCs w:val="22"/>
        </w:rPr>
        <w:t xml:space="preserve">) themselves admit that </w:t>
      </w:r>
      <w:r w:rsidR="00192846" w:rsidRPr="001D1201">
        <w:rPr>
          <w:rFonts w:ascii="Arial" w:hAnsi="Arial" w:cs="Arial"/>
          <w:sz w:val="22"/>
          <w:szCs w:val="22"/>
        </w:rPr>
        <w:t xml:space="preserve">the </w:t>
      </w:r>
      <w:r w:rsidRPr="001D1201">
        <w:rPr>
          <w:rFonts w:ascii="Arial" w:hAnsi="Arial" w:cs="Arial"/>
          <w:sz w:val="22"/>
          <w:szCs w:val="22"/>
        </w:rPr>
        <w:t xml:space="preserve">NHS is experiencing a deep crisis because of challenges of inadequate technology, low investments, and </w:t>
      </w:r>
      <w:r w:rsidR="00192846" w:rsidRPr="001D1201">
        <w:rPr>
          <w:rFonts w:ascii="Arial" w:hAnsi="Arial" w:cs="Arial"/>
          <w:sz w:val="22"/>
          <w:szCs w:val="22"/>
        </w:rPr>
        <w:t xml:space="preserve">a </w:t>
      </w:r>
      <w:r w:rsidRPr="001D1201">
        <w:rPr>
          <w:rFonts w:ascii="Arial" w:hAnsi="Arial" w:cs="Arial"/>
          <w:sz w:val="22"/>
          <w:szCs w:val="22"/>
        </w:rPr>
        <w:t xml:space="preserve">high employee turnover rate. </w:t>
      </w:r>
      <w:r w:rsidR="00192846" w:rsidRPr="001D1201">
        <w:rPr>
          <w:rFonts w:ascii="Arial" w:hAnsi="Arial" w:cs="Arial"/>
          <w:sz w:val="22"/>
          <w:szCs w:val="22"/>
        </w:rPr>
        <w:t>Thi</w:t>
      </w:r>
      <w:r w:rsidRPr="001D1201">
        <w:rPr>
          <w:rFonts w:ascii="Arial" w:hAnsi="Arial" w:cs="Arial"/>
          <w:sz w:val="22"/>
          <w:szCs w:val="22"/>
        </w:rPr>
        <w:t xml:space="preserve">s application could be seen in how 80% of the NHS institutions have reported staff shortages while 58% experience </w:t>
      </w:r>
      <w:r w:rsidR="00192846" w:rsidRPr="001D1201">
        <w:rPr>
          <w:rFonts w:ascii="Arial" w:hAnsi="Arial" w:cs="Arial"/>
          <w:sz w:val="22"/>
          <w:szCs w:val="22"/>
        </w:rPr>
        <w:t xml:space="preserve">a </w:t>
      </w:r>
      <w:r w:rsidRPr="001D1201">
        <w:rPr>
          <w:rFonts w:ascii="Arial" w:hAnsi="Arial" w:cs="Arial"/>
          <w:sz w:val="22"/>
          <w:szCs w:val="22"/>
        </w:rPr>
        <w:t>high employee turnover rate (</w:t>
      </w:r>
      <w:r w:rsidR="00A46D10" w:rsidRPr="001D1201">
        <w:rPr>
          <w:rFonts w:ascii="Arial" w:eastAsia="Times New Roman" w:hAnsi="Arial" w:cs="Arial"/>
          <w:sz w:val="22"/>
          <w:szCs w:val="22"/>
          <w:lang w:eastAsia="en-IE"/>
        </w:rPr>
        <w:t>Gov.UK, 2025</w:t>
      </w:r>
      <w:r w:rsidRPr="001D1201">
        <w:rPr>
          <w:rFonts w:ascii="Arial" w:hAnsi="Arial" w:cs="Arial"/>
          <w:sz w:val="22"/>
          <w:szCs w:val="22"/>
        </w:rPr>
        <w:t xml:space="preserve">). This has strong relevance to patients’ outcomes because the unavailability of healthcare professionals would only translate into deteriorating patient outcomes. </w:t>
      </w:r>
      <w:r w:rsidR="00A46D10" w:rsidRPr="001D1201">
        <w:rPr>
          <w:rFonts w:ascii="Arial" w:hAnsi="Arial" w:cs="Arial"/>
          <w:sz w:val="22"/>
          <w:szCs w:val="22"/>
        </w:rPr>
        <w:t xml:space="preserve">This addresses the need for collaboration and partnership working among </w:t>
      </w:r>
      <w:r w:rsidR="00192846" w:rsidRPr="001D1201">
        <w:rPr>
          <w:rFonts w:ascii="Arial" w:hAnsi="Arial" w:cs="Arial"/>
          <w:sz w:val="22"/>
          <w:szCs w:val="22"/>
        </w:rPr>
        <w:t xml:space="preserve">the </w:t>
      </w:r>
      <w:r w:rsidR="00A46D10" w:rsidRPr="001D1201">
        <w:rPr>
          <w:rFonts w:ascii="Arial" w:hAnsi="Arial" w:cs="Arial"/>
          <w:sz w:val="22"/>
          <w:szCs w:val="22"/>
        </w:rPr>
        <w:t>UK’s healthcare professionals. This is strongly needed in Mrs Thompson’s case</w:t>
      </w:r>
      <w:r w:rsidR="00192846" w:rsidRPr="001D1201">
        <w:rPr>
          <w:rFonts w:ascii="Arial" w:hAnsi="Arial" w:cs="Arial"/>
          <w:sz w:val="22"/>
          <w:szCs w:val="22"/>
        </w:rPr>
        <w:t>,</w:t>
      </w:r>
      <w:r w:rsidR="00A46D10" w:rsidRPr="001D1201">
        <w:rPr>
          <w:rFonts w:ascii="Arial" w:hAnsi="Arial" w:cs="Arial"/>
          <w:sz w:val="22"/>
          <w:szCs w:val="22"/>
        </w:rPr>
        <w:t xml:space="preserve"> who is a</w:t>
      </w:r>
      <w:r w:rsidR="00192846" w:rsidRPr="001D1201">
        <w:rPr>
          <w:rFonts w:ascii="Arial" w:hAnsi="Arial" w:cs="Arial"/>
          <w:sz w:val="22"/>
          <w:szCs w:val="22"/>
        </w:rPr>
        <w:t>n 84-year-</w:t>
      </w:r>
      <w:r w:rsidR="00A46D10" w:rsidRPr="001D1201">
        <w:rPr>
          <w:rFonts w:ascii="Arial" w:hAnsi="Arial" w:cs="Arial"/>
          <w:sz w:val="22"/>
          <w:szCs w:val="22"/>
        </w:rPr>
        <w:t xml:space="preserve">old woman diagnosed with pneumonia and mild dementia. Her case reflects significant concerning points because she not only forgets to take her medications but also forgets to dress appropriately in public. </w:t>
      </w:r>
    </w:p>
    <w:p w14:paraId="4144C37D" w14:textId="7D8F9816" w:rsidR="00A46D10" w:rsidRPr="001D1201" w:rsidRDefault="00A46D10" w:rsidP="00192846">
      <w:pPr>
        <w:spacing w:line="360" w:lineRule="auto"/>
        <w:jc w:val="both"/>
        <w:rPr>
          <w:rFonts w:ascii="Arial" w:hAnsi="Arial" w:cs="Arial"/>
          <w:sz w:val="22"/>
          <w:szCs w:val="22"/>
        </w:rPr>
      </w:pPr>
      <w:r w:rsidRPr="001D1201">
        <w:rPr>
          <w:rFonts w:ascii="Arial" w:hAnsi="Arial" w:cs="Arial"/>
          <w:sz w:val="22"/>
          <w:szCs w:val="22"/>
        </w:rPr>
        <w:t xml:space="preserve">Under such circumstances, healthcare professionals and the multidisciplinary care team must use effective communication and collaboration skills </w:t>
      </w:r>
      <w:r w:rsidR="00192846" w:rsidRPr="001D1201">
        <w:rPr>
          <w:rFonts w:ascii="Arial" w:hAnsi="Arial" w:cs="Arial"/>
          <w:sz w:val="22"/>
          <w:szCs w:val="22"/>
        </w:rPr>
        <w:t>to improve</w:t>
      </w:r>
      <w:r w:rsidRPr="001D1201">
        <w:rPr>
          <w:rFonts w:ascii="Arial" w:hAnsi="Arial" w:cs="Arial"/>
          <w:sz w:val="22"/>
          <w:szCs w:val="22"/>
        </w:rPr>
        <w:t xml:space="preserve"> her health outcomes. </w:t>
      </w:r>
      <w:r w:rsidR="00192846" w:rsidRPr="001D1201">
        <w:rPr>
          <w:rFonts w:ascii="Arial" w:hAnsi="Arial" w:cs="Arial"/>
          <w:sz w:val="22"/>
          <w:szCs w:val="22"/>
        </w:rPr>
        <w:t xml:space="preserve">Therefore, this task aims to use Mrs Thompson’s case as a case scenario to analyse how communication, administration, and collaboration skills play a central role in supporting patients. In this regard, the principles of the Equality Act 2010 and the Data Protection Act 2018 will be used. While the Equality Act 2010 will protect Mrs Thompson against discrimination, the Data Protection Act 2018 will ensure data integrity and confidentiality. Collectively, the application of this legislation will assist healthcare professionals in improving the quality of their services. </w:t>
      </w:r>
    </w:p>
    <w:p w14:paraId="46EA7E76" w14:textId="71F4EC73" w:rsidR="001A0570" w:rsidRPr="001D1201" w:rsidRDefault="00A46D10" w:rsidP="00192846">
      <w:pPr>
        <w:pStyle w:val="Heading2"/>
        <w:rPr>
          <w:rFonts w:cs="Arial"/>
        </w:rPr>
      </w:pPr>
      <w:bookmarkStart w:id="2" w:name="_Toc236060595"/>
      <w:r w:rsidRPr="001D1201">
        <w:rPr>
          <w:rFonts w:cs="Arial"/>
        </w:rPr>
        <w:t>Importance of Effective Communication</w:t>
      </w:r>
      <w:bookmarkEnd w:id="2"/>
      <w:r w:rsidRPr="001D1201">
        <w:rPr>
          <w:rFonts w:cs="Arial"/>
        </w:rPr>
        <w:t xml:space="preserve"> </w:t>
      </w:r>
    </w:p>
    <w:p w14:paraId="28DCFD80" w14:textId="017BDBBE" w:rsidR="001A0570" w:rsidRPr="001D1201" w:rsidRDefault="001A0570" w:rsidP="00192846">
      <w:pPr>
        <w:spacing w:line="360" w:lineRule="auto"/>
        <w:jc w:val="both"/>
        <w:rPr>
          <w:rFonts w:ascii="Arial" w:hAnsi="Arial" w:cs="Arial"/>
          <w:sz w:val="22"/>
          <w:szCs w:val="22"/>
        </w:rPr>
      </w:pPr>
      <w:r w:rsidRPr="001D1201">
        <w:rPr>
          <w:rFonts w:ascii="Arial" w:hAnsi="Arial" w:cs="Arial"/>
          <w:sz w:val="22"/>
          <w:szCs w:val="22"/>
        </w:rPr>
        <w:t xml:space="preserve">According to Chapter 1 of </w:t>
      </w:r>
      <w:r w:rsidR="00192846" w:rsidRPr="001D1201">
        <w:rPr>
          <w:rFonts w:ascii="Arial" w:hAnsi="Arial" w:cs="Arial"/>
          <w:sz w:val="22"/>
          <w:szCs w:val="22"/>
        </w:rPr>
        <w:t xml:space="preserve">the </w:t>
      </w:r>
      <w:r w:rsidRPr="001D1201">
        <w:rPr>
          <w:rFonts w:ascii="Arial" w:hAnsi="Arial" w:cs="Arial"/>
          <w:sz w:val="22"/>
          <w:szCs w:val="22"/>
        </w:rPr>
        <w:t>Equality Act 2010, all people will be granted protection on the basis of disability (</w:t>
      </w:r>
      <w:r w:rsidR="00974666" w:rsidRPr="001D1201">
        <w:rPr>
          <w:rFonts w:ascii="Arial" w:eastAsia="Times New Roman" w:hAnsi="Arial" w:cs="Arial"/>
          <w:sz w:val="22"/>
          <w:szCs w:val="22"/>
          <w:lang w:eastAsia="en-IE"/>
        </w:rPr>
        <w:t>UK Government, 2010</w:t>
      </w:r>
      <w:r w:rsidRPr="001D1201">
        <w:rPr>
          <w:rFonts w:ascii="Arial" w:hAnsi="Arial" w:cs="Arial"/>
          <w:sz w:val="22"/>
          <w:szCs w:val="22"/>
        </w:rPr>
        <w:t xml:space="preserve">). In this regard, the legislation acknowledges </w:t>
      </w:r>
      <w:r w:rsidR="00192846" w:rsidRPr="001D1201">
        <w:rPr>
          <w:rFonts w:ascii="Arial" w:hAnsi="Arial" w:cs="Arial"/>
          <w:sz w:val="22"/>
          <w:szCs w:val="22"/>
        </w:rPr>
        <w:t xml:space="preserve">that </w:t>
      </w:r>
      <w:r w:rsidRPr="001D1201">
        <w:rPr>
          <w:rFonts w:ascii="Arial" w:hAnsi="Arial" w:cs="Arial"/>
          <w:sz w:val="22"/>
          <w:szCs w:val="22"/>
        </w:rPr>
        <w:t>any long-term physical and mental disability is included in the protected characteristics. Research argues that the condition of dementia falls within disability domains (</w:t>
      </w:r>
      <w:r w:rsidR="00974666" w:rsidRPr="001D1201">
        <w:rPr>
          <w:rFonts w:ascii="Arial" w:eastAsia="Times New Roman" w:hAnsi="Arial" w:cs="Arial"/>
          <w:sz w:val="22"/>
          <w:szCs w:val="22"/>
          <w:lang w:eastAsia="en-IE"/>
        </w:rPr>
        <w:t>UK Parliament, 2015</w:t>
      </w:r>
      <w:r w:rsidRPr="001D1201">
        <w:rPr>
          <w:rFonts w:ascii="Arial" w:hAnsi="Arial" w:cs="Arial"/>
          <w:sz w:val="22"/>
          <w:szCs w:val="22"/>
        </w:rPr>
        <w:t>). Therefore, it is recognised that Mrs Thompson must be granted due protection against her condition. Al</w:t>
      </w:r>
      <w:r w:rsidR="001D23B2" w:rsidRPr="001D1201">
        <w:rPr>
          <w:rFonts w:ascii="Arial" w:hAnsi="Arial" w:cs="Arial"/>
          <w:sz w:val="22"/>
          <w:szCs w:val="22"/>
        </w:rPr>
        <w:t xml:space="preserve">though she was seen showing inappropriate behaviour in public, healthcare professionals must quickly </w:t>
      </w:r>
      <w:r w:rsidR="001D23B2" w:rsidRPr="001D1201">
        <w:rPr>
          <w:rFonts w:ascii="Arial" w:hAnsi="Arial" w:cs="Arial"/>
          <w:sz w:val="22"/>
          <w:szCs w:val="22"/>
        </w:rPr>
        <w:lastRenderedPageBreak/>
        <w:t>use effective communication to support her needs. Evidence supports the role of effective communication because it helps in establishing strong relationships between healthcare professionals and patients (</w:t>
      </w:r>
      <w:r w:rsidR="00974666" w:rsidRPr="001D1201">
        <w:rPr>
          <w:rFonts w:ascii="Arial" w:hAnsi="Arial" w:cs="Arial"/>
          <w:sz w:val="22"/>
          <w:szCs w:val="22"/>
          <w:shd w:val="clear" w:color="auto" w:fill="FFFFFF"/>
        </w:rPr>
        <w:t>Ward, 2018</w:t>
      </w:r>
      <w:r w:rsidR="001D23B2" w:rsidRPr="001D1201">
        <w:rPr>
          <w:rFonts w:ascii="Arial" w:hAnsi="Arial" w:cs="Arial"/>
          <w:sz w:val="22"/>
          <w:szCs w:val="22"/>
        </w:rPr>
        <w:t>). Another study contended that effective communication mitigates misunderstandings, improves clarity, and contributes to patients’ development (</w:t>
      </w:r>
      <w:proofErr w:type="spellStart"/>
      <w:r w:rsidR="00974666" w:rsidRPr="001D1201">
        <w:rPr>
          <w:rFonts w:ascii="Arial" w:hAnsi="Arial" w:cs="Arial"/>
          <w:sz w:val="22"/>
          <w:szCs w:val="22"/>
          <w:shd w:val="clear" w:color="auto" w:fill="FFFFFF"/>
        </w:rPr>
        <w:t>Leotin</w:t>
      </w:r>
      <w:proofErr w:type="spellEnd"/>
      <w:r w:rsidR="00974666" w:rsidRPr="001D1201">
        <w:rPr>
          <w:rFonts w:ascii="Arial" w:hAnsi="Arial" w:cs="Arial"/>
          <w:sz w:val="22"/>
          <w:szCs w:val="22"/>
          <w:shd w:val="clear" w:color="auto" w:fill="FFFFFF"/>
        </w:rPr>
        <w:t>, 2025</w:t>
      </w:r>
      <w:r w:rsidR="001D23B2" w:rsidRPr="001D1201">
        <w:rPr>
          <w:rFonts w:ascii="Arial" w:hAnsi="Arial" w:cs="Arial"/>
          <w:sz w:val="22"/>
          <w:szCs w:val="22"/>
        </w:rPr>
        <w:t xml:space="preserve">). By using effective communication skills such as transparency, preciseness, empathy, and clarity, healthcare professionals can support her health outcomes. However, a major problem is that such communication can be perceived as wrong, rude, </w:t>
      </w:r>
      <w:r w:rsidR="00192846" w:rsidRPr="001D1201">
        <w:rPr>
          <w:rFonts w:ascii="Arial" w:hAnsi="Arial" w:cs="Arial"/>
          <w:sz w:val="22"/>
          <w:szCs w:val="22"/>
        </w:rPr>
        <w:t xml:space="preserve">or </w:t>
      </w:r>
      <w:r w:rsidR="001D23B2" w:rsidRPr="001D1201">
        <w:rPr>
          <w:rFonts w:ascii="Arial" w:hAnsi="Arial" w:cs="Arial"/>
          <w:sz w:val="22"/>
          <w:szCs w:val="22"/>
        </w:rPr>
        <w:t xml:space="preserve">inappropriate by the service user. At the same time, healthcare professionals must make reasonable adjustments for Mrs Thompson’s case. This is aligned with section 20 of </w:t>
      </w:r>
      <w:r w:rsidR="00192846" w:rsidRPr="001D1201">
        <w:rPr>
          <w:rFonts w:ascii="Arial" w:hAnsi="Arial" w:cs="Arial"/>
          <w:sz w:val="22"/>
          <w:szCs w:val="22"/>
        </w:rPr>
        <w:t xml:space="preserve">the </w:t>
      </w:r>
      <w:r w:rsidR="001D23B2" w:rsidRPr="001D1201">
        <w:rPr>
          <w:rFonts w:ascii="Arial" w:hAnsi="Arial" w:cs="Arial"/>
          <w:sz w:val="22"/>
          <w:szCs w:val="22"/>
        </w:rPr>
        <w:t>Equality Act 2010</w:t>
      </w:r>
      <w:r w:rsidR="00192846" w:rsidRPr="001D1201">
        <w:rPr>
          <w:rFonts w:ascii="Arial" w:hAnsi="Arial" w:cs="Arial"/>
          <w:sz w:val="22"/>
          <w:szCs w:val="22"/>
        </w:rPr>
        <w:t>,</w:t>
      </w:r>
      <w:r w:rsidR="001D23B2" w:rsidRPr="001D1201">
        <w:rPr>
          <w:rFonts w:ascii="Arial" w:hAnsi="Arial" w:cs="Arial"/>
          <w:sz w:val="22"/>
          <w:szCs w:val="22"/>
        </w:rPr>
        <w:t xml:space="preserve"> which states that adjustments must be made where the disabled person is found at a disadvantage in relation to non-disabled people (</w:t>
      </w:r>
      <w:r w:rsidR="00974666" w:rsidRPr="001D1201">
        <w:rPr>
          <w:rFonts w:ascii="Arial" w:hAnsi="Arial" w:cs="Arial"/>
          <w:sz w:val="22"/>
          <w:szCs w:val="22"/>
        </w:rPr>
        <w:t>Gov. UK, 2010</w:t>
      </w:r>
      <w:r w:rsidR="001D23B2" w:rsidRPr="001D1201">
        <w:rPr>
          <w:rFonts w:ascii="Arial" w:hAnsi="Arial" w:cs="Arial"/>
          <w:sz w:val="22"/>
          <w:szCs w:val="22"/>
        </w:rPr>
        <w:t xml:space="preserve">). Under such circumstances, it is best to use a communication model of Argyle (1972) which consists of multiple components, as shown in Figure 1. Effective communication skills must be demonstrated by healthcare professionals while using such components. </w:t>
      </w:r>
    </w:p>
    <w:p w14:paraId="52123A4D" w14:textId="14BD686C" w:rsidR="00974666" w:rsidRPr="001D1201" w:rsidRDefault="001D23B2" w:rsidP="00192846">
      <w:pPr>
        <w:spacing w:line="360" w:lineRule="auto"/>
        <w:jc w:val="both"/>
        <w:rPr>
          <w:rFonts w:ascii="Arial" w:hAnsi="Arial" w:cs="Arial"/>
          <w:sz w:val="22"/>
          <w:szCs w:val="22"/>
        </w:rPr>
      </w:pPr>
      <w:r w:rsidRPr="001D1201">
        <w:rPr>
          <w:rFonts w:ascii="Arial" w:hAnsi="Arial" w:cs="Arial"/>
          <w:sz w:val="22"/>
          <w:szCs w:val="22"/>
        </w:rPr>
        <w:t>In the element of “idea occurs”, healthcare professionals should collaborate together for brainstorming optimal solutions for Mrs Thompson</w:t>
      </w:r>
      <w:r w:rsidR="00192846" w:rsidRPr="001D1201">
        <w:rPr>
          <w:rFonts w:ascii="Arial" w:hAnsi="Arial" w:cs="Arial"/>
          <w:sz w:val="22"/>
          <w:szCs w:val="22"/>
        </w:rPr>
        <w:t>,</w:t>
      </w:r>
      <w:r w:rsidRPr="001D1201">
        <w:rPr>
          <w:rFonts w:ascii="Arial" w:hAnsi="Arial" w:cs="Arial"/>
          <w:sz w:val="22"/>
          <w:szCs w:val="22"/>
        </w:rPr>
        <w:t xml:space="preserve"> i.e., recommending some medications to reduce dementia, cognitive behavioural therapy, strong partnership, or preventing her from going outside alone. Among these possible solutions, it is best to recommend that Mrs Thompson should be under constant supervision to prevent her from showing any inappropriate behaviour in public. Message could be encoded as: </w:t>
      </w:r>
    </w:p>
    <w:p w14:paraId="4AE970DE" w14:textId="415BBCB1" w:rsidR="001D23B2" w:rsidRPr="001D1201" w:rsidRDefault="001D23B2" w:rsidP="00192846">
      <w:pPr>
        <w:spacing w:line="360" w:lineRule="auto"/>
        <w:jc w:val="center"/>
        <w:rPr>
          <w:rFonts w:ascii="Arial" w:hAnsi="Arial" w:cs="Arial"/>
          <w:sz w:val="22"/>
          <w:szCs w:val="22"/>
        </w:rPr>
      </w:pPr>
      <w:r w:rsidRPr="001D1201">
        <w:rPr>
          <w:rFonts w:ascii="Arial" w:hAnsi="Arial" w:cs="Arial"/>
          <w:i/>
          <w:iCs/>
          <w:sz w:val="22"/>
          <w:szCs w:val="22"/>
        </w:rPr>
        <w:t>Hello Mrs Thompson, I hope you’re doing well! Our services are committed to providing excellence and prioritising your needs. It has been reported that Mrs Thompson has been showing some inappropriate behaviour, which is a concerning sign for her health. Therefore, we would recommend continuous supervision. However, our multidisciplinary care team is also available for identifying alternative solutions.</w:t>
      </w:r>
    </w:p>
    <w:p w14:paraId="52998D67" w14:textId="3C6FCAEF" w:rsidR="001D23B2" w:rsidRPr="001D1201" w:rsidRDefault="001D23B2" w:rsidP="00192846">
      <w:pPr>
        <w:spacing w:line="360" w:lineRule="auto"/>
        <w:jc w:val="both"/>
        <w:rPr>
          <w:rFonts w:ascii="Arial" w:hAnsi="Arial" w:cs="Arial"/>
          <w:sz w:val="22"/>
          <w:szCs w:val="22"/>
        </w:rPr>
      </w:pPr>
      <w:r w:rsidRPr="001D1201">
        <w:rPr>
          <w:rFonts w:ascii="Arial" w:hAnsi="Arial" w:cs="Arial"/>
          <w:sz w:val="22"/>
          <w:szCs w:val="22"/>
        </w:rPr>
        <w:t>This message</w:t>
      </w:r>
      <w:r w:rsidR="00974666" w:rsidRPr="001D1201">
        <w:rPr>
          <w:rFonts w:ascii="Arial" w:hAnsi="Arial" w:cs="Arial"/>
          <w:sz w:val="22"/>
          <w:szCs w:val="22"/>
        </w:rPr>
        <w:t xml:space="preserve"> contains elements of empathy, generous concern for Mrs Thompson’s health, and a commitment to patients’ well-being. Meanwhile, </w:t>
      </w:r>
      <w:r w:rsidR="00192846" w:rsidRPr="001D1201">
        <w:rPr>
          <w:rFonts w:ascii="Arial" w:hAnsi="Arial" w:cs="Arial"/>
          <w:sz w:val="22"/>
          <w:szCs w:val="22"/>
        </w:rPr>
        <w:t xml:space="preserve">the </w:t>
      </w:r>
      <w:r w:rsidR="00974666" w:rsidRPr="001D1201">
        <w:rPr>
          <w:rFonts w:ascii="Arial" w:hAnsi="Arial" w:cs="Arial"/>
          <w:sz w:val="22"/>
          <w:szCs w:val="22"/>
        </w:rPr>
        <w:t>message should be transmitted to a close</w:t>
      </w:r>
      <w:r w:rsidR="00192846" w:rsidRPr="001D1201">
        <w:rPr>
          <w:rFonts w:ascii="Arial" w:hAnsi="Arial" w:cs="Arial"/>
          <w:sz w:val="22"/>
          <w:szCs w:val="22"/>
        </w:rPr>
        <w:t>d</w:t>
      </w:r>
      <w:r w:rsidR="00974666" w:rsidRPr="001D1201">
        <w:rPr>
          <w:rFonts w:ascii="Arial" w:hAnsi="Arial" w:cs="Arial"/>
          <w:sz w:val="22"/>
          <w:szCs w:val="22"/>
        </w:rPr>
        <w:t xml:space="preserve"> channel</w:t>
      </w:r>
      <w:r w:rsidR="00192846" w:rsidRPr="001D1201">
        <w:rPr>
          <w:rFonts w:ascii="Arial" w:hAnsi="Arial" w:cs="Arial"/>
          <w:sz w:val="22"/>
          <w:szCs w:val="22"/>
        </w:rPr>
        <w:t>,</w:t>
      </w:r>
      <w:r w:rsidR="00974666" w:rsidRPr="001D1201">
        <w:rPr>
          <w:rFonts w:ascii="Arial" w:hAnsi="Arial" w:cs="Arial"/>
          <w:sz w:val="22"/>
          <w:szCs w:val="22"/>
        </w:rPr>
        <w:t xml:space="preserve"> for instance</w:t>
      </w:r>
      <w:r w:rsidR="00192846" w:rsidRPr="001D1201">
        <w:rPr>
          <w:rFonts w:ascii="Arial" w:hAnsi="Arial" w:cs="Arial"/>
          <w:sz w:val="22"/>
          <w:szCs w:val="22"/>
        </w:rPr>
        <w:t>, the</w:t>
      </w:r>
      <w:r w:rsidR="00974666" w:rsidRPr="001D1201">
        <w:rPr>
          <w:rFonts w:ascii="Arial" w:hAnsi="Arial" w:cs="Arial"/>
          <w:sz w:val="22"/>
          <w:szCs w:val="22"/>
        </w:rPr>
        <w:t xml:space="preserve"> professional email of Mrs Thompson’s family members. After receiving and decoding the message, healthcare professionals must </w:t>
      </w:r>
      <w:r w:rsidR="00192846" w:rsidRPr="001D1201">
        <w:rPr>
          <w:rFonts w:ascii="Arial" w:hAnsi="Arial" w:cs="Arial"/>
          <w:sz w:val="22"/>
          <w:szCs w:val="22"/>
        </w:rPr>
        <w:t xml:space="preserve">use </w:t>
      </w:r>
      <w:r w:rsidR="00974666" w:rsidRPr="001D1201">
        <w:rPr>
          <w:rFonts w:ascii="Arial" w:hAnsi="Arial" w:cs="Arial"/>
          <w:sz w:val="22"/>
          <w:szCs w:val="22"/>
        </w:rPr>
        <w:t xml:space="preserve">critical and empathic skills to meet with her family members to devise a solution together. </w:t>
      </w:r>
    </w:p>
    <w:p w14:paraId="526BB4E6" w14:textId="2F288B43" w:rsidR="00192846" w:rsidRPr="001D1201" w:rsidRDefault="00192846" w:rsidP="00192846">
      <w:pPr>
        <w:pStyle w:val="Caption"/>
        <w:keepNext/>
        <w:jc w:val="center"/>
        <w:rPr>
          <w:rFonts w:ascii="Arial" w:hAnsi="Arial" w:cs="Arial"/>
        </w:rPr>
      </w:pPr>
      <w:r w:rsidRPr="001D1201">
        <w:rPr>
          <w:rFonts w:ascii="Arial" w:hAnsi="Arial" w:cs="Arial"/>
        </w:rPr>
        <w:lastRenderedPageBreak/>
        <w:t xml:space="preserve">Figure </w:t>
      </w:r>
      <w:r w:rsidRPr="001D1201">
        <w:rPr>
          <w:rFonts w:ascii="Arial" w:hAnsi="Arial" w:cs="Arial"/>
        </w:rPr>
        <w:fldChar w:fldCharType="begin"/>
      </w:r>
      <w:r w:rsidRPr="001D1201">
        <w:rPr>
          <w:rFonts w:ascii="Arial" w:hAnsi="Arial" w:cs="Arial"/>
        </w:rPr>
        <w:instrText xml:space="preserve"> SEQ Figure \* ARABIC </w:instrText>
      </w:r>
      <w:r w:rsidRPr="001D1201">
        <w:rPr>
          <w:rFonts w:ascii="Arial" w:hAnsi="Arial" w:cs="Arial"/>
        </w:rPr>
        <w:fldChar w:fldCharType="separate"/>
      </w:r>
      <w:r w:rsidRPr="001D1201">
        <w:rPr>
          <w:rFonts w:ascii="Arial" w:hAnsi="Arial" w:cs="Arial"/>
          <w:noProof/>
        </w:rPr>
        <w:t>1</w:t>
      </w:r>
      <w:r w:rsidRPr="001D1201">
        <w:rPr>
          <w:rFonts w:ascii="Arial" w:hAnsi="Arial" w:cs="Arial"/>
          <w:noProof/>
        </w:rPr>
        <w:fldChar w:fldCharType="end"/>
      </w:r>
    </w:p>
    <w:p w14:paraId="529F223E" w14:textId="407A792F" w:rsidR="00F219CF" w:rsidRPr="001D1201" w:rsidRDefault="00974666" w:rsidP="00192846">
      <w:pPr>
        <w:spacing w:line="360" w:lineRule="auto"/>
        <w:jc w:val="center"/>
        <w:rPr>
          <w:rFonts w:ascii="Arial" w:hAnsi="Arial" w:cs="Arial"/>
          <w:sz w:val="22"/>
          <w:szCs w:val="22"/>
        </w:rPr>
      </w:pPr>
      <w:r w:rsidRPr="001D1201">
        <w:rPr>
          <w:rFonts w:ascii="Arial" w:hAnsi="Arial" w:cs="Arial"/>
          <w:noProof/>
          <w:sz w:val="22"/>
          <w:szCs w:val="22"/>
        </w:rPr>
        <w:drawing>
          <wp:inline distT="0" distB="0" distL="0" distR="0" wp14:anchorId="3587E65A" wp14:editId="3B6D4ED5">
            <wp:extent cx="3229426" cy="2372056"/>
            <wp:effectExtent l="0" t="0" r="9525" b="9525"/>
            <wp:docPr id="925412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412829" name="Picture 925412829"/>
                    <pic:cNvPicPr/>
                  </pic:nvPicPr>
                  <pic:blipFill>
                    <a:blip r:embed="rId11">
                      <a:extLst>
                        <a:ext uri="{28A0092B-C50C-407E-A947-70E740481C1C}">
                          <a14:useLocalDpi xmlns:a14="http://schemas.microsoft.com/office/drawing/2010/main" val="0"/>
                        </a:ext>
                      </a:extLst>
                    </a:blip>
                    <a:stretch>
                      <a:fillRect/>
                    </a:stretch>
                  </pic:blipFill>
                  <pic:spPr>
                    <a:xfrm>
                      <a:off x="0" y="0"/>
                      <a:ext cx="3229426" cy="2372056"/>
                    </a:xfrm>
                    <a:prstGeom prst="rect">
                      <a:avLst/>
                    </a:prstGeom>
                  </pic:spPr>
                </pic:pic>
              </a:graphicData>
            </a:graphic>
          </wp:inline>
        </w:drawing>
      </w:r>
    </w:p>
    <w:p w14:paraId="7591D1B2" w14:textId="77777777" w:rsidR="00974666" w:rsidRPr="001D1201" w:rsidRDefault="00974666" w:rsidP="00192846">
      <w:pPr>
        <w:spacing w:line="360" w:lineRule="auto"/>
        <w:jc w:val="both"/>
        <w:rPr>
          <w:rFonts w:ascii="Arial" w:hAnsi="Arial" w:cs="Arial"/>
          <w:sz w:val="22"/>
          <w:szCs w:val="22"/>
        </w:rPr>
      </w:pPr>
    </w:p>
    <w:p w14:paraId="33F72B66" w14:textId="40E8D5BB" w:rsidR="00974666" w:rsidRPr="001D1201" w:rsidRDefault="00974666" w:rsidP="00192846">
      <w:pPr>
        <w:pStyle w:val="Heading2"/>
        <w:rPr>
          <w:rFonts w:cs="Arial"/>
        </w:rPr>
      </w:pPr>
      <w:bookmarkStart w:id="3" w:name="_Toc236060596"/>
      <w:r w:rsidRPr="001D1201">
        <w:rPr>
          <w:rFonts w:cs="Arial"/>
        </w:rPr>
        <w:t>Importance of Administrative Skills</w:t>
      </w:r>
      <w:bookmarkEnd w:id="3"/>
    </w:p>
    <w:p w14:paraId="14ADB933" w14:textId="03E83590" w:rsidR="00192846" w:rsidRPr="001D1201" w:rsidRDefault="00F241D5" w:rsidP="00192846">
      <w:pPr>
        <w:spacing w:line="360" w:lineRule="auto"/>
        <w:jc w:val="both"/>
        <w:rPr>
          <w:rFonts w:ascii="Arial" w:hAnsi="Arial" w:cs="Arial"/>
          <w:sz w:val="22"/>
          <w:szCs w:val="22"/>
        </w:rPr>
      </w:pPr>
      <w:r w:rsidRPr="001D1201">
        <w:rPr>
          <w:rFonts w:ascii="Arial" w:hAnsi="Arial" w:cs="Arial"/>
          <w:sz w:val="22"/>
          <w:szCs w:val="22"/>
        </w:rPr>
        <w:t xml:space="preserve">In the field of healthcare, administrative skills encompass correct record keeping, ensuring confidentiality, providing referrals, collaborating with </w:t>
      </w:r>
      <w:r w:rsidR="00192846" w:rsidRPr="001D1201">
        <w:rPr>
          <w:rFonts w:ascii="Arial" w:hAnsi="Arial" w:cs="Arial"/>
          <w:sz w:val="22"/>
          <w:szCs w:val="22"/>
        </w:rPr>
        <w:t xml:space="preserve">a </w:t>
      </w:r>
      <w:r w:rsidRPr="001D1201">
        <w:rPr>
          <w:rFonts w:ascii="Arial" w:hAnsi="Arial" w:cs="Arial"/>
          <w:sz w:val="22"/>
          <w:szCs w:val="22"/>
        </w:rPr>
        <w:t>multidisciplinary care team, and protecting patients’ dignity. This has strong relevance to Mrs Thompson’s case</w:t>
      </w:r>
      <w:r w:rsidR="00192846" w:rsidRPr="001D1201">
        <w:rPr>
          <w:rFonts w:ascii="Arial" w:hAnsi="Arial" w:cs="Arial"/>
          <w:sz w:val="22"/>
          <w:szCs w:val="22"/>
        </w:rPr>
        <w:t>,</w:t>
      </w:r>
      <w:r w:rsidRPr="001D1201">
        <w:rPr>
          <w:rFonts w:ascii="Arial" w:hAnsi="Arial" w:cs="Arial"/>
          <w:sz w:val="22"/>
          <w:szCs w:val="22"/>
        </w:rPr>
        <w:t xml:space="preserve"> who is in a highly vulnerable position and</w:t>
      </w:r>
      <w:r w:rsidR="00192846" w:rsidRPr="001D1201">
        <w:rPr>
          <w:rFonts w:ascii="Arial" w:hAnsi="Arial" w:cs="Arial"/>
          <w:sz w:val="22"/>
          <w:szCs w:val="22"/>
        </w:rPr>
        <w:t>,</w:t>
      </w:r>
      <w:r w:rsidRPr="001D1201">
        <w:rPr>
          <w:rFonts w:ascii="Arial" w:hAnsi="Arial" w:cs="Arial"/>
          <w:sz w:val="22"/>
          <w:szCs w:val="22"/>
        </w:rPr>
        <w:t xml:space="preserve"> therefore, relevant data related to pneumonia and dementia must be recorded with careful consideration and confidentiality. Mrs. Thompson’s dementia condition is extremely sensitive because she has been forgetting to take medications. This addresses the need for accurate bookkeeping by recording her medication intake along with rem</w:t>
      </w:r>
      <w:r w:rsidR="00192846" w:rsidRPr="001D1201">
        <w:rPr>
          <w:rFonts w:ascii="Arial" w:hAnsi="Arial" w:cs="Arial"/>
          <w:sz w:val="22"/>
          <w:szCs w:val="22"/>
        </w:rPr>
        <w:t>ind</w:t>
      </w:r>
      <w:r w:rsidRPr="001D1201">
        <w:rPr>
          <w:rFonts w:ascii="Arial" w:hAnsi="Arial" w:cs="Arial"/>
          <w:sz w:val="22"/>
          <w:szCs w:val="22"/>
        </w:rPr>
        <w:t xml:space="preserve">ing her of medications. In this regard, </w:t>
      </w:r>
      <w:r w:rsidR="00192846" w:rsidRPr="001D1201">
        <w:rPr>
          <w:rFonts w:ascii="Arial" w:hAnsi="Arial" w:cs="Arial"/>
          <w:sz w:val="22"/>
          <w:szCs w:val="22"/>
        </w:rPr>
        <w:t xml:space="preserve">the </w:t>
      </w:r>
      <w:r w:rsidRPr="001D1201">
        <w:rPr>
          <w:rFonts w:ascii="Arial" w:hAnsi="Arial" w:cs="Arial"/>
          <w:sz w:val="22"/>
          <w:szCs w:val="22"/>
        </w:rPr>
        <w:t>Data Protection Act 2018 explicitly mandates organisations to use personal data to protect people against further damage (</w:t>
      </w:r>
      <w:r w:rsidR="00B01FE9" w:rsidRPr="001D1201">
        <w:rPr>
          <w:rFonts w:ascii="Arial" w:hAnsi="Arial" w:cs="Arial"/>
          <w:sz w:val="22"/>
          <w:szCs w:val="22"/>
          <w:shd w:val="clear" w:color="auto" w:fill="FFFFFF"/>
        </w:rPr>
        <w:t>GOV.UK, 2018</w:t>
      </w:r>
      <w:r w:rsidRPr="001D1201">
        <w:rPr>
          <w:rFonts w:ascii="Arial" w:hAnsi="Arial" w:cs="Arial"/>
          <w:sz w:val="22"/>
          <w:szCs w:val="22"/>
        </w:rPr>
        <w:t xml:space="preserve">). Therefore, administrative skills should be demonstrated by storing Mrs Thompson’s medication data in Microsoft </w:t>
      </w:r>
      <w:r w:rsidR="00192846" w:rsidRPr="001D1201">
        <w:rPr>
          <w:rFonts w:ascii="Arial" w:hAnsi="Arial" w:cs="Arial"/>
          <w:sz w:val="22"/>
          <w:szCs w:val="22"/>
        </w:rPr>
        <w:t>E</w:t>
      </w:r>
      <w:r w:rsidRPr="001D1201">
        <w:rPr>
          <w:rFonts w:ascii="Arial" w:hAnsi="Arial" w:cs="Arial"/>
          <w:sz w:val="22"/>
          <w:szCs w:val="22"/>
        </w:rPr>
        <w:t>xcel sheets.</w:t>
      </w:r>
    </w:p>
    <w:p w14:paraId="437A6612" w14:textId="666FCDE1" w:rsidR="00B01FE9" w:rsidRPr="001D1201" w:rsidRDefault="00F241D5" w:rsidP="00192846">
      <w:pPr>
        <w:spacing w:line="360" w:lineRule="auto"/>
        <w:jc w:val="both"/>
        <w:rPr>
          <w:rFonts w:ascii="Arial" w:hAnsi="Arial" w:cs="Arial"/>
          <w:sz w:val="22"/>
          <w:szCs w:val="22"/>
        </w:rPr>
      </w:pPr>
      <w:r w:rsidRPr="001D1201">
        <w:rPr>
          <w:rFonts w:ascii="Arial" w:hAnsi="Arial" w:cs="Arial"/>
          <w:sz w:val="22"/>
          <w:szCs w:val="22"/>
        </w:rPr>
        <w:t xml:space="preserve"> The use of paper or sheets is not recommended in Mrs Thompson’s case because such papers could easily be lost, stolen, or misplaced, which would ultimately lead to </w:t>
      </w:r>
      <w:r w:rsidR="00192846" w:rsidRPr="001D1201">
        <w:rPr>
          <w:rFonts w:ascii="Arial" w:hAnsi="Arial" w:cs="Arial"/>
          <w:sz w:val="22"/>
          <w:szCs w:val="22"/>
        </w:rPr>
        <w:t xml:space="preserve">a </w:t>
      </w:r>
      <w:r w:rsidRPr="001D1201">
        <w:rPr>
          <w:rFonts w:ascii="Arial" w:hAnsi="Arial" w:cs="Arial"/>
          <w:sz w:val="22"/>
          <w:szCs w:val="22"/>
        </w:rPr>
        <w:t xml:space="preserve">violation of </w:t>
      </w:r>
      <w:r w:rsidR="00192846" w:rsidRPr="001D1201">
        <w:rPr>
          <w:rFonts w:ascii="Arial" w:hAnsi="Arial" w:cs="Arial"/>
          <w:sz w:val="22"/>
          <w:szCs w:val="22"/>
        </w:rPr>
        <w:t xml:space="preserve">the </w:t>
      </w:r>
      <w:r w:rsidRPr="001D1201">
        <w:rPr>
          <w:rFonts w:ascii="Arial" w:hAnsi="Arial" w:cs="Arial"/>
          <w:sz w:val="22"/>
          <w:szCs w:val="22"/>
        </w:rPr>
        <w:t xml:space="preserve">Data Protection Act 2018. </w:t>
      </w:r>
      <w:r w:rsidR="00B01FE9" w:rsidRPr="001D1201">
        <w:rPr>
          <w:rFonts w:ascii="Arial" w:hAnsi="Arial" w:cs="Arial"/>
          <w:sz w:val="22"/>
          <w:szCs w:val="22"/>
        </w:rPr>
        <w:t xml:space="preserve">On the other hand, modern research argues for a more advanced documentation process. In this regard, literature highlights the importance of </w:t>
      </w:r>
      <w:r w:rsidR="00192846" w:rsidRPr="001D1201">
        <w:rPr>
          <w:rFonts w:ascii="Arial" w:hAnsi="Arial" w:cs="Arial"/>
          <w:sz w:val="22"/>
          <w:szCs w:val="22"/>
        </w:rPr>
        <w:t xml:space="preserve">the </w:t>
      </w:r>
      <w:r w:rsidR="00B01FE9" w:rsidRPr="001D1201">
        <w:rPr>
          <w:rFonts w:ascii="Arial" w:hAnsi="Arial" w:cs="Arial"/>
          <w:sz w:val="22"/>
          <w:szCs w:val="22"/>
        </w:rPr>
        <w:t>integration of Artificial Intelligence (AI) in medical record</w:t>
      </w:r>
      <w:r w:rsidR="00192846" w:rsidRPr="001D1201">
        <w:rPr>
          <w:rFonts w:ascii="Arial" w:hAnsi="Arial" w:cs="Arial"/>
          <w:sz w:val="22"/>
          <w:szCs w:val="22"/>
        </w:rPr>
        <w:t>-</w:t>
      </w:r>
      <w:r w:rsidR="00B01FE9" w:rsidRPr="001D1201">
        <w:rPr>
          <w:rFonts w:ascii="Arial" w:hAnsi="Arial" w:cs="Arial"/>
          <w:sz w:val="22"/>
          <w:szCs w:val="22"/>
        </w:rPr>
        <w:t>keeping because it not only reduces healthcare professionals’ burnout but also show</w:t>
      </w:r>
      <w:r w:rsidR="00192846" w:rsidRPr="001D1201">
        <w:rPr>
          <w:rFonts w:ascii="Arial" w:hAnsi="Arial" w:cs="Arial"/>
          <w:sz w:val="22"/>
          <w:szCs w:val="22"/>
        </w:rPr>
        <w:t>s</w:t>
      </w:r>
      <w:r w:rsidR="00B01FE9" w:rsidRPr="001D1201">
        <w:rPr>
          <w:rFonts w:ascii="Arial" w:hAnsi="Arial" w:cs="Arial"/>
          <w:sz w:val="22"/>
          <w:szCs w:val="22"/>
        </w:rPr>
        <w:t xml:space="preserve"> compliance (</w:t>
      </w:r>
      <w:proofErr w:type="spellStart"/>
      <w:r w:rsidR="00B01FE9" w:rsidRPr="001D1201">
        <w:rPr>
          <w:rFonts w:ascii="Arial" w:hAnsi="Arial" w:cs="Arial"/>
          <w:sz w:val="22"/>
          <w:szCs w:val="22"/>
          <w:shd w:val="clear" w:color="auto" w:fill="FFFFFF"/>
        </w:rPr>
        <w:t>Bongurala</w:t>
      </w:r>
      <w:proofErr w:type="spellEnd"/>
      <w:r w:rsidR="00B01FE9" w:rsidRPr="001D1201">
        <w:rPr>
          <w:rFonts w:ascii="Arial" w:hAnsi="Arial" w:cs="Arial"/>
          <w:sz w:val="22"/>
          <w:szCs w:val="22"/>
          <w:shd w:val="clear" w:color="auto" w:fill="FFFFFF"/>
        </w:rPr>
        <w:t xml:space="preserve"> et al., 2024</w:t>
      </w:r>
      <w:r w:rsidR="00B01FE9" w:rsidRPr="001D1201">
        <w:rPr>
          <w:rFonts w:ascii="Arial" w:hAnsi="Arial" w:cs="Arial"/>
          <w:sz w:val="22"/>
          <w:szCs w:val="22"/>
        </w:rPr>
        <w:t xml:space="preserve">). In the case of Mrs Thompson, record-keeping through AI is recommended because it will keep the data secure and maintain respect. Another main principle of </w:t>
      </w:r>
      <w:r w:rsidR="00192846" w:rsidRPr="001D1201">
        <w:rPr>
          <w:rFonts w:ascii="Arial" w:hAnsi="Arial" w:cs="Arial"/>
          <w:sz w:val="22"/>
          <w:szCs w:val="22"/>
        </w:rPr>
        <w:t xml:space="preserve">the </w:t>
      </w:r>
      <w:r w:rsidR="00B01FE9" w:rsidRPr="001D1201">
        <w:rPr>
          <w:rFonts w:ascii="Arial" w:hAnsi="Arial" w:cs="Arial"/>
          <w:sz w:val="22"/>
          <w:szCs w:val="22"/>
        </w:rPr>
        <w:t>Data Protection Act 2018 is data minimisation</w:t>
      </w:r>
      <w:r w:rsidR="00192846" w:rsidRPr="001D1201">
        <w:rPr>
          <w:rFonts w:ascii="Arial" w:hAnsi="Arial" w:cs="Arial"/>
          <w:sz w:val="22"/>
          <w:szCs w:val="22"/>
        </w:rPr>
        <w:t>,</w:t>
      </w:r>
      <w:r w:rsidR="00B01FE9" w:rsidRPr="001D1201">
        <w:rPr>
          <w:rFonts w:ascii="Arial" w:hAnsi="Arial" w:cs="Arial"/>
          <w:sz w:val="22"/>
          <w:szCs w:val="22"/>
        </w:rPr>
        <w:t xml:space="preserve"> where the regulation explicitly asks to store only relevant and important data (</w:t>
      </w:r>
      <w:r w:rsidR="00B01FE9" w:rsidRPr="001D1201">
        <w:rPr>
          <w:rFonts w:ascii="Arial" w:hAnsi="Arial" w:cs="Arial"/>
          <w:sz w:val="22"/>
          <w:szCs w:val="22"/>
          <w:shd w:val="clear" w:color="auto" w:fill="FFFFFF"/>
        </w:rPr>
        <w:t>GOV.UK, 2018</w:t>
      </w:r>
      <w:r w:rsidR="00B01FE9" w:rsidRPr="001D1201">
        <w:rPr>
          <w:rFonts w:ascii="Arial" w:hAnsi="Arial" w:cs="Arial"/>
          <w:sz w:val="22"/>
          <w:szCs w:val="22"/>
        </w:rPr>
        <w:t xml:space="preserve">). In </w:t>
      </w:r>
      <w:r w:rsidR="00B01FE9" w:rsidRPr="001D1201">
        <w:rPr>
          <w:rFonts w:ascii="Arial" w:hAnsi="Arial" w:cs="Arial"/>
          <w:sz w:val="22"/>
          <w:szCs w:val="22"/>
        </w:rPr>
        <w:lastRenderedPageBreak/>
        <w:t xml:space="preserve">the case of Mrs Thompson, only pneumonia, dementia, and medication data should be collected to demonstrate the application of </w:t>
      </w:r>
      <w:r w:rsidR="00192846" w:rsidRPr="001D1201">
        <w:rPr>
          <w:rFonts w:ascii="Arial" w:hAnsi="Arial" w:cs="Arial"/>
          <w:sz w:val="22"/>
          <w:szCs w:val="22"/>
        </w:rPr>
        <w:t xml:space="preserve">the </w:t>
      </w:r>
      <w:r w:rsidR="00B01FE9" w:rsidRPr="001D1201">
        <w:rPr>
          <w:rFonts w:ascii="Arial" w:hAnsi="Arial" w:cs="Arial"/>
          <w:sz w:val="22"/>
          <w:szCs w:val="22"/>
        </w:rPr>
        <w:t xml:space="preserve">Data Protection Act 2018. Ultimately, the foundations of administrative skills should lie </w:t>
      </w:r>
      <w:r w:rsidR="00192846" w:rsidRPr="001D1201">
        <w:rPr>
          <w:rFonts w:ascii="Arial" w:hAnsi="Arial" w:cs="Arial"/>
          <w:sz w:val="22"/>
          <w:szCs w:val="22"/>
        </w:rPr>
        <w:t>i</w:t>
      </w:r>
      <w:r w:rsidR="00B01FE9" w:rsidRPr="001D1201">
        <w:rPr>
          <w:rFonts w:ascii="Arial" w:hAnsi="Arial" w:cs="Arial"/>
          <w:sz w:val="22"/>
          <w:szCs w:val="22"/>
        </w:rPr>
        <w:t>n digitisation</w:t>
      </w:r>
      <w:r w:rsidR="00192846" w:rsidRPr="001D1201">
        <w:rPr>
          <w:rFonts w:ascii="Arial" w:hAnsi="Arial" w:cs="Arial"/>
          <w:sz w:val="22"/>
          <w:szCs w:val="22"/>
        </w:rPr>
        <w:t>,</w:t>
      </w:r>
      <w:r w:rsidR="00B01FE9" w:rsidRPr="001D1201">
        <w:rPr>
          <w:rFonts w:ascii="Arial" w:hAnsi="Arial" w:cs="Arial"/>
          <w:sz w:val="22"/>
          <w:szCs w:val="22"/>
        </w:rPr>
        <w:t xml:space="preserve"> where healthcare professionals should be equipped with knowledge of navigating through Microsoft Excel’s features along with using AI. </w:t>
      </w:r>
      <w:r w:rsidR="00192846" w:rsidRPr="001D1201">
        <w:rPr>
          <w:rFonts w:ascii="Arial" w:hAnsi="Arial" w:cs="Arial"/>
          <w:sz w:val="22"/>
          <w:szCs w:val="22"/>
        </w:rPr>
        <w:t xml:space="preserve">This is a major revolution in the discipline of healthcare where documentation used to be done poorly on paper. However, such traditional techniques do not guarantee patients’ autonomy, which is a significant risk factor for patients. </w:t>
      </w:r>
    </w:p>
    <w:p w14:paraId="73DB2376" w14:textId="204AE745" w:rsidR="006D4B9B" w:rsidRPr="001D1201" w:rsidRDefault="00B01FE9" w:rsidP="00192846">
      <w:pPr>
        <w:pStyle w:val="Heading2"/>
        <w:rPr>
          <w:rFonts w:cs="Arial"/>
        </w:rPr>
      </w:pPr>
      <w:bookmarkStart w:id="4" w:name="_Toc236060597"/>
      <w:r w:rsidRPr="001D1201">
        <w:rPr>
          <w:rFonts w:cs="Arial"/>
        </w:rPr>
        <w:t>Importance of Collaboration</w:t>
      </w:r>
      <w:bookmarkEnd w:id="4"/>
    </w:p>
    <w:p w14:paraId="6376103C" w14:textId="0970927C" w:rsidR="00192846" w:rsidRPr="001D1201" w:rsidRDefault="006D4B9B" w:rsidP="00192846">
      <w:pPr>
        <w:spacing w:line="360" w:lineRule="auto"/>
        <w:jc w:val="both"/>
        <w:rPr>
          <w:rFonts w:ascii="Arial" w:hAnsi="Arial" w:cs="Arial"/>
          <w:sz w:val="22"/>
          <w:szCs w:val="22"/>
        </w:rPr>
      </w:pPr>
      <w:r w:rsidRPr="001D1201">
        <w:rPr>
          <w:rFonts w:ascii="Arial" w:hAnsi="Arial" w:cs="Arial"/>
          <w:sz w:val="22"/>
          <w:szCs w:val="22"/>
        </w:rPr>
        <w:t xml:space="preserve">The case of Mrs Thompson’s reflects an urgent need for collaboration because she needs suggestions from specialised doctors of dementia, pneumonia, mental health counsellors, nurses, and </w:t>
      </w:r>
      <w:r w:rsidR="00192846" w:rsidRPr="001D1201">
        <w:rPr>
          <w:rFonts w:ascii="Arial" w:hAnsi="Arial" w:cs="Arial"/>
          <w:sz w:val="22"/>
          <w:szCs w:val="22"/>
        </w:rPr>
        <w:t xml:space="preserve">a </w:t>
      </w:r>
      <w:r w:rsidRPr="001D1201">
        <w:rPr>
          <w:rFonts w:ascii="Arial" w:hAnsi="Arial" w:cs="Arial"/>
          <w:sz w:val="22"/>
          <w:szCs w:val="22"/>
        </w:rPr>
        <w:t>multidisciplinary care team. Research has consistently highlighted the importance of collaboration in healthcare because it not only strengthens relationships among workers but also improve</w:t>
      </w:r>
      <w:r w:rsidR="00192846" w:rsidRPr="001D1201">
        <w:rPr>
          <w:rFonts w:ascii="Arial" w:hAnsi="Arial" w:cs="Arial"/>
          <w:sz w:val="22"/>
          <w:szCs w:val="22"/>
        </w:rPr>
        <w:t>s patient</w:t>
      </w:r>
      <w:r w:rsidRPr="001D1201">
        <w:rPr>
          <w:rFonts w:ascii="Arial" w:hAnsi="Arial" w:cs="Arial"/>
          <w:sz w:val="22"/>
          <w:szCs w:val="22"/>
        </w:rPr>
        <w:t xml:space="preserve"> outcomes (</w:t>
      </w:r>
      <w:r w:rsidR="00192846" w:rsidRPr="001D1201">
        <w:rPr>
          <w:rFonts w:ascii="Arial" w:hAnsi="Arial" w:cs="Arial"/>
          <w:color w:val="222222"/>
          <w:sz w:val="22"/>
          <w:szCs w:val="22"/>
          <w:shd w:val="clear" w:color="auto" w:fill="FFFFFF"/>
        </w:rPr>
        <w:t xml:space="preserve">Rosen et al., 2018; Udensi, </w:t>
      </w:r>
      <w:proofErr w:type="spellStart"/>
      <w:r w:rsidR="00192846" w:rsidRPr="001D1201">
        <w:rPr>
          <w:rFonts w:ascii="Arial" w:hAnsi="Arial" w:cs="Arial"/>
          <w:color w:val="222222"/>
          <w:sz w:val="22"/>
          <w:szCs w:val="22"/>
          <w:shd w:val="clear" w:color="auto" w:fill="FFFFFF"/>
        </w:rPr>
        <w:t>Vunnava</w:t>
      </w:r>
      <w:proofErr w:type="spellEnd"/>
      <w:r w:rsidR="00192846" w:rsidRPr="001D1201">
        <w:rPr>
          <w:rFonts w:ascii="Arial" w:hAnsi="Arial" w:cs="Arial"/>
          <w:color w:val="222222"/>
          <w:sz w:val="22"/>
          <w:szCs w:val="22"/>
          <w:shd w:val="clear" w:color="auto" w:fill="FFFFFF"/>
        </w:rPr>
        <w:t xml:space="preserve">, and </w:t>
      </w:r>
      <w:proofErr w:type="spellStart"/>
      <w:r w:rsidR="00192846" w:rsidRPr="001D1201">
        <w:rPr>
          <w:rFonts w:ascii="Arial" w:hAnsi="Arial" w:cs="Arial"/>
          <w:color w:val="222222"/>
          <w:sz w:val="22"/>
          <w:szCs w:val="22"/>
          <w:shd w:val="clear" w:color="auto" w:fill="FFFFFF"/>
        </w:rPr>
        <w:t>Durojaye</w:t>
      </w:r>
      <w:proofErr w:type="spellEnd"/>
      <w:r w:rsidR="00192846" w:rsidRPr="001D1201">
        <w:rPr>
          <w:rFonts w:ascii="Arial" w:hAnsi="Arial" w:cs="Arial"/>
          <w:color w:val="222222"/>
          <w:sz w:val="22"/>
          <w:szCs w:val="22"/>
          <w:shd w:val="clear" w:color="auto" w:fill="FFFFFF"/>
        </w:rPr>
        <w:t>, 2025</w:t>
      </w:r>
      <w:r w:rsidRPr="001D1201">
        <w:rPr>
          <w:rFonts w:ascii="Arial" w:hAnsi="Arial" w:cs="Arial"/>
          <w:sz w:val="22"/>
          <w:szCs w:val="22"/>
        </w:rPr>
        <w:t>). This stems from the underlying notion that effective collaborati</w:t>
      </w:r>
      <w:r w:rsidR="00192846" w:rsidRPr="001D1201">
        <w:rPr>
          <w:rFonts w:ascii="Arial" w:hAnsi="Arial" w:cs="Arial"/>
          <w:sz w:val="22"/>
          <w:szCs w:val="22"/>
        </w:rPr>
        <w:t>on</w:t>
      </w:r>
      <w:r w:rsidRPr="001D1201">
        <w:rPr>
          <w:rFonts w:ascii="Arial" w:hAnsi="Arial" w:cs="Arial"/>
          <w:sz w:val="22"/>
          <w:szCs w:val="22"/>
        </w:rPr>
        <w:t xml:space="preserve"> and partnership keep healthcare professionals united</w:t>
      </w:r>
      <w:r w:rsidR="00192846" w:rsidRPr="001D1201">
        <w:rPr>
          <w:rFonts w:ascii="Arial" w:hAnsi="Arial" w:cs="Arial"/>
          <w:sz w:val="22"/>
          <w:szCs w:val="22"/>
        </w:rPr>
        <w:t>,</w:t>
      </w:r>
      <w:r w:rsidRPr="001D1201">
        <w:rPr>
          <w:rFonts w:ascii="Arial" w:hAnsi="Arial" w:cs="Arial"/>
          <w:sz w:val="22"/>
          <w:szCs w:val="22"/>
        </w:rPr>
        <w:t xml:space="preserve"> and they begin to share a common vision for prior</w:t>
      </w:r>
      <w:r w:rsidR="00192846" w:rsidRPr="001D1201">
        <w:rPr>
          <w:rFonts w:ascii="Arial" w:hAnsi="Arial" w:cs="Arial"/>
          <w:sz w:val="22"/>
          <w:szCs w:val="22"/>
        </w:rPr>
        <w:t>i</w:t>
      </w:r>
      <w:r w:rsidRPr="001D1201">
        <w:rPr>
          <w:rFonts w:ascii="Arial" w:hAnsi="Arial" w:cs="Arial"/>
          <w:sz w:val="22"/>
          <w:szCs w:val="22"/>
        </w:rPr>
        <w:t>tising patients</w:t>
      </w:r>
      <w:r w:rsidR="00192846" w:rsidRPr="001D1201">
        <w:rPr>
          <w:rFonts w:ascii="Arial" w:hAnsi="Arial" w:cs="Arial"/>
          <w:sz w:val="22"/>
          <w:szCs w:val="22"/>
        </w:rPr>
        <w:t>'</w:t>
      </w:r>
      <w:r w:rsidRPr="001D1201">
        <w:rPr>
          <w:rFonts w:ascii="Arial" w:hAnsi="Arial" w:cs="Arial"/>
          <w:sz w:val="22"/>
          <w:szCs w:val="22"/>
        </w:rPr>
        <w:t xml:space="preserve"> needs. Since healthcare is a discipline </w:t>
      </w:r>
      <w:r w:rsidR="00192846" w:rsidRPr="001D1201">
        <w:rPr>
          <w:rFonts w:ascii="Arial" w:hAnsi="Arial" w:cs="Arial"/>
          <w:sz w:val="22"/>
          <w:szCs w:val="22"/>
        </w:rPr>
        <w:t>that</w:t>
      </w:r>
      <w:r w:rsidRPr="001D1201">
        <w:rPr>
          <w:rFonts w:ascii="Arial" w:hAnsi="Arial" w:cs="Arial"/>
          <w:sz w:val="22"/>
          <w:szCs w:val="22"/>
        </w:rPr>
        <w:t xml:space="preserve"> cannot be functional with healthcare professionals’ collaboration, workers must demonstrate empathy, humility, cooperation, and mutual understanding for each other. The importance of collaboration is not merely constrained to effective workplace partnership</w:t>
      </w:r>
      <w:r w:rsidR="00192846" w:rsidRPr="001D1201">
        <w:rPr>
          <w:rFonts w:ascii="Arial" w:hAnsi="Arial" w:cs="Arial"/>
          <w:sz w:val="22"/>
          <w:szCs w:val="22"/>
        </w:rPr>
        <w:t>,</w:t>
      </w:r>
      <w:r w:rsidRPr="001D1201">
        <w:rPr>
          <w:rFonts w:ascii="Arial" w:hAnsi="Arial" w:cs="Arial"/>
          <w:sz w:val="22"/>
          <w:szCs w:val="22"/>
        </w:rPr>
        <w:t xml:space="preserve"> but instead it extends to </w:t>
      </w:r>
      <w:r w:rsidR="00192846" w:rsidRPr="001D1201">
        <w:rPr>
          <w:rFonts w:ascii="Arial" w:hAnsi="Arial" w:cs="Arial"/>
          <w:sz w:val="22"/>
          <w:szCs w:val="22"/>
        </w:rPr>
        <w:t xml:space="preserve">the </w:t>
      </w:r>
      <w:r w:rsidRPr="001D1201">
        <w:rPr>
          <w:rFonts w:ascii="Arial" w:hAnsi="Arial" w:cs="Arial"/>
          <w:sz w:val="22"/>
          <w:szCs w:val="22"/>
        </w:rPr>
        <w:t xml:space="preserve">development of a growth-oriented hospital culture where workers feel appreciated and valued. </w:t>
      </w:r>
      <w:r w:rsidR="00192846" w:rsidRPr="001D1201">
        <w:rPr>
          <w:rFonts w:ascii="Arial" w:hAnsi="Arial" w:cs="Arial"/>
          <w:sz w:val="22"/>
          <w:szCs w:val="22"/>
        </w:rPr>
        <w:t xml:space="preserve">When healthcare professionals strive together and share a common vision, it also positively supports their own mental well-being. </w:t>
      </w:r>
    </w:p>
    <w:p w14:paraId="5EB862C5" w14:textId="24C66001" w:rsidR="006D4B9B" w:rsidRPr="001D1201" w:rsidRDefault="006D4B9B" w:rsidP="00192846">
      <w:pPr>
        <w:spacing w:line="360" w:lineRule="auto"/>
        <w:jc w:val="both"/>
        <w:rPr>
          <w:rFonts w:ascii="Arial" w:hAnsi="Arial" w:cs="Arial"/>
          <w:sz w:val="22"/>
          <w:szCs w:val="22"/>
        </w:rPr>
      </w:pPr>
      <w:r w:rsidRPr="001D1201">
        <w:rPr>
          <w:rFonts w:ascii="Arial" w:hAnsi="Arial" w:cs="Arial"/>
          <w:sz w:val="22"/>
          <w:szCs w:val="22"/>
        </w:rPr>
        <w:t>In the case of Mrs Thompson, all healthcare professionals</w:t>
      </w:r>
      <w:r w:rsidR="00192846" w:rsidRPr="001D1201">
        <w:rPr>
          <w:rFonts w:ascii="Arial" w:hAnsi="Arial" w:cs="Arial"/>
          <w:sz w:val="22"/>
          <w:szCs w:val="22"/>
        </w:rPr>
        <w:t>,</w:t>
      </w:r>
      <w:r w:rsidRPr="001D1201">
        <w:rPr>
          <w:rFonts w:ascii="Arial" w:hAnsi="Arial" w:cs="Arial"/>
          <w:sz w:val="22"/>
          <w:szCs w:val="22"/>
        </w:rPr>
        <w:t xml:space="preserve"> including the general practitioner, community nurse, and domiciliary care workers</w:t>
      </w:r>
      <w:r w:rsidR="00192846" w:rsidRPr="001D1201">
        <w:rPr>
          <w:rFonts w:ascii="Arial" w:hAnsi="Arial" w:cs="Arial"/>
          <w:sz w:val="22"/>
          <w:szCs w:val="22"/>
        </w:rPr>
        <w:t>,</w:t>
      </w:r>
      <w:r w:rsidRPr="001D1201">
        <w:rPr>
          <w:rFonts w:ascii="Arial" w:hAnsi="Arial" w:cs="Arial"/>
          <w:sz w:val="22"/>
          <w:szCs w:val="22"/>
        </w:rPr>
        <w:t xml:space="preserve"> should collaboratively work. However, one of the major challenges that may hinder collaboration is overlapping schedules. Under such circumstances, all healthcare professionals can share and update each other on Mrs Thompson’s data by using electronic health records. Similarly, regular multidisciplinary care meetings can be conducted </w:t>
      </w:r>
      <w:r w:rsidR="00192846" w:rsidRPr="001D1201">
        <w:rPr>
          <w:rFonts w:ascii="Arial" w:hAnsi="Arial" w:cs="Arial"/>
          <w:sz w:val="22"/>
          <w:szCs w:val="22"/>
        </w:rPr>
        <w:t>with</w:t>
      </w:r>
      <w:r w:rsidRPr="001D1201">
        <w:rPr>
          <w:rFonts w:ascii="Arial" w:hAnsi="Arial" w:cs="Arial"/>
          <w:sz w:val="22"/>
          <w:szCs w:val="22"/>
        </w:rPr>
        <w:t xml:space="preserve"> mutual understanding. In such meetings, all healthcare professionals, </w:t>
      </w:r>
      <w:r w:rsidR="00192846" w:rsidRPr="001D1201">
        <w:rPr>
          <w:rFonts w:ascii="Arial" w:hAnsi="Arial" w:cs="Arial"/>
          <w:sz w:val="22"/>
          <w:szCs w:val="22"/>
        </w:rPr>
        <w:t xml:space="preserve">the </w:t>
      </w:r>
      <w:r w:rsidRPr="001D1201">
        <w:rPr>
          <w:rFonts w:ascii="Arial" w:hAnsi="Arial" w:cs="Arial"/>
          <w:sz w:val="22"/>
          <w:szCs w:val="22"/>
        </w:rPr>
        <w:t xml:space="preserve">multidisciplinary care team, and Mrs Thompson’s family members can collaborate for developing care plans. </w:t>
      </w:r>
    </w:p>
    <w:p w14:paraId="6872CCA3" w14:textId="5F092230" w:rsidR="006D4B9B" w:rsidRPr="001D1201" w:rsidRDefault="006D4B9B" w:rsidP="00192846">
      <w:pPr>
        <w:pStyle w:val="Heading2"/>
        <w:rPr>
          <w:rFonts w:cs="Arial"/>
        </w:rPr>
      </w:pPr>
      <w:bookmarkStart w:id="5" w:name="_Toc236060598"/>
      <w:r w:rsidRPr="001D1201">
        <w:rPr>
          <w:rFonts w:cs="Arial"/>
        </w:rPr>
        <w:t>Conclusion</w:t>
      </w:r>
      <w:bookmarkEnd w:id="5"/>
    </w:p>
    <w:p w14:paraId="28830139" w14:textId="06C58F59" w:rsidR="00192846" w:rsidRPr="001D1201" w:rsidRDefault="006D4B9B" w:rsidP="00192846">
      <w:pPr>
        <w:spacing w:line="360" w:lineRule="auto"/>
        <w:jc w:val="both"/>
        <w:rPr>
          <w:rFonts w:ascii="Arial" w:hAnsi="Arial" w:cs="Arial"/>
          <w:sz w:val="22"/>
          <w:szCs w:val="22"/>
        </w:rPr>
      </w:pPr>
      <w:r w:rsidRPr="001D1201">
        <w:rPr>
          <w:rFonts w:ascii="Arial" w:hAnsi="Arial" w:cs="Arial"/>
          <w:sz w:val="22"/>
          <w:szCs w:val="22"/>
        </w:rPr>
        <w:t xml:space="preserve">In conclusion, Mrs Thompson’s case reflects serious problems of pneumonia, dementia, inappropriate behaviour, and a lack of concern for </w:t>
      </w:r>
      <w:r w:rsidR="00192846" w:rsidRPr="001D1201">
        <w:rPr>
          <w:rFonts w:ascii="Arial" w:hAnsi="Arial" w:cs="Arial"/>
          <w:sz w:val="22"/>
          <w:szCs w:val="22"/>
        </w:rPr>
        <w:t xml:space="preserve">the </w:t>
      </w:r>
      <w:r w:rsidRPr="001D1201">
        <w:rPr>
          <w:rFonts w:ascii="Arial" w:hAnsi="Arial" w:cs="Arial"/>
          <w:sz w:val="22"/>
          <w:szCs w:val="22"/>
        </w:rPr>
        <w:t xml:space="preserve">public. However, she is protected against discrimination for her disability, as recognised by the Equality Act 2010. One of the key findings </w:t>
      </w:r>
      <w:r w:rsidRPr="001D1201">
        <w:rPr>
          <w:rFonts w:ascii="Arial" w:hAnsi="Arial" w:cs="Arial"/>
          <w:sz w:val="22"/>
          <w:szCs w:val="22"/>
        </w:rPr>
        <w:lastRenderedPageBreak/>
        <w:t>highlighted that healthcare professionals are required to demonstrate the application of effective communication, collaboration, and administrati</w:t>
      </w:r>
      <w:r w:rsidR="00192846" w:rsidRPr="001D1201">
        <w:rPr>
          <w:rFonts w:ascii="Arial" w:hAnsi="Arial" w:cs="Arial"/>
          <w:sz w:val="22"/>
          <w:szCs w:val="22"/>
        </w:rPr>
        <w:t>ve</w:t>
      </w:r>
      <w:r w:rsidRPr="001D1201">
        <w:rPr>
          <w:rFonts w:ascii="Arial" w:hAnsi="Arial" w:cs="Arial"/>
          <w:sz w:val="22"/>
          <w:szCs w:val="22"/>
        </w:rPr>
        <w:t xml:space="preserve"> skills for supporting Mrs Thompson’s needs. While effective communication will help in building </w:t>
      </w:r>
      <w:r w:rsidR="00192846" w:rsidRPr="001D1201">
        <w:rPr>
          <w:rFonts w:ascii="Arial" w:hAnsi="Arial" w:cs="Arial"/>
          <w:sz w:val="22"/>
          <w:szCs w:val="22"/>
        </w:rPr>
        <w:t xml:space="preserve">a </w:t>
      </w:r>
      <w:r w:rsidRPr="001D1201">
        <w:rPr>
          <w:rFonts w:ascii="Arial" w:hAnsi="Arial" w:cs="Arial"/>
          <w:sz w:val="22"/>
          <w:szCs w:val="22"/>
        </w:rPr>
        <w:t>long-lasting relationship with the patient, collaboration will keep the multidisciplinary care team united for</w:t>
      </w:r>
      <w:r w:rsidR="00192846" w:rsidRPr="001D1201">
        <w:rPr>
          <w:rFonts w:ascii="Arial" w:hAnsi="Arial" w:cs="Arial"/>
          <w:sz w:val="22"/>
          <w:szCs w:val="22"/>
        </w:rPr>
        <w:t xml:space="preserve"> supporting Mrs Thompson’s health. Finally, digital administrative skills will not only keep her dignity protected but also show compliance with the Data Protection Act 2018. Ultimately, the findings have reflected on the importance of healthcare professionals’ skills by emphasising that they must use advanced digital skills for record-keeping. </w:t>
      </w:r>
    </w:p>
    <w:p w14:paraId="64190F3D" w14:textId="77777777" w:rsidR="00192846" w:rsidRPr="001D1201" w:rsidRDefault="00192846">
      <w:pPr>
        <w:rPr>
          <w:rFonts w:ascii="Arial" w:hAnsi="Arial" w:cs="Arial"/>
          <w:sz w:val="22"/>
          <w:szCs w:val="22"/>
        </w:rPr>
      </w:pPr>
      <w:r w:rsidRPr="001D1201">
        <w:rPr>
          <w:rFonts w:ascii="Arial" w:hAnsi="Arial" w:cs="Arial"/>
          <w:sz w:val="22"/>
          <w:szCs w:val="22"/>
        </w:rPr>
        <w:br w:type="page"/>
      </w:r>
    </w:p>
    <w:p w14:paraId="29002CDB" w14:textId="0D12467E" w:rsidR="006D4B9B" w:rsidRPr="001D1201" w:rsidRDefault="00192846" w:rsidP="00192846">
      <w:pPr>
        <w:pStyle w:val="Heading1"/>
        <w:rPr>
          <w:rFonts w:cs="Arial"/>
        </w:rPr>
      </w:pPr>
      <w:bookmarkStart w:id="6" w:name="_Toc236060599"/>
      <w:r w:rsidRPr="001D1201">
        <w:rPr>
          <w:rFonts w:cs="Arial"/>
        </w:rPr>
        <w:lastRenderedPageBreak/>
        <w:t>References</w:t>
      </w:r>
      <w:bookmarkEnd w:id="6"/>
    </w:p>
    <w:p w14:paraId="73B976E4"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proofErr w:type="spellStart"/>
      <w:r w:rsidRPr="001D1201">
        <w:rPr>
          <w:rFonts w:ascii="Arial" w:eastAsia="Times New Roman" w:hAnsi="Arial" w:cs="Arial"/>
          <w:sz w:val="22"/>
          <w:szCs w:val="22"/>
          <w:lang w:eastAsia="en-IE"/>
        </w:rPr>
        <w:t>Bongurala</w:t>
      </w:r>
      <w:proofErr w:type="spellEnd"/>
      <w:r w:rsidRPr="001D1201">
        <w:rPr>
          <w:rFonts w:ascii="Arial" w:eastAsia="Times New Roman" w:hAnsi="Arial" w:cs="Arial"/>
          <w:sz w:val="22"/>
          <w:szCs w:val="22"/>
          <w:lang w:eastAsia="en-IE"/>
        </w:rPr>
        <w:t xml:space="preserve">, A.R., Save, D., Virmani, A. and Kashyap, R. (2024). Transforming Health Care </w:t>
      </w:r>
      <w:proofErr w:type="gramStart"/>
      <w:r w:rsidRPr="001D1201">
        <w:rPr>
          <w:rFonts w:ascii="Arial" w:eastAsia="Times New Roman" w:hAnsi="Arial" w:cs="Arial"/>
          <w:sz w:val="22"/>
          <w:szCs w:val="22"/>
          <w:lang w:eastAsia="en-IE"/>
        </w:rPr>
        <w:t>With</w:t>
      </w:r>
      <w:proofErr w:type="gramEnd"/>
      <w:r w:rsidRPr="001D1201">
        <w:rPr>
          <w:rFonts w:ascii="Arial" w:eastAsia="Times New Roman" w:hAnsi="Arial" w:cs="Arial"/>
          <w:sz w:val="22"/>
          <w:szCs w:val="22"/>
          <w:lang w:eastAsia="en-IE"/>
        </w:rPr>
        <w:t xml:space="preserve"> Artificial Intelligence (AI): Redefining Medical Documentation. </w:t>
      </w:r>
      <w:r w:rsidRPr="001D1201">
        <w:rPr>
          <w:rFonts w:ascii="Arial" w:eastAsia="Times New Roman" w:hAnsi="Arial" w:cs="Arial"/>
          <w:i/>
          <w:iCs/>
          <w:sz w:val="22"/>
          <w:szCs w:val="22"/>
          <w:lang w:eastAsia="en-IE"/>
        </w:rPr>
        <w:t>Mayo Clinic proceedings. Digital health</w:t>
      </w:r>
      <w:r w:rsidRPr="001D1201">
        <w:rPr>
          <w:rFonts w:ascii="Arial" w:eastAsia="Times New Roman" w:hAnsi="Arial" w:cs="Arial"/>
          <w:sz w:val="22"/>
          <w:szCs w:val="22"/>
          <w:lang w:eastAsia="en-IE"/>
        </w:rPr>
        <w:t xml:space="preserve">, 2(3). </w:t>
      </w:r>
      <w:proofErr w:type="gramStart"/>
      <w:r w:rsidRPr="001D1201">
        <w:rPr>
          <w:rFonts w:ascii="Arial" w:eastAsia="Times New Roman" w:hAnsi="Arial" w:cs="Arial"/>
          <w:sz w:val="22"/>
          <w:szCs w:val="22"/>
          <w:lang w:eastAsia="en-IE"/>
        </w:rPr>
        <w:t>doi:10.1016/j.mcpdig</w:t>
      </w:r>
      <w:proofErr w:type="gramEnd"/>
      <w:r w:rsidRPr="001D1201">
        <w:rPr>
          <w:rFonts w:ascii="Arial" w:eastAsia="Times New Roman" w:hAnsi="Arial" w:cs="Arial"/>
          <w:sz w:val="22"/>
          <w:szCs w:val="22"/>
          <w:lang w:eastAsia="en-IE"/>
        </w:rPr>
        <w:t>.2024.05.006.</w:t>
      </w:r>
    </w:p>
    <w:p w14:paraId="2D130B21"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r w:rsidRPr="001D1201">
        <w:rPr>
          <w:rFonts w:ascii="Arial" w:eastAsia="Times New Roman" w:hAnsi="Arial" w:cs="Arial"/>
          <w:sz w:val="22"/>
          <w:szCs w:val="22"/>
          <w:lang w:eastAsia="en-IE"/>
        </w:rPr>
        <w:t xml:space="preserve">Gov. UK (2023). </w:t>
      </w:r>
      <w:r w:rsidRPr="001D1201">
        <w:rPr>
          <w:rFonts w:ascii="Arial" w:eastAsia="Times New Roman" w:hAnsi="Arial" w:cs="Arial"/>
          <w:i/>
          <w:iCs/>
          <w:sz w:val="22"/>
          <w:szCs w:val="22"/>
          <w:lang w:eastAsia="en-IE"/>
        </w:rPr>
        <w:t>The NHS is 75 and so is the social care system – Social care</w:t>
      </w:r>
      <w:r w:rsidRPr="001D1201">
        <w:rPr>
          <w:rFonts w:ascii="Arial" w:eastAsia="Times New Roman" w:hAnsi="Arial" w:cs="Arial"/>
          <w:sz w:val="22"/>
          <w:szCs w:val="22"/>
          <w:lang w:eastAsia="en-IE"/>
        </w:rPr>
        <w:t xml:space="preserve">. [online] </w:t>
      </w:r>
      <w:r w:rsidRPr="001D1201">
        <w:rPr>
          <w:rFonts w:ascii="Arial" w:eastAsia="Times New Roman" w:hAnsi="Arial" w:cs="Arial"/>
          <w:i/>
          <w:iCs/>
          <w:sz w:val="22"/>
          <w:szCs w:val="22"/>
          <w:lang w:eastAsia="en-IE"/>
        </w:rPr>
        <w:t>Blog.gov.uk</w:t>
      </w:r>
      <w:r w:rsidRPr="001D1201">
        <w:rPr>
          <w:rFonts w:ascii="Arial" w:eastAsia="Times New Roman" w:hAnsi="Arial" w:cs="Arial"/>
          <w:sz w:val="22"/>
          <w:szCs w:val="22"/>
          <w:lang w:eastAsia="en-IE"/>
        </w:rPr>
        <w:t xml:space="preserve">. Available at: </w:t>
      </w:r>
      <w:hyperlink r:id="rId12" w:history="1">
        <w:r w:rsidRPr="001D1201">
          <w:rPr>
            <w:rStyle w:val="Hyperlink"/>
            <w:rFonts w:ascii="Arial" w:eastAsia="Times New Roman" w:hAnsi="Arial" w:cs="Arial"/>
            <w:sz w:val="22"/>
            <w:szCs w:val="22"/>
            <w:lang w:eastAsia="en-IE"/>
          </w:rPr>
          <w:t>https://socialcare.blog.gov.uk/2023/07/05/the-nhs-is-75-and-so-is-the-social-care-system/</w:t>
        </w:r>
      </w:hyperlink>
      <w:r w:rsidRPr="001D1201">
        <w:rPr>
          <w:rFonts w:ascii="Arial" w:eastAsia="Times New Roman" w:hAnsi="Arial" w:cs="Arial"/>
          <w:sz w:val="22"/>
          <w:szCs w:val="22"/>
          <w:lang w:eastAsia="en-IE"/>
        </w:rPr>
        <w:t xml:space="preserve">  [Accessed 23 July 2026].</w:t>
      </w:r>
    </w:p>
    <w:p w14:paraId="4E9EC608"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r w:rsidRPr="001D1201">
        <w:rPr>
          <w:rFonts w:ascii="Arial" w:eastAsia="Times New Roman" w:hAnsi="Arial" w:cs="Arial"/>
          <w:sz w:val="22"/>
          <w:szCs w:val="22"/>
          <w:lang w:eastAsia="en-IE"/>
        </w:rPr>
        <w:t xml:space="preserve">GOV.UK (2010a). </w:t>
      </w:r>
      <w:r w:rsidRPr="001D1201">
        <w:rPr>
          <w:rFonts w:ascii="Arial" w:eastAsia="Times New Roman" w:hAnsi="Arial" w:cs="Arial"/>
          <w:i/>
          <w:iCs/>
          <w:sz w:val="22"/>
          <w:szCs w:val="22"/>
          <w:lang w:eastAsia="en-IE"/>
        </w:rPr>
        <w:t>Equality Act 2010</w:t>
      </w:r>
      <w:r w:rsidRPr="001D1201">
        <w:rPr>
          <w:rFonts w:ascii="Arial" w:eastAsia="Times New Roman" w:hAnsi="Arial" w:cs="Arial"/>
          <w:sz w:val="22"/>
          <w:szCs w:val="22"/>
          <w:lang w:eastAsia="en-IE"/>
        </w:rPr>
        <w:t xml:space="preserve">. [online] </w:t>
      </w:r>
      <w:r w:rsidRPr="001D1201">
        <w:rPr>
          <w:rFonts w:ascii="Arial" w:eastAsia="Times New Roman" w:hAnsi="Arial" w:cs="Arial"/>
          <w:i/>
          <w:iCs/>
          <w:sz w:val="22"/>
          <w:szCs w:val="22"/>
          <w:lang w:eastAsia="en-IE"/>
        </w:rPr>
        <w:t>Legislation.gov.uk</w:t>
      </w:r>
      <w:r w:rsidRPr="001D1201">
        <w:rPr>
          <w:rFonts w:ascii="Arial" w:eastAsia="Times New Roman" w:hAnsi="Arial" w:cs="Arial"/>
          <w:sz w:val="22"/>
          <w:szCs w:val="22"/>
          <w:lang w:eastAsia="en-IE"/>
        </w:rPr>
        <w:t xml:space="preserve">, Available at: </w:t>
      </w:r>
      <w:hyperlink r:id="rId13" w:history="1">
        <w:r w:rsidRPr="001D1201">
          <w:rPr>
            <w:rStyle w:val="Hyperlink"/>
            <w:rFonts w:ascii="Arial" w:eastAsia="Times New Roman" w:hAnsi="Arial" w:cs="Arial"/>
            <w:sz w:val="22"/>
            <w:szCs w:val="22"/>
            <w:lang w:eastAsia="en-IE"/>
          </w:rPr>
          <w:t>https://www.legislation.gov.uk/ukpga/2010/15/section/20</w:t>
        </w:r>
      </w:hyperlink>
      <w:r w:rsidRPr="001D1201">
        <w:rPr>
          <w:rFonts w:ascii="Arial" w:eastAsia="Times New Roman" w:hAnsi="Arial" w:cs="Arial"/>
          <w:sz w:val="22"/>
          <w:szCs w:val="22"/>
          <w:lang w:eastAsia="en-IE"/>
        </w:rPr>
        <w:t xml:space="preserve">  [Accessed 23 July 2026].</w:t>
      </w:r>
    </w:p>
    <w:p w14:paraId="3C2000F7"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r w:rsidRPr="001D1201">
        <w:rPr>
          <w:rFonts w:ascii="Arial" w:eastAsia="Times New Roman" w:hAnsi="Arial" w:cs="Arial"/>
          <w:sz w:val="22"/>
          <w:szCs w:val="22"/>
          <w:lang w:eastAsia="en-IE"/>
        </w:rPr>
        <w:t xml:space="preserve">GOV.UK (2018). </w:t>
      </w:r>
      <w:r w:rsidRPr="001D1201">
        <w:rPr>
          <w:rFonts w:ascii="Arial" w:eastAsia="Times New Roman" w:hAnsi="Arial" w:cs="Arial"/>
          <w:i/>
          <w:iCs/>
          <w:sz w:val="22"/>
          <w:szCs w:val="22"/>
          <w:lang w:eastAsia="en-IE"/>
        </w:rPr>
        <w:t>Data Protection Act 2018</w:t>
      </w:r>
      <w:r w:rsidRPr="001D1201">
        <w:rPr>
          <w:rFonts w:ascii="Arial" w:eastAsia="Times New Roman" w:hAnsi="Arial" w:cs="Arial"/>
          <w:sz w:val="22"/>
          <w:szCs w:val="22"/>
          <w:lang w:eastAsia="en-IE"/>
        </w:rPr>
        <w:t xml:space="preserve">. [online] </w:t>
      </w:r>
      <w:r w:rsidRPr="001D1201">
        <w:rPr>
          <w:rFonts w:ascii="Arial" w:eastAsia="Times New Roman" w:hAnsi="Arial" w:cs="Arial"/>
          <w:i/>
          <w:iCs/>
          <w:sz w:val="22"/>
          <w:szCs w:val="22"/>
          <w:lang w:eastAsia="en-IE"/>
        </w:rPr>
        <w:t>legislation.gov.uk</w:t>
      </w:r>
      <w:r w:rsidRPr="001D1201">
        <w:rPr>
          <w:rFonts w:ascii="Arial" w:eastAsia="Times New Roman" w:hAnsi="Arial" w:cs="Arial"/>
          <w:sz w:val="22"/>
          <w:szCs w:val="22"/>
          <w:lang w:eastAsia="en-IE"/>
        </w:rPr>
        <w:t xml:space="preserve">. Available at: </w:t>
      </w:r>
      <w:hyperlink r:id="rId14" w:history="1">
        <w:r w:rsidRPr="001D1201">
          <w:rPr>
            <w:rStyle w:val="Hyperlink"/>
            <w:rFonts w:ascii="Arial" w:eastAsia="Times New Roman" w:hAnsi="Arial" w:cs="Arial"/>
            <w:sz w:val="22"/>
            <w:szCs w:val="22"/>
            <w:lang w:eastAsia="en-IE"/>
          </w:rPr>
          <w:t>https://www.legislation.gov.uk/ukpga/2018/12/contents</w:t>
        </w:r>
      </w:hyperlink>
      <w:r w:rsidRPr="001D1201">
        <w:rPr>
          <w:rFonts w:ascii="Arial" w:eastAsia="Times New Roman" w:hAnsi="Arial" w:cs="Arial"/>
          <w:sz w:val="22"/>
          <w:szCs w:val="22"/>
          <w:lang w:eastAsia="en-IE"/>
        </w:rPr>
        <w:t xml:space="preserve">  [Accessed 23 July 2026].</w:t>
      </w:r>
    </w:p>
    <w:p w14:paraId="32D1D853"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r w:rsidRPr="001D1201">
        <w:rPr>
          <w:rFonts w:ascii="Arial" w:eastAsia="Times New Roman" w:hAnsi="Arial" w:cs="Arial"/>
          <w:sz w:val="22"/>
          <w:szCs w:val="22"/>
          <w:lang w:eastAsia="en-IE"/>
        </w:rPr>
        <w:t xml:space="preserve">Gov.UK (2025). </w:t>
      </w:r>
      <w:r w:rsidRPr="001D1201">
        <w:rPr>
          <w:rFonts w:ascii="Arial" w:eastAsia="Times New Roman" w:hAnsi="Arial" w:cs="Arial"/>
          <w:i/>
          <w:iCs/>
          <w:sz w:val="22"/>
          <w:szCs w:val="22"/>
          <w:lang w:eastAsia="en-IE"/>
        </w:rPr>
        <w:t>Chapter 2: where the NHS is today</w:t>
      </w:r>
      <w:r w:rsidRPr="001D1201">
        <w:rPr>
          <w:rFonts w:ascii="Arial" w:eastAsia="Times New Roman" w:hAnsi="Arial" w:cs="Arial"/>
          <w:sz w:val="22"/>
          <w:szCs w:val="22"/>
          <w:lang w:eastAsia="en-IE"/>
        </w:rPr>
        <w:t xml:space="preserve">. [online] </w:t>
      </w:r>
      <w:r w:rsidRPr="001D1201">
        <w:rPr>
          <w:rFonts w:ascii="Arial" w:eastAsia="Times New Roman" w:hAnsi="Arial" w:cs="Arial"/>
          <w:i/>
          <w:iCs/>
          <w:sz w:val="22"/>
          <w:szCs w:val="22"/>
          <w:lang w:eastAsia="en-IE"/>
        </w:rPr>
        <w:t>GOV.UK</w:t>
      </w:r>
      <w:r w:rsidRPr="001D1201">
        <w:rPr>
          <w:rFonts w:ascii="Arial" w:eastAsia="Times New Roman" w:hAnsi="Arial" w:cs="Arial"/>
          <w:sz w:val="22"/>
          <w:szCs w:val="22"/>
          <w:lang w:eastAsia="en-IE"/>
        </w:rPr>
        <w:t xml:space="preserve">. Available at: </w:t>
      </w:r>
      <w:hyperlink r:id="rId15" w:history="1">
        <w:r w:rsidRPr="001D1201">
          <w:rPr>
            <w:rStyle w:val="Hyperlink"/>
            <w:rFonts w:ascii="Arial" w:eastAsia="Times New Roman" w:hAnsi="Arial" w:cs="Arial"/>
            <w:sz w:val="22"/>
            <w:szCs w:val="22"/>
            <w:lang w:eastAsia="en-IE"/>
          </w:rPr>
          <w:t>https://www.gov.uk/government/publications/engagement-insight-report-10-year-health-plan-for-england/chapter-2-where-the-nhs-is-today</w:t>
        </w:r>
      </w:hyperlink>
      <w:r w:rsidRPr="001D1201">
        <w:rPr>
          <w:rFonts w:ascii="Arial" w:eastAsia="Times New Roman" w:hAnsi="Arial" w:cs="Arial"/>
          <w:sz w:val="22"/>
          <w:szCs w:val="22"/>
          <w:lang w:eastAsia="en-IE"/>
        </w:rPr>
        <w:t xml:space="preserve">  [Accessed 23 July 2026].</w:t>
      </w:r>
    </w:p>
    <w:p w14:paraId="3764C4C4" w14:textId="77777777" w:rsidR="00192846" w:rsidRPr="001D1201" w:rsidRDefault="00192846" w:rsidP="00192846">
      <w:pPr>
        <w:spacing w:line="360" w:lineRule="auto"/>
        <w:ind w:left="720" w:hanging="720"/>
        <w:jc w:val="both"/>
        <w:rPr>
          <w:rFonts w:ascii="Arial" w:hAnsi="Arial" w:cs="Arial"/>
          <w:color w:val="222222"/>
          <w:sz w:val="22"/>
          <w:szCs w:val="22"/>
          <w:shd w:val="clear" w:color="auto" w:fill="FFFFFF"/>
        </w:rPr>
      </w:pPr>
      <w:r w:rsidRPr="001D1201">
        <w:rPr>
          <w:rFonts w:ascii="Arial" w:hAnsi="Arial" w:cs="Arial"/>
          <w:color w:val="222222"/>
          <w:sz w:val="22"/>
          <w:szCs w:val="22"/>
          <w:shd w:val="clear" w:color="auto" w:fill="FFFFFF"/>
        </w:rPr>
        <w:t>Leotin, S. (2025). Addressing health communication gaps: improving patient experiences and outcomes through human-</w:t>
      </w:r>
      <w:proofErr w:type="spellStart"/>
      <w:r w:rsidRPr="001D1201">
        <w:rPr>
          <w:rFonts w:ascii="Arial" w:hAnsi="Arial" w:cs="Arial"/>
          <w:color w:val="222222"/>
          <w:sz w:val="22"/>
          <w:szCs w:val="22"/>
          <w:shd w:val="clear" w:color="auto" w:fill="FFFFFF"/>
        </w:rPr>
        <w:t>centered</w:t>
      </w:r>
      <w:proofErr w:type="spellEnd"/>
      <w:r w:rsidRPr="001D1201">
        <w:rPr>
          <w:rFonts w:ascii="Arial" w:hAnsi="Arial" w:cs="Arial"/>
          <w:color w:val="222222"/>
          <w:sz w:val="22"/>
          <w:szCs w:val="22"/>
          <w:shd w:val="clear" w:color="auto" w:fill="FFFFFF"/>
        </w:rPr>
        <w:t xml:space="preserve"> design. </w:t>
      </w:r>
      <w:r w:rsidRPr="001D1201">
        <w:rPr>
          <w:rFonts w:ascii="Arial" w:hAnsi="Arial" w:cs="Arial"/>
          <w:i/>
          <w:iCs/>
          <w:color w:val="222222"/>
          <w:sz w:val="22"/>
          <w:szCs w:val="22"/>
          <w:shd w:val="clear" w:color="auto" w:fill="FFFFFF"/>
        </w:rPr>
        <w:t>Journal of Patient Experience</w:t>
      </w:r>
      <w:r w:rsidRPr="001D1201">
        <w:rPr>
          <w:rFonts w:ascii="Arial" w:hAnsi="Arial" w:cs="Arial"/>
          <w:color w:val="222222"/>
          <w:sz w:val="22"/>
          <w:szCs w:val="22"/>
          <w:shd w:val="clear" w:color="auto" w:fill="FFFFFF"/>
        </w:rPr>
        <w:t>, </w:t>
      </w:r>
      <w:r w:rsidRPr="001D1201">
        <w:rPr>
          <w:rFonts w:ascii="Arial" w:hAnsi="Arial" w:cs="Arial"/>
          <w:i/>
          <w:iCs/>
          <w:color w:val="222222"/>
          <w:sz w:val="22"/>
          <w:szCs w:val="22"/>
          <w:shd w:val="clear" w:color="auto" w:fill="FFFFFF"/>
        </w:rPr>
        <w:t>12</w:t>
      </w:r>
      <w:r w:rsidRPr="001D1201">
        <w:rPr>
          <w:rFonts w:ascii="Arial" w:hAnsi="Arial" w:cs="Arial"/>
          <w:color w:val="222222"/>
          <w:sz w:val="22"/>
          <w:szCs w:val="22"/>
          <w:shd w:val="clear" w:color="auto" w:fill="FFFFFF"/>
        </w:rPr>
        <w:t>, 23743735251334015.</w:t>
      </w:r>
    </w:p>
    <w:p w14:paraId="2FDD5A29" w14:textId="77777777" w:rsidR="00192846" w:rsidRPr="001D1201" w:rsidRDefault="00192846" w:rsidP="00192846">
      <w:pPr>
        <w:spacing w:line="360" w:lineRule="auto"/>
        <w:ind w:left="720" w:hanging="720"/>
        <w:jc w:val="both"/>
        <w:rPr>
          <w:rFonts w:ascii="Arial" w:hAnsi="Arial" w:cs="Arial"/>
          <w:sz w:val="22"/>
          <w:szCs w:val="22"/>
        </w:rPr>
      </w:pPr>
      <w:r w:rsidRPr="001D1201">
        <w:rPr>
          <w:rFonts w:ascii="Arial" w:hAnsi="Arial" w:cs="Arial"/>
          <w:sz w:val="22"/>
          <w:szCs w:val="22"/>
        </w:rPr>
        <w:t xml:space="preserve">NHS (2013). </w:t>
      </w:r>
      <w:r w:rsidRPr="001D1201">
        <w:rPr>
          <w:rFonts w:ascii="Arial" w:hAnsi="Arial" w:cs="Arial"/>
          <w:i/>
          <w:iCs/>
          <w:sz w:val="22"/>
          <w:szCs w:val="22"/>
        </w:rPr>
        <w:t xml:space="preserve">Guide to the Healthcare System in England. </w:t>
      </w:r>
      <w:r w:rsidRPr="001D1201">
        <w:rPr>
          <w:rFonts w:ascii="Arial" w:hAnsi="Arial" w:cs="Arial"/>
          <w:sz w:val="22"/>
          <w:szCs w:val="22"/>
        </w:rPr>
        <w:t xml:space="preserve">[online]. </w:t>
      </w:r>
      <w:r w:rsidRPr="001D1201">
        <w:rPr>
          <w:rFonts w:ascii="Arial" w:hAnsi="Arial" w:cs="Arial"/>
          <w:i/>
          <w:iCs/>
          <w:sz w:val="22"/>
          <w:szCs w:val="22"/>
        </w:rPr>
        <w:t xml:space="preserve">NHS. </w:t>
      </w:r>
      <w:r w:rsidRPr="001D1201">
        <w:rPr>
          <w:rFonts w:ascii="Arial" w:hAnsi="Arial" w:cs="Arial"/>
          <w:sz w:val="22"/>
          <w:szCs w:val="22"/>
        </w:rPr>
        <w:t xml:space="preserve">Available at </w:t>
      </w:r>
      <w:hyperlink r:id="rId16" w:history="1">
        <w:r w:rsidRPr="001D1201">
          <w:rPr>
            <w:rStyle w:val="Hyperlink"/>
            <w:rFonts w:ascii="Arial" w:hAnsi="Arial" w:cs="Arial"/>
            <w:sz w:val="22"/>
            <w:szCs w:val="22"/>
          </w:rPr>
          <w:t>https://assets.publishing.service.gov.uk/media/5a7acf3340f0b66a2fc02f47/9421-2900878-TSO-NHS_Guide_to_Healthcare_WEB.PDF</w:t>
        </w:r>
      </w:hyperlink>
      <w:r w:rsidRPr="001D1201">
        <w:rPr>
          <w:rFonts w:ascii="Arial" w:hAnsi="Arial" w:cs="Arial"/>
          <w:sz w:val="22"/>
          <w:szCs w:val="22"/>
        </w:rPr>
        <w:t xml:space="preserve"> [Accessed 23rd July 2026]. </w:t>
      </w:r>
    </w:p>
    <w:p w14:paraId="59D8B142" w14:textId="77777777" w:rsidR="00192846" w:rsidRPr="001D1201" w:rsidRDefault="00192846" w:rsidP="00192846">
      <w:pPr>
        <w:spacing w:line="360" w:lineRule="auto"/>
        <w:ind w:left="720" w:hanging="720"/>
        <w:jc w:val="both"/>
        <w:rPr>
          <w:rFonts w:ascii="Arial" w:hAnsi="Arial" w:cs="Arial"/>
          <w:color w:val="222222"/>
          <w:sz w:val="22"/>
          <w:szCs w:val="22"/>
          <w:shd w:val="clear" w:color="auto" w:fill="FFFFFF"/>
        </w:rPr>
      </w:pPr>
      <w:r w:rsidRPr="001D1201">
        <w:rPr>
          <w:rFonts w:ascii="Arial" w:hAnsi="Arial" w:cs="Arial"/>
          <w:color w:val="222222"/>
          <w:sz w:val="22"/>
          <w:szCs w:val="22"/>
          <w:shd w:val="clear" w:color="auto" w:fill="FFFFFF"/>
        </w:rPr>
        <w:t>Rosen, M.A., DiazGranados, D., Dietz, A.S., Benishek, L.E., Thompson, D., Pronovost, P.J. and Weaver, S.J. (2018). Teamwork in healthcare: Key discoveries enabling safer, high-quality care. </w:t>
      </w:r>
      <w:r w:rsidRPr="001D1201">
        <w:rPr>
          <w:rFonts w:ascii="Arial" w:hAnsi="Arial" w:cs="Arial"/>
          <w:i/>
          <w:iCs/>
          <w:color w:val="222222"/>
          <w:sz w:val="22"/>
          <w:szCs w:val="22"/>
          <w:shd w:val="clear" w:color="auto" w:fill="FFFFFF"/>
        </w:rPr>
        <w:t>American Psychologist</w:t>
      </w:r>
      <w:r w:rsidRPr="001D1201">
        <w:rPr>
          <w:rFonts w:ascii="Arial" w:hAnsi="Arial" w:cs="Arial"/>
          <w:color w:val="222222"/>
          <w:sz w:val="22"/>
          <w:szCs w:val="22"/>
          <w:shd w:val="clear" w:color="auto" w:fill="FFFFFF"/>
        </w:rPr>
        <w:t>, </w:t>
      </w:r>
      <w:r w:rsidRPr="001D1201">
        <w:rPr>
          <w:rFonts w:ascii="Arial" w:hAnsi="Arial" w:cs="Arial"/>
          <w:i/>
          <w:iCs/>
          <w:color w:val="222222"/>
          <w:sz w:val="22"/>
          <w:szCs w:val="22"/>
          <w:shd w:val="clear" w:color="auto" w:fill="FFFFFF"/>
        </w:rPr>
        <w:t>73</w:t>
      </w:r>
      <w:r w:rsidRPr="001D1201">
        <w:rPr>
          <w:rFonts w:ascii="Arial" w:hAnsi="Arial" w:cs="Arial"/>
          <w:color w:val="222222"/>
          <w:sz w:val="22"/>
          <w:szCs w:val="22"/>
          <w:shd w:val="clear" w:color="auto" w:fill="FFFFFF"/>
        </w:rPr>
        <w:t xml:space="preserve">(4), p.433. </w:t>
      </w:r>
    </w:p>
    <w:p w14:paraId="69150D10" w14:textId="77777777" w:rsidR="00192846" w:rsidRPr="001D1201" w:rsidRDefault="00192846" w:rsidP="00192846">
      <w:pPr>
        <w:spacing w:line="360" w:lineRule="auto"/>
        <w:ind w:left="720" w:hanging="720"/>
        <w:jc w:val="both"/>
        <w:rPr>
          <w:rFonts w:ascii="Arial" w:hAnsi="Arial" w:cs="Arial"/>
          <w:sz w:val="22"/>
          <w:szCs w:val="22"/>
        </w:rPr>
      </w:pPr>
      <w:r w:rsidRPr="001D1201">
        <w:rPr>
          <w:rFonts w:ascii="Arial" w:hAnsi="Arial" w:cs="Arial"/>
          <w:color w:val="222222"/>
          <w:sz w:val="22"/>
          <w:szCs w:val="22"/>
          <w:shd w:val="clear" w:color="auto" w:fill="FFFFFF"/>
        </w:rPr>
        <w:t xml:space="preserve">Udensi, C.G., </w:t>
      </w:r>
      <w:proofErr w:type="spellStart"/>
      <w:r w:rsidRPr="001D1201">
        <w:rPr>
          <w:rFonts w:ascii="Arial" w:hAnsi="Arial" w:cs="Arial"/>
          <w:color w:val="222222"/>
          <w:sz w:val="22"/>
          <w:szCs w:val="22"/>
          <w:shd w:val="clear" w:color="auto" w:fill="FFFFFF"/>
        </w:rPr>
        <w:t>Vunnava</w:t>
      </w:r>
      <w:proofErr w:type="spellEnd"/>
      <w:r w:rsidRPr="001D1201">
        <w:rPr>
          <w:rFonts w:ascii="Arial" w:hAnsi="Arial" w:cs="Arial"/>
          <w:color w:val="222222"/>
          <w:sz w:val="22"/>
          <w:szCs w:val="22"/>
          <w:shd w:val="clear" w:color="auto" w:fill="FFFFFF"/>
        </w:rPr>
        <w:t xml:space="preserve">, R. and </w:t>
      </w:r>
      <w:proofErr w:type="spellStart"/>
      <w:r w:rsidRPr="001D1201">
        <w:rPr>
          <w:rFonts w:ascii="Arial" w:hAnsi="Arial" w:cs="Arial"/>
          <w:color w:val="222222"/>
          <w:sz w:val="22"/>
          <w:szCs w:val="22"/>
          <w:shd w:val="clear" w:color="auto" w:fill="FFFFFF"/>
        </w:rPr>
        <w:t>Durojaye</w:t>
      </w:r>
      <w:proofErr w:type="spellEnd"/>
      <w:r w:rsidRPr="001D1201">
        <w:rPr>
          <w:rFonts w:ascii="Arial" w:hAnsi="Arial" w:cs="Arial"/>
          <w:color w:val="222222"/>
          <w:sz w:val="22"/>
          <w:szCs w:val="22"/>
          <w:shd w:val="clear" w:color="auto" w:fill="FFFFFF"/>
        </w:rPr>
        <w:t>, T.J. (2025). Interdisciplinary collaboration in healthcare management: Strengthening healthcare delivery‒A review. </w:t>
      </w:r>
      <w:r w:rsidRPr="001D1201">
        <w:rPr>
          <w:rFonts w:ascii="Arial" w:hAnsi="Arial" w:cs="Arial"/>
          <w:i/>
          <w:iCs/>
          <w:color w:val="222222"/>
          <w:sz w:val="22"/>
          <w:szCs w:val="22"/>
          <w:shd w:val="clear" w:color="auto" w:fill="FFFFFF"/>
        </w:rPr>
        <w:t>International Journal of Advanced Multidisciplinary Research and Studies</w:t>
      </w:r>
      <w:r w:rsidRPr="001D1201">
        <w:rPr>
          <w:rFonts w:ascii="Arial" w:hAnsi="Arial" w:cs="Arial"/>
          <w:color w:val="222222"/>
          <w:sz w:val="22"/>
          <w:szCs w:val="22"/>
          <w:shd w:val="clear" w:color="auto" w:fill="FFFFFF"/>
        </w:rPr>
        <w:t>, </w:t>
      </w:r>
      <w:r w:rsidRPr="001D1201">
        <w:rPr>
          <w:rFonts w:ascii="Arial" w:hAnsi="Arial" w:cs="Arial"/>
          <w:i/>
          <w:iCs/>
          <w:color w:val="222222"/>
          <w:sz w:val="22"/>
          <w:szCs w:val="22"/>
          <w:shd w:val="clear" w:color="auto" w:fill="FFFFFF"/>
        </w:rPr>
        <w:t>5</w:t>
      </w:r>
      <w:r w:rsidRPr="001D1201">
        <w:rPr>
          <w:rFonts w:ascii="Arial" w:hAnsi="Arial" w:cs="Arial"/>
          <w:color w:val="222222"/>
          <w:sz w:val="22"/>
          <w:szCs w:val="22"/>
          <w:shd w:val="clear" w:color="auto" w:fill="FFFFFF"/>
        </w:rPr>
        <w:t xml:space="preserve">(5), pp.210-216. </w:t>
      </w:r>
    </w:p>
    <w:p w14:paraId="67A301B7"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r w:rsidRPr="001D1201">
        <w:rPr>
          <w:rFonts w:ascii="Arial" w:eastAsia="Times New Roman" w:hAnsi="Arial" w:cs="Arial"/>
          <w:sz w:val="22"/>
          <w:szCs w:val="22"/>
          <w:lang w:eastAsia="en-IE"/>
        </w:rPr>
        <w:t xml:space="preserve">UK Government (2010). </w:t>
      </w:r>
      <w:r w:rsidRPr="001D1201">
        <w:rPr>
          <w:rFonts w:ascii="Arial" w:eastAsia="Times New Roman" w:hAnsi="Arial" w:cs="Arial"/>
          <w:i/>
          <w:iCs/>
          <w:sz w:val="22"/>
          <w:szCs w:val="22"/>
          <w:lang w:eastAsia="en-IE"/>
        </w:rPr>
        <w:t>Equality Act 2010</w:t>
      </w:r>
      <w:r w:rsidRPr="001D1201">
        <w:rPr>
          <w:rFonts w:ascii="Arial" w:eastAsia="Times New Roman" w:hAnsi="Arial" w:cs="Arial"/>
          <w:sz w:val="22"/>
          <w:szCs w:val="22"/>
          <w:lang w:eastAsia="en-IE"/>
        </w:rPr>
        <w:t xml:space="preserve">. [online] </w:t>
      </w:r>
      <w:r w:rsidRPr="001D1201">
        <w:rPr>
          <w:rFonts w:ascii="Arial" w:eastAsia="Times New Roman" w:hAnsi="Arial" w:cs="Arial"/>
          <w:i/>
          <w:iCs/>
          <w:sz w:val="22"/>
          <w:szCs w:val="22"/>
          <w:lang w:eastAsia="en-IE"/>
        </w:rPr>
        <w:t>Legislation.gov.uk</w:t>
      </w:r>
      <w:r w:rsidRPr="001D1201">
        <w:rPr>
          <w:rFonts w:ascii="Arial" w:eastAsia="Times New Roman" w:hAnsi="Arial" w:cs="Arial"/>
          <w:sz w:val="22"/>
          <w:szCs w:val="22"/>
          <w:lang w:eastAsia="en-IE"/>
        </w:rPr>
        <w:t xml:space="preserve">, Available at: </w:t>
      </w:r>
      <w:hyperlink r:id="rId17" w:history="1">
        <w:r w:rsidRPr="001D1201">
          <w:rPr>
            <w:rStyle w:val="Hyperlink"/>
            <w:rFonts w:ascii="Arial" w:eastAsia="Times New Roman" w:hAnsi="Arial" w:cs="Arial"/>
            <w:sz w:val="22"/>
            <w:szCs w:val="22"/>
            <w:lang w:eastAsia="en-IE"/>
          </w:rPr>
          <w:t>https://www.legislation.gov.uk/ukpga/2010/15/section/6</w:t>
        </w:r>
      </w:hyperlink>
      <w:r w:rsidRPr="001D1201">
        <w:rPr>
          <w:rFonts w:ascii="Arial" w:eastAsia="Times New Roman" w:hAnsi="Arial" w:cs="Arial"/>
          <w:sz w:val="22"/>
          <w:szCs w:val="22"/>
          <w:lang w:eastAsia="en-IE"/>
        </w:rPr>
        <w:t xml:space="preserve">  [Accessed 23 July 2026].</w:t>
      </w:r>
    </w:p>
    <w:p w14:paraId="7385C0B0" w14:textId="77777777" w:rsidR="00192846" w:rsidRPr="001D1201" w:rsidRDefault="00192846" w:rsidP="00192846">
      <w:pPr>
        <w:spacing w:after="0" w:line="360" w:lineRule="auto"/>
        <w:ind w:left="720" w:hanging="720"/>
        <w:jc w:val="both"/>
        <w:rPr>
          <w:rFonts w:ascii="Arial" w:eastAsia="Times New Roman" w:hAnsi="Arial" w:cs="Arial"/>
          <w:sz w:val="22"/>
          <w:szCs w:val="22"/>
          <w:lang w:eastAsia="en-IE"/>
        </w:rPr>
      </w:pPr>
      <w:r w:rsidRPr="001D1201">
        <w:rPr>
          <w:rFonts w:ascii="Arial" w:eastAsia="Times New Roman" w:hAnsi="Arial" w:cs="Arial"/>
          <w:sz w:val="22"/>
          <w:szCs w:val="22"/>
          <w:lang w:eastAsia="en-IE"/>
        </w:rPr>
        <w:t xml:space="preserve">UK Parliament (2015). EQD0030 - Evidence on Equality Act 2010 and Disability. [online] </w:t>
      </w:r>
      <w:r w:rsidRPr="001D1201">
        <w:rPr>
          <w:rFonts w:ascii="Arial" w:eastAsia="Times New Roman" w:hAnsi="Arial" w:cs="Arial"/>
          <w:i/>
          <w:iCs/>
          <w:sz w:val="22"/>
          <w:szCs w:val="22"/>
          <w:lang w:eastAsia="en-IE"/>
        </w:rPr>
        <w:t>Parliament.uk</w:t>
      </w:r>
      <w:r w:rsidRPr="001D1201">
        <w:rPr>
          <w:rFonts w:ascii="Arial" w:eastAsia="Times New Roman" w:hAnsi="Arial" w:cs="Arial"/>
          <w:sz w:val="22"/>
          <w:szCs w:val="22"/>
          <w:lang w:eastAsia="en-IE"/>
        </w:rPr>
        <w:t xml:space="preserve">. Available at: </w:t>
      </w:r>
      <w:hyperlink r:id="rId18" w:history="1">
        <w:r w:rsidRPr="001D1201">
          <w:rPr>
            <w:rStyle w:val="Hyperlink"/>
            <w:rFonts w:ascii="Arial" w:eastAsia="Times New Roman" w:hAnsi="Arial" w:cs="Arial"/>
            <w:sz w:val="22"/>
            <w:szCs w:val="22"/>
            <w:lang w:eastAsia="en-IE"/>
          </w:rPr>
          <w:t>https://committees.parliament.uk/writtenevidence/57498/html/</w:t>
        </w:r>
      </w:hyperlink>
      <w:r w:rsidRPr="001D1201">
        <w:rPr>
          <w:rFonts w:ascii="Arial" w:eastAsia="Times New Roman" w:hAnsi="Arial" w:cs="Arial"/>
          <w:sz w:val="22"/>
          <w:szCs w:val="22"/>
          <w:lang w:eastAsia="en-IE"/>
        </w:rPr>
        <w:t xml:space="preserve">  [Accessed 23 July 2026].</w:t>
      </w:r>
    </w:p>
    <w:p w14:paraId="6D3E1FC3" w14:textId="77777777" w:rsidR="00192846" w:rsidRPr="001D1201" w:rsidRDefault="00192846" w:rsidP="00192846">
      <w:pPr>
        <w:spacing w:line="360" w:lineRule="auto"/>
        <w:ind w:left="720" w:hanging="720"/>
        <w:jc w:val="both"/>
        <w:rPr>
          <w:rFonts w:ascii="Arial" w:hAnsi="Arial" w:cs="Arial"/>
          <w:color w:val="222222"/>
          <w:sz w:val="22"/>
          <w:szCs w:val="22"/>
          <w:shd w:val="clear" w:color="auto" w:fill="FFFFFF"/>
        </w:rPr>
      </w:pPr>
      <w:r w:rsidRPr="001D1201">
        <w:rPr>
          <w:rFonts w:ascii="Arial" w:hAnsi="Arial" w:cs="Arial"/>
          <w:color w:val="222222"/>
          <w:sz w:val="22"/>
          <w:szCs w:val="22"/>
          <w:shd w:val="clear" w:color="auto" w:fill="FFFFFF"/>
        </w:rPr>
        <w:lastRenderedPageBreak/>
        <w:t>Ward, P. (2018). Trust and communication in a doctor-patient relationship: a literature review. </w:t>
      </w:r>
      <w:r w:rsidRPr="001D1201">
        <w:rPr>
          <w:rFonts w:ascii="Arial" w:hAnsi="Arial" w:cs="Arial"/>
          <w:i/>
          <w:iCs/>
          <w:color w:val="222222"/>
          <w:sz w:val="22"/>
          <w:szCs w:val="22"/>
          <w:shd w:val="clear" w:color="auto" w:fill="FFFFFF"/>
        </w:rPr>
        <w:t>Arch Med</w:t>
      </w:r>
      <w:r w:rsidRPr="001D1201">
        <w:rPr>
          <w:rFonts w:ascii="Arial" w:hAnsi="Arial" w:cs="Arial"/>
          <w:color w:val="222222"/>
          <w:sz w:val="22"/>
          <w:szCs w:val="22"/>
          <w:shd w:val="clear" w:color="auto" w:fill="FFFFFF"/>
        </w:rPr>
        <w:t>, </w:t>
      </w:r>
      <w:r w:rsidRPr="001D1201">
        <w:rPr>
          <w:rFonts w:ascii="Arial" w:hAnsi="Arial" w:cs="Arial"/>
          <w:i/>
          <w:iCs/>
          <w:color w:val="222222"/>
          <w:sz w:val="22"/>
          <w:szCs w:val="22"/>
          <w:shd w:val="clear" w:color="auto" w:fill="FFFFFF"/>
        </w:rPr>
        <w:t>3</w:t>
      </w:r>
      <w:r w:rsidRPr="001D1201">
        <w:rPr>
          <w:rFonts w:ascii="Arial" w:hAnsi="Arial" w:cs="Arial"/>
          <w:color w:val="222222"/>
          <w:sz w:val="22"/>
          <w:szCs w:val="22"/>
          <w:shd w:val="clear" w:color="auto" w:fill="FFFFFF"/>
        </w:rPr>
        <w:t>(3), 36.</w:t>
      </w:r>
    </w:p>
    <w:p w14:paraId="0F10F84E" w14:textId="77777777" w:rsidR="006D4B9B" w:rsidRPr="001D1201" w:rsidRDefault="006D4B9B" w:rsidP="00192846">
      <w:pPr>
        <w:spacing w:line="360" w:lineRule="auto"/>
        <w:jc w:val="both"/>
        <w:rPr>
          <w:rFonts w:ascii="Arial" w:hAnsi="Arial" w:cs="Arial"/>
          <w:sz w:val="22"/>
          <w:szCs w:val="22"/>
        </w:rPr>
      </w:pPr>
    </w:p>
    <w:p w14:paraId="114ED255" w14:textId="77777777" w:rsidR="00F241D5" w:rsidRPr="001D1201" w:rsidRDefault="00F241D5" w:rsidP="00192846">
      <w:pPr>
        <w:spacing w:line="360" w:lineRule="auto"/>
        <w:jc w:val="both"/>
        <w:rPr>
          <w:rFonts w:ascii="Arial" w:eastAsia="Times New Roman" w:hAnsi="Arial" w:cs="Arial"/>
          <w:sz w:val="22"/>
          <w:szCs w:val="22"/>
          <w:lang w:eastAsia="en-IE"/>
        </w:rPr>
      </w:pPr>
    </w:p>
    <w:p w14:paraId="409C3A66" w14:textId="795753AD" w:rsidR="00974666" w:rsidRPr="001D1201" w:rsidRDefault="00974666" w:rsidP="00192846">
      <w:pPr>
        <w:spacing w:line="360" w:lineRule="auto"/>
        <w:jc w:val="both"/>
        <w:rPr>
          <w:rFonts w:ascii="Arial" w:hAnsi="Arial" w:cs="Arial"/>
          <w:sz w:val="22"/>
          <w:szCs w:val="22"/>
        </w:rPr>
      </w:pPr>
    </w:p>
    <w:sectPr w:rsidR="00974666" w:rsidRPr="001D1201">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371EF" w14:textId="77777777" w:rsidR="00E61B72" w:rsidRDefault="00E61B72" w:rsidP="001D1201">
      <w:pPr>
        <w:spacing w:after="0" w:line="240" w:lineRule="auto"/>
      </w:pPr>
      <w:r>
        <w:separator/>
      </w:r>
    </w:p>
  </w:endnote>
  <w:endnote w:type="continuationSeparator" w:id="0">
    <w:p w14:paraId="1B2E1666" w14:textId="77777777" w:rsidR="00E61B72" w:rsidRDefault="00E61B72" w:rsidP="001D1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5307491"/>
      <w:docPartObj>
        <w:docPartGallery w:val="Page Numbers (Bottom of Page)"/>
        <w:docPartUnique/>
      </w:docPartObj>
    </w:sdtPr>
    <w:sdtEndPr>
      <w:rPr>
        <w:noProof/>
      </w:rPr>
    </w:sdtEndPr>
    <w:sdtContent>
      <w:p w14:paraId="47DC81D8" w14:textId="141261F1" w:rsidR="001D1201" w:rsidRDefault="001D12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1CD153" w14:textId="77777777" w:rsidR="001D1201" w:rsidRDefault="001D1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D650" w14:textId="77777777" w:rsidR="00E61B72" w:rsidRDefault="00E61B72" w:rsidP="001D1201">
      <w:pPr>
        <w:spacing w:after="0" w:line="240" w:lineRule="auto"/>
      </w:pPr>
      <w:r>
        <w:separator/>
      </w:r>
    </w:p>
  </w:footnote>
  <w:footnote w:type="continuationSeparator" w:id="0">
    <w:p w14:paraId="399A4E7E" w14:textId="77777777" w:rsidR="00E61B72" w:rsidRDefault="00E61B72" w:rsidP="001D1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676"/>
    <w:multiLevelType w:val="hybridMultilevel"/>
    <w:tmpl w:val="C910272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87099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SyMLE0NDMzsjQwMrdU0lEKTi0uzszPAykwqgUA45AFMCwAAAA="/>
  </w:docVars>
  <w:rsids>
    <w:rsidRoot w:val="00443477"/>
    <w:rsid w:val="000019AF"/>
    <w:rsid w:val="00192846"/>
    <w:rsid w:val="001A0570"/>
    <w:rsid w:val="001D1201"/>
    <w:rsid w:val="001D23B2"/>
    <w:rsid w:val="00443477"/>
    <w:rsid w:val="004F6AAA"/>
    <w:rsid w:val="00524E38"/>
    <w:rsid w:val="005E4E3E"/>
    <w:rsid w:val="0069057F"/>
    <w:rsid w:val="006D4B9B"/>
    <w:rsid w:val="00974666"/>
    <w:rsid w:val="00A46D10"/>
    <w:rsid w:val="00A8182A"/>
    <w:rsid w:val="00B01FE9"/>
    <w:rsid w:val="00E61B72"/>
    <w:rsid w:val="00F219CF"/>
    <w:rsid w:val="00F241D5"/>
    <w:rsid w:val="00FC0B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EC62"/>
  <w15:chartTrackingRefBased/>
  <w15:docId w15:val="{D91B5373-720F-4B75-9FDC-3D38B3CE6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IE"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201"/>
  </w:style>
  <w:style w:type="paragraph" w:styleId="Heading1">
    <w:name w:val="heading 1"/>
    <w:basedOn w:val="Normal"/>
    <w:next w:val="Normal"/>
    <w:link w:val="Heading1Char"/>
    <w:uiPriority w:val="9"/>
    <w:qFormat/>
    <w:rsid w:val="001D1201"/>
    <w:pPr>
      <w:keepNext/>
      <w:keepLines/>
      <w:spacing w:before="320" w:after="80" w:line="240" w:lineRule="auto"/>
      <w:jc w:val="center"/>
      <w:outlineLvl w:val="0"/>
    </w:pPr>
    <w:rPr>
      <w:rFonts w:ascii="Arial" w:eastAsiaTheme="majorEastAsia" w:hAnsi="Arial" w:cstheme="majorBidi"/>
      <w:b/>
      <w:sz w:val="22"/>
      <w:szCs w:val="40"/>
    </w:rPr>
  </w:style>
  <w:style w:type="paragraph" w:styleId="Heading2">
    <w:name w:val="heading 2"/>
    <w:basedOn w:val="Normal"/>
    <w:next w:val="Normal"/>
    <w:link w:val="Heading2Char"/>
    <w:uiPriority w:val="9"/>
    <w:unhideWhenUsed/>
    <w:qFormat/>
    <w:rsid w:val="001D1201"/>
    <w:pPr>
      <w:keepNext/>
      <w:keepLines/>
      <w:spacing w:before="160" w:after="40" w:line="240" w:lineRule="auto"/>
      <w:jc w:val="both"/>
      <w:outlineLvl w:val="1"/>
    </w:pPr>
    <w:rPr>
      <w:rFonts w:ascii="Arial" w:eastAsiaTheme="majorEastAsia" w:hAnsi="Arial" w:cstheme="majorBidi"/>
      <w:i/>
      <w:sz w:val="22"/>
      <w:szCs w:val="32"/>
      <w:u w:val="single"/>
    </w:rPr>
  </w:style>
  <w:style w:type="paragraph" w:styleId="Heading3">
    <w:name w:val="heading 3"/>
    <w:basedOn w:val="Normal"/>
    <w:next w:val="Normal"/>
    <w:link w:val="Heading3Char"/>
    <w:uiPriority w:val="9"/>
    <w:unhideWhenUsed/>
    <w:qFormat/>
    <w:rsid w:val="001D120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D120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D120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D120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D120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D120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D120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201"/>
    <w:rPr>
      <w:rFonts w:ascii="Arial" w:eastAsiaTheme="majorEastAsia" w:hAnsi="Arial" w:cstheme="majorBidi"/>
      <w:b/>
      <w:sz w:val="22"/>
      <w:szCs w:val="40"/>
    </w:rPr>
  </w:style>
  <w:style w:type="character" w:customStyle="1" w:styleId="Heading2Char">
    <w:name w:val="Heading 2 Char"/>
    <w:basedOn w:val="DefaultParagraphFont"/>
    <w:link w:val="Heading2"/>
    <w:uiPriority w:val="9"/>
    <w:rsid w:val="001D1201"/>
    <w:rPr>
      <w:rFonts w:ascii="Arial" w:eastAsiaTheme="majorEastAsia" w:hAnsi="Arial" w:cstheme="majorBidi"/>
      <w:i/>
      <w:sz w:val="22"/>
      <w:szCs w:val="32"/>
      <w:u w:val="single"/>
    </w:rPr>
  </w:style>
  <w:style w:type="character" w:customStyle="1" w:styleId="Heading3Char">
    <w:name w:val="Heading 3 Char"/>
    <w:basedOn w:val="DefaultParagraphFont"/>
    <w:link w:val="Heading3"/>
    <w:uiPriority w:val="9"/>
    <w:rsid w:val="001D120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D120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D120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D120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D120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D120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D1201"/>
    <w:rPr>
      <w:b/>
      <w:bCs/>
      <w:i/>
      <w:iCs/>
    </w:rPr>
  </w:style>
  <w:style w:type="paragraph" w:styleId="Title">
    <w:name w:val="Title"/>
    <w:basedOn w:val="Normal"/>
    <w:next w:val="Normal"/>
    <w:link w:val="TitleChar"/>
    <w:uiPriority w:val="10"/>
    <w:qFormat/>
    <w:rsid w:val="001D120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D1201"/>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D1201"/>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D1201"/>
    <w:rPr>
      <w:color w:val="44546A" w:themeColor="text2"/>
      <w:sz w:val="28"/>
      <w:szCs w:val="28"/>
    </w:rPr>
  </w:style>
  <w:style w:type="paragraph" w:styleId="Quote">
    <w:name w:val="Quote"/>
    <w:basedOn w:val="Normal"/>
    <w:next w:val="Normal"/>
    <w:link w:val="QuoteChar"/>
    <w:uiPriority w:val="29"/>
    <w:qFormat/>
    <w:rsid w:val="001D1201"/>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D1201"/>
    <w:rPr>
      <w:i/>
      <w:iCs/>
      <w:color w:val="7B7B7B" w:themeColor="accent3" w:themeShade="BF"/>
      <w:sz w:val="24"/>
      <w:szCs w:val="24"/>
    </w:rPr>
  </w:style>
  <w:style w:type="paragraph" w:styleId="ListParagraph">
    <w:name w:val="List Paragraph"/>
    <w:basedOn w:val="Normal"/>
    <w:uiPriority w:val="34"/>
    <w:qFormat/>
    <w:rsid w:val="00443477"/>
    <w:pPr>
      <w:ind w:left="720"/>
      <w:contextualSpacing/>
    </w:pPr>
  </w:style>
  <w:style w:type="character" w:styleId="IntenseEmphasis">
    <w:name w:val="Intense Emphasis"/>
    <w:basedOn w:val="DefaultParagraphFont"/>
    <w:uiPriority w:val="21"/>
    <w:qFormat/>
    <w:rsid w:val="001D1201"/>
    <w:rPr>
      <w:b/>
      <w:bCs/>
      <w:i/>
      <w:iCs/>
      <w:color w:val="auto"/>
    </w:rPr>
  </w:style>
  <w:style w:type="paragraph" w:styleId="IntenseQuote">
    <w:name w:val="Intense Quote"/>
    <w:basedOn w:val="Normal"/>
    <w:next w:val="Normal"/>
    <w:link w:val="IntenseQuoteChar"/>
    <w:uiPriority w:val="30"/>
    <w:qFormat/>
    <w:rsid w:val="001D120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D1201"/>
    <w:rPr>
      <w:rFonts w:asciiTheme="majorHAnsi" w:eastAsiaTheme="majorEastAsia" w:hAnsiTheme="majorHAnsi" w:cstheme="majorBidi"/>
      <w:caps/>
      <w:color w:val="2F5496" w:themeColor="accent1" w:themeShade="BF"/>
      <w:sz w:val="28"/>
      <w:szCs w:val="28"/>
    </w:rPr>
  </w:style>
  <w:style w:type="character" w:styleId="IntenseReference">
    <w:name w:val="Intense Reference"/>
    <w:basedOn w:val="DefaultParagraphFont"/>
    <w:uiPriority w:val="32"/>
    <w:qFormat/>
    <w:rsid w:val="001D1201"/>
    <w:rPr>
      <w:b/>
      <w:bCs/>
      <w:caps w:val="0"/>
      <w:smallCaps/>
      <w:color w:val="auto"/>
      <w:spacing w:val="0"/>
      <w:u w:val="single"/>
    </w:rPr>
  </w:style>
  <w:style w:type="character" w:styleId="Hyperlink">
    <w:name w:val="Hyperlink"/>
    <w:basedOn w:val="DefaultParagraphFont"/>
    <w:uiPriority w:val="99"/>
    <w:unhideWhenUsed/>
    <w:rsid w:val="00443477"/>
    <w:rPr>
      <w:color w:val="0563C1" w:themeColor="hyperlink"/>
      <w:u w:val="single"/>
    </w:rPr>
  </w:style>
  <w:style w:type="character" w:styleId="UnresolvedMention">
    <w:name w:val="Unresolved Mention"/>
    <w:basedOn w:val="DefaultParagraphFont"/>
    <w:uiPriority w:val="99"/>
    <w:semiHidden/>
    <w:unhideWhenUsed/>
    <w:rsid w:val="00443477"/>
    <w:rPr>
      <w:color w:val="605E5C"/>
      <w:shd w:val="clear" w:color="auto" w:fill="E1DFDD"/>
    </w:rPr>
  </w:style>
  <w:style w:type="paragraph" w:styleId="NormalWeb">
    <w:name w:val="Normal (Web)"/>
    <w:basedOn w:val="Normal"/>
    <w:uiPriority w:val="99"/>
    <w:unhideWhenUsed/>
    <w:rsid w:val="004F6AAA"/>
    <w:pPr>
      <w:spacing w:before="100" w:beforeAutospacing="1" w:after="100" w:afterAutospacing="1" w:line="240" w:lineRule="auto"/>
    </w:pPr>
    <w:rPr>
      <w:rFonts w:ascii="Times New Roman" w:eastAsia="Times New Roman" w:hAnsi="Times New Roman" w:cs="Times New Roman"/>
      <w:lang w:eastAsia="en-IE"/>
    </w:rPr>
  </w:style>
  <w:style w:type="character" w:styleId="Emphasis">
    <w:name w:val="Emphasis"/>
    <w:basedOn w:val="DefaultParagraphFont"/>
    <w:uiPriority w:val="20"/>
    <w:qFormat/>
    <w:rsid w:val="001D1201"/>
    <w:rPr>
      <w:i/>
      <w:iCs/>
      <w:color w:val="000000" w:themeColor="text1"/>
    </w:rPr>
  </w:style>
  <w:style w:type="paragraph" w:customStyle="1" w:styleId="legclearfix">
    <w:name w:val="legclearfix"/>
    <w:basedOn w:val="Normal"/>
    <w:rsid w:val="001A0570"/>
    <w:pPr>
      <w:spacing w:before="100" w:beforeAutospacing="1" w:after="100" w:afterAutospacing="1" w:line="240" w:lineRule="auto"/>
    </w:pPr>
    <w:rPr>
      <w:rFonts w:ascii="Times New Roman" w:eastAsia="Times New Roman" w:hAnsi="Times New Roman" w:cs="Times New Roman"/>
      <w:lang w:eastAsia="en-IE"/>
    </w:rPr>
  </w:style>
  <w:style w:type="character" w:customStyle="1" w:styleId="legds">
    <w:name w:val="legds"/>
    <w:basedOn w:val="DefaultParagraphFont"/>
    <w:rsid w:val="001A0570"/>
  </w:style>
  <w:style w:type="character" w:styleId="Strong">
    <w:name w:val="Strong"/>
    <w:basedOn w:val="DefaultParagraphFont"/>
    <w:uiPriority w:val="22"/>
    <w:qFormat/>
    <w:rsid w:val="001D1201"/>
    <w:rPr>
      <w:b/>
      <w:bCs/>
    </w:rPr>
  </w:style>
  <w:style w:type="paragraph" w:styleId="Caption">
    <w:name w:val="caption"/>
    <w:basedOn w:val="Normal"/>
    <w:next w:val="Normal"/>
    <w:uiPriority w:val="35"/>
    <w:semiHidden/>
    <w:unhideWhenUsed/>
    <w:qFormat/>
    <w:rsid w:val="001D1201"/>
    <w:pPr>
      <w:spacing w:line="240" w:lineRule="auto"/>
    </w:pPr>
    <w:rPr>
      <w:b/>
      <w:bCs/>
      <w:color w:val="404040" w:themeColor="text1" w:themeTint="BF"/>
      <w:sz w:val="16"/>
      <w:szCs w:val="16"/>
    </w:rPr>
  </w:style>
  <w:style w:type="paragraph" w:styleId="NoSpacing">
    <w:name w:val="No Spacing"/>
    <w:uiPriority w:val="1"/>
    <w:qFormat/>
    <w:rsid w:val="001D1201"/>
    <w:pPr>
      <w:spacing w:after="0" w:line="240" w:lineRule="auto"/>
    </w:pPr>
  </w:style>
  <w:style w:type="character" w:styleId="SubtleEmphasis">
    <w:name w:val="Subtle Emphasis"/>
    <w:basedOn w:val="DefaultParagraphFont"/>
    <w:uiPriority w:val="19"/>
    <w:qFormat/>
    <w:rsid w:val="001D1201"/>
    <w:rPr>
      <w:i/>
      <w:iCs/>
      <w:color w:val="595959" w:themeColor="text1" w:themeTint="A6"/>
    </w:rPr>
  </w:style>
  <w:style w:type="character" w:styleId="SubtleReference">
    <w:name w:val="Subtle Reference"/>
    <w:basedOn w:val="DefaultParagraphFont"/>
    <w:uiPriority w:val="31"/>
    <w:qFormat/>
    <w:rsid w:val="001D120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1D1201"/>
    <w:rPr>
      <w:b/>
      <w:bCs/>
      <w:caps w:val="0"/>
      <w:smallCaps/>
      <w:spacing w:val="0"/>
    </w:rPr>
  </w:style>
  <w:style w:type="paragraph" w:styleId="TOCHeading">
    <w:name w:val="TOC Heading"/>
    <w:basedOn w:val="Heading1"/>
    <w:next w:val="Normal"/>
    <w:uiPriority w:val="39"/>
    <w:unhideWhenUsed/>
    <w:qFormat/>
    <w:rsid w:val="001D1201"/>
    <w:pPr>
      <w:outlineLvl w:val="9"/>
    </w:pPr>
  </w:style>
  <w:style w:type="paragraph" w:styleId="Header">
    <w:name w:val="header"/>
    <w:basedOn w:val="Normal"/>
    <w:link w:val="HeaderChar"/>
    <w:uiPriority w:val="99"/>
    <w:unhideWhenUsed/>
    <w:rsid w:val="001D12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201"/>
  </w:style>
  <w:style w:type="paragraph" w:styleId="Footer">
    <w:name w:val="footer"/>
    <w:basedOn w:val="Normal"/>
    <w:link w:val="FooterChar"/>
    <w:uiPriority w:val="99"/>
    <w:unhideWhenUsed/>
    <w:rsid w:val="001D12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201"/>
  </w:style>
  <w:style w:type="paragraph" w:styleId="TOC1">
    <w:name w:val="toc 1"/>
    <w:basedOn w:val="Normal"/>
    <w:next w:val="Normal"/>
    <w:autoRedefine/>
    <w:uiPriority w:val="39"/>
    <w:unhideWhenUsed/>
    <w:rsid w:val="001D1201"/>
    <w:pPr>
      <w:spacing w:after="100"/>
    </w:pPr>
  </w:style>
  <w:style w:type="paragraph" w:styleId="TOC2">
    <w:name w:val="toc 2"/>
    <w:basedOn w:val="Normal"/>
    <w:next w:val="Normal"/>
    <w:autoRedefine/>
    <w:uiPriority w:val="39"/>
    <w:unhideWhenUsed/>
    <w:rsid w:val="001D1201"/>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section/20" TargetMode="External"/><Relationship Id="rId18" Type="http://schemas.openxmlformats.org/officeDocument/2006/relationships/hyperlink" Target="https://committees.parliament.uk/writtenevidence/57498/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ocialcare.blog.gov.uk/2023/07/05/the-nhs-is-75-and-so-is-the-social-care-system/" TargetMode="External"/><Relationship Id="rId17" Type="http://schemas.openxmlformats.org/officeDocument/2006/relationships/hyperlink" Target="https://www.legislation.gov.uk/ukpga/2010/15/section/6" TargetMode="External"/><Relationship Id="rId2" Type="http://schemas.openxmlformats.org/officeDocument/2006/relationships/customXml" Target="../customXml/item2.xml"/><Relationship Id="rId16" Type="http://schemas.openxmlformats.org/officeDocument/2006/relationships/hyperlink" Target="https://assets.publishing.service.gov.uk/media/5a7acf3340f0b66a2fc02f47/9421-2900878-TSO-NHS_Guide_to_Healthcare_WEB.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engagement-insight-report-10-year-health-plan-for-england/chapter-2-where-the-nhs-is-today"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9" ma:contentTypeDescription="Create a new document." ma:contentTypeScope="" ma:versionID="fb7c17acf1e70d442f9b49a987b8d1df">
  <xsd:schema xmlns:xsd="http://www.w3.org/2001/XMLSchema" xmlns:xs="http://www.w3.org/2001/XMLSchema" xmlns:p="http://schemas.microsoft.com/office/2006/metadata/properties" xmlns:ns3="295d9055-6e6f-4fed-aaa1-e2183dd25008" targetNamespace="http://schemas.microsoft.com/office/2006/metadata/properties" ma:root="true" ma:fieldsID="1bd21f9b8bc6553e1cdb26bf794d46e8"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Props1.xml><?xml version="1.0" encoding="utf-8"?>
<ds:datastoreItem xmlns:ds="http://schemas.openxmlformats.org/officeDocument/2006/customXml" ds:itemID="{65C64964-86C9-46E1-AC08-5F2EC5A65D7C}">
  <ds:schemaRefs>
    <ds:schemaRef ds:uri="http://schemas.openxmlformats.org/officeDocument/2006/bibliography"/>
  </ds:schemaRefs>
</ds:datastoreItem>
</file>

<file path=customXml/itemProps2.xml><?xml version="1.0" encoding="utf-8"?>
<ds:datastoreItem xmlns:ds="http://schemas.openxmlformats.org/officeDocument/2006/customXml" ds:itemID="{1A66CD2A-624B-4BC1-9049-23DC00835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B0EE6-9BB0-44A8-9569-B27EE9C28662}">
  <ds:schemaRefs>
    <ds:schemaRef ds:uri="http://schemas.microsoft.com/sharepoint/v3/contenttype/forms"/>
  </ds:schemaRefs>
</ds:datastoreItem>
</file>

<file path=customXml/itemProps4.xml><?xml version="1.0" encoding="utf-8"?>
<ds:datastoreItem xmlns:ds="http://schemas.openxmlformats.org/officeDocument/2006/customXml" ds:itemID="{2678B4D1-7173-4935-9DDC-9DD73FD915C4}">
  <ds:schemaRefs>
    <ds:schemaRef ds:uri="http://schemas.microsoft.com/office/2006/metadata/properties"/>
    <ds:schemaRef ds:uri="http://schemas.microsoft.com/office/infopath/2007/PartnerControls"/>
    <ds:schemaRef ds:uri="295d9055-6e6f-4fed-aaa1-e2183dd2500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Valentino Rodriguez Fernando (2532545)</cp:lastModifiedBy>
  <cp:revision>2</cp:revision>
  <dcterms:created xsi:type="dcterms:W3CDTF">2026-07-27T13:47:00Z</dcterms:created>
  <dcterms:modified xsi:type="dcterms:W3CDTF">2026-07-27T13:47:00Z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f688a217-73c4-47db-804b-8c2e48cf2cbc</vt:lpwstr>
  </property>
  <property fmtid="{D5CDD505-2E9C-101B-9397-08002B2CF9AE}" pid="3" name="ContentTypeId">
    <vt:lpwstr>0x010100CDDBB7BEDC016D4AB09EBA8CE5405E7F</vt:lpwstr>
  </property>
</Properties>
</file>