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D9CA6A" w14:textId="77777777" w:rsidR="00550F1F" w:rsidRPr="00E1181F" w:rsidRDefault="000326E9" w:rsidP="002F1D1A">
      <w:pPr>
        <w:jc w:val="center"/>
        <w:rPr>
          <w:b/>
          <w:bCs/>
          <w:sz w:val="36"/>
          <w:szCs w:val="28"/>
        </w:rPr>
      </w:pPr>
      <w:r w:rsidRPr="00E1181F">
        <w:rPr>
          <w:b/>
          <w:bCs/>
          <w:sz w:val="36"/>
          <w:szCs w:val="28"/>
        </w:rPr>
        <w:t>International Financial Management</w:t>
      </w:r>
    </w:p>
    <w:p w14:paraId="76371341" w14:textId="77777777" w:rsidR="00707E2F" w:rsidRPr="002F1D1A" w:rsidRDefault="00707E2F" w:rsidP="002F1D1A">
      <w:pPr>
        <w:jc w:val="center"/>
        <w:rPr>
          <w:b/>
          <w:bCs/>
          <w:sz w:val="28"/>
          <w:szCs w:val="22"/>
        </w:rPr>
      </w:pPr>
      <w:r w:rsidRPr="002F1D1A">
        <w:rPr>
          <w:b/>
          <w:bCs/>
          <w:sz w:val="28"/>
          <w:szCs w:val="22"/>
        </w:rPr>
        <w:t>"The impact of corporate governance and CSR on firm performance”</w:t>
      </w:r>
    </w:p>
    <w:p w14:paraId="39EAA125" w14:textId="6CF9780B" w:rsidR="00707E2F" w:rsidRPr="002F1D1A" w:rsidRDefault="00707E2F" w:rsidP="002F1D1A">
      <w:r w:rsidRPr="002F1D1A">
        <w:t>Student Name</w:t>
      </w:r>
      <w:r w:rsidR="00E142F2" w:rsidRPr="002F1D1A">
        <w:t>:</w:t>
      </w:r>
      <w:r w:rsidR="008B38ED">
        <w:t xml:space="preserve"> </w:t>
      </w:r>
      <w:r w:rsidR="008B38ED" w:rsidRPr="008B38ED">
        <w:t>Vasile Danut Miculas</w:t>
      </w:r>
    </w:p>
    <w:p w14:paraId="7934DE15" w14:textId="1722B7A9" w:rsidR="0001387F" w:rsidRPr="002F1D1A" w:rsidRDefault="00707E2F" w:rsidP="002F1D1A">
      <w:r w:rsidRPr="002F1D1A">
        <w:t>Student ID:</w:t>
      </w:r>
      <w:r w:rsidR="008B38ED">
        <w:t xml:space="preserve"> </w:t>
      </w:r>
      <w:r w:rsidR="008B38ED" w:rsidRPr="008B38ED">
        <w:t>2120834</w:t>
      </w:r>
    </w:p>
    <w:p w14:paraId="7C38BD11" w14:textId="77777777" w:rsidR="002F1D1A" w:rsidRPr="002F1D1A" w:rsidRDefault="00707E2F" w:rsidP="002F1D1A">
      <w:r w:rsidRPr="002F1D1A">
        <w:t>Word Count:</w:t>
      </w:r>
      <w:r w:rsidR="00597286" w:rsidRPr="002F1D1A">
        <w:t xml:space="preserve"> 21</w:t>
      </w:r>
      <w:r w:rsidR="003448D2">
        <w:t>23</w:t>
      </w:r>
    </w:p>
    <w:p w14:paraId="27BA35AE" w14:textId="77777777" w:rsidR="002F1D1A" w:rsidRPr="002F1D1A" w:rsidRDefault="002F1D1A" w:rsidP="002F1D1A">
      <w:pPr>
        <w:spacing w:after="200"/>
        <w:jc w:val="left"/>
      </w:pPr>
      <w:r w:rsidRPr="002F1D1A">
        <w:br w:type="page"/>
      </w:r>
    </w:p>
    <w:sdt>
      <w:sdtPr>
        <w:rPr>
          <w:rFonts w:ascii="Times New Roman" w:eastAsia="Times New Roman" w:hAnsi="Times New Roman" w:cs="Times New Roman"/>
          <w:b w:val="0"/>
          <w:bCs w:val="0"/>
          <w:color w:val="auto"/>
          <w:sz w:val="24"/>
          <w:szCs w:val="20"/>
          <w:lang w:val="en-GB" w:eastAsia="en-GB"/>
        </w:rPr>
        <w:id w:val="9867814"/>
        <w:docPartObj>
          <w:docPartGallery w:val="Table of Contents"/>
          <w:docPartUnique/>
        </w:docPartObj>
      </w:sdtPr>
      <w:sdtContent>
        <w:p w14:paraId="2DAA1B78" w14:textId="77777777" w:rsidR="00713AC4" w:rsidRPr="00046EB6" w:rsidRDefault="00713AC4" w:rsidP="00513C39">
          <w:pPr>
            <w:pStyle w:val="TOCHeading"/>
            <w:spacing w:line="360" w:lineRule="auto"/>
            <w:jc w:val="center"/>
            <w:rPr>
              <w:rFonts w:ascii="Times New Roman" w:hAnsi="Times New Roman" w:cs="Times New Roman"/>
              <w:color w:val="auto"/>
              <w:sz w:val="32"/>
              <w:szCs w:val="32"/>
            </w:rPr>
          </w:pPr>
          <w:r w:rsidRPr="00046EB6">
            <w:rPr>
              <w:rFonts w:ascii="Times New Roman" w:hAnsi="Times New Roman" w:cs="Times New Roman"/>
              <w:color w:val="auto"/>
              <w:sz w:val="32"/>
              <w:szCs w:val="32"/>
            </w:rPr>
            <w:t>Table of Contents</w:t>
          </w:r>
        </w:p>
        <w:p w14:paraId="71EC9A77" w14:textId="77777777" w:rsidR="00713AC4" w:rsidRPr="002F1D1A" w:rsidRDefault="00713AC4" w:rsidP="002F1D1A">
          <w:pPr>
            <w:pStyle w:val="TOC1"/>
            <w:tabs>
              <w:tab w:val="right" w:leader="dot" w:pos="9350"/>
            </w:tabs>
            <w:rPr>
              <w:noProof/>
            </w:rPr>
          </w:pPr>
          <w:r w:rsidRPr="002F1D1A">
            <w:fldChar w:fldCharType="begin"/>
          </w:r>
          <w:r w:rsidRPr="002F1D1A">
            <w:instrText xml:space="preserve"> TOC \o "1-3" \h \z \u </w:instrText>
          </w:r>
          <w:r w:rsidRPr="002F1D1A">
            <w:fldChar w:fldCharType="separate"/>
          </w:r>
          <w:hyperlink w:anchor="_Toc168946909" w:history="1">
            <w:r w:rsidRPr="002F1D1A">
              <w:rPr>
                <w:rStyle w:val="Hyperlink"/>
                <w:noProof/>
                <w:color w:val="auto"/>
                <w:lang w:val="en-US" w:eastAsia="en-US"/>
              </w:rPr>
              <w:t>Introduction</w:t>
            </w:r>
            <w:r w:rsidRPr="002F1D1A">
              <w:rPr>
                <w:noProof/>
                <w:webHidden/>
              </w:rPr>
              <w:tab/>
            </w:r>
            <w:r w:rsidRPr="002F1D1A">
              <w:rPr>
                <w:noProof/>
                <w:webHidden/>
              </w:rPr>
              <w:fldChar w:fldCharType="begin"/>
            </w:r>
            <w:r w:rsidRPr="002F1D1A">
              <w:rPr>
                <w:noProof/>
                <w:webHidden/>
              </w:rPr>
              <w:instrText xml:space="preserve"> PAGEREF _Toc168946909 \h </w:instrText>
            </w:r>
            <w:r w:rsidRPr="002F1D1A">
              <w:rPr>
                <w:noProof/>
                <w:webHidden/>
              </w:rPr>
            </w:r>
            <w:r w:rsidRPr="002F1D1A">
              <w:rPr>
                <w:noProof/>
                <w:webHidden/>
              </w:rPr>
              <w:fldChar w:fldCharType="separate"/>
            </w:r>
            <w:r w:rsidRPr="002F1D1A">
              <w:rPr>
                <w:noProof/>
                <w:webHidden/>
              </w:rPr>
              <w:t>2</w:t>
            </w:r>
            <w:r w:rsidRPr="002F1D1A">
              <w:rPr>
                <w:noProof/>
                <w:webHidden/>
              </w:rPr>
              <w:fldChar w:fldCharType="end"/>
            </w:r>
          </w:hyperlink>
        </w:p>
        <w:p w14:paraId="1CEEB933" w14:textId="77777777" w:rsidR="00713AC4" w:rsidRPr="002F1D1A" w:rsidRDefault="00000000" w:rsidP="002F1D1A">
          <w:pPr>
            <w:pStyle w:val="TOC1"/>
            <w:tabs>
              <w:tab w:val="right" w:leader="dot" w:pos="9350"/>
            </w:tabs>
            <w:rPr>
              <w:noProof/>
            </w:rPr>
          </w:pPr>
          <w:hyperlink w:anchor="_Toc168946910" w:history="1">
            <w:r w:rsidR="00713AC4" w:rsidRPr="002F1D1A">
              <w:rPr>
                <w:rStyle w:val="Hyperlink"/>
                <w:noProof/>
                <w:color w:val="auto"/>
                <w:lang w:val="en-US" w:eastAsia="en-US"/>
              </w:rPr>
              <w:t>Corporate Governance Metrics for Unilever PLC</w:t>
            </w:r>
            <w:r w:rsidR="00713AC4" w:rsidRPr="002F1D1A">
              <w:rPr>
                <w:noProof/>
                <w:webHidden/>
              </w:rPr>
              <w:tab/>
            </w:r>
            <w:r w:rsidR="00713AC4" w:rsidRPr="002F1D1A">
              <w:rPr>
                <w:noProof/>
                <w:webHidden/>
              </w:rPr>
              <w:fldChar w:fldCharType="begin"/>
            </w:r>
            <w:r w:rsidR="00713AC4" w:rsidRPr="002F1D1A">
              <w:rPr>
                <w:noProof/>
                <w:webHidden/>
              </w:rPr>
              <w:instrText xml:space="preserve"> PAGEREF _Toc168946910 \h </w:instrText>
            </w:r>
            <w:r w:rsidR="00713AC4" w:rsidRPr="002F1D1A">
              <w:rPr>
                <w:noProof/>
                <w:webHidden/>
              </w:rPr>
            </w:r>
            <w:r w:rsidR="00713AC4" w:rsidRPr="002F1D1A">
              <w:rPr>
                <w:noProof/>
                <w:webHidden/>
              </w:rPr>
              <w:fldChar w:fldCharType="separate"/>
            </w:r>
            <w:r w:rsidR="00713AC4" w:rsidRPr="002F1D1A">
              <w:rPr>
                <w:noProof/>
                <w:webHidden/>
              </w:rPr>
              <w:t>3</w:t>
            </w:r>
            <w:r w:rsidR="00713AC4" w:rsidRPr="002F1D1A">
              <w:rPr>
                <w:noProof/>
                <w:webHidden/>
              </w:rPr>
              <w:fldChar w:fldCharType="end"/>
            </w:r>
          </w:hyperlink>
        </w:p>
        <w:p w14:paraId="0D4397A5" w14:textId="77777777" w:rsidR="00713AC4" w:rsidRPr="002F1D1A" w:rsidRDefault="00000000" w:rsidP="002F1D1A">
          <w:pPr>
            <w:pStyle w:val="TOC1"/>
            <w:tabs>
              <w:tab w:val="right" w:leader="dot" w:pos="9350"/>
            </w:tabs>
            <w:rPr>
              <w:noProof/>
            </w:rPr>
          </w:pPr>
          <w:hyperlink w:anchor="_Toc168946911" w:history="1">
            <w:r w:rsidR="00713AC4" w:rsidRPr="002F1D1A">
              <w:rPr>
                <w:rStyle w:val="Hyperlink"/>
                <w:noProof/>
                <w:color w:val="auto"/>
                <w:lang w:val="en-US" w:eastAsia="en-US"/>
              </w:rPr>
              <w:t>CSR metrics for Unilever PLC</w:t>
            </w:r>
            <w:r w:rsidR="00713AC4" w:rsidRPr="002F1D1A">
              <w:rPr>
                <w:noProof/>
                <w:webHidden/>
              </w:rPr>
              <w:tab/>
            </w:r>
            <w:r w:rsidR="00713AC4" w:rsidRPr="002F1D1A">
              <w:rPr>
                <w:noProof/>
                <w:webHidden/>
              </w:rPr>
              <w:fldChar w:fldCharType="begin"/>
            </w:r>
            <w:r w:rsidR="00713AC4" w:rsidRPr="002F1D1A">
              <w:rPr>
                <w:noProof/>
                <w:webHidden/>
              </w:rPr>
              <w:instrText xml:space="preserve"> PAGEREF _Toc168946911 \h </w:instrText>
            </w:r>
            <w:r w:rsidR="00713AC4" w:rsidRPr="002F1D1A">
              <w:rPr>
                <w:noProof/>
                <w:webHidden/>
              </w:rPr>
            </w:r>
            <w:r w:rsidR="00713AC4" w:rsidRPr="002F1D1A">
              <w:rPr>
                <w:noProof/>
                <w:webHidden/>
              </w:rPr>
              <w:fldChar w:fldCharType="separate"/>
            </w:r>
            <w:r w:rsidR="00713AC4" w:rsidRPr="002F1D1A">
              <w:rPr>
                <w:noProof/>
                <w:webHidden/>
              </w:rPr>
              <w:t>4</w:t>
            </w:r>
            <w:r w:rsidR="00713AC4" w:rsidRPr="002F1D1A">
              <w:rPr>
                <w:noProof/>
                <w:webHidden/>
              </w:rPr>
              <w:fldChar w:fldCharType="end"/>
            </w:r>
          </w:hyperlink>
        </w:p>
        <w:p w14:paraId="751D5EAB" w14:textId="77777777" w:rsidR="00713AC4" w:rsidRPr="002F1D1A" w:rsidRDefault="00000000" w:rsidP="002F1D1A">
          <w:pPr>
            <w:pStyle w:val="TOC1"/>
            <w:tabs>
              <w:tab w:val="right" w:leader="dot" w:pos="9350"/>
            </w:tabs>
            <w:rPr>
              <w:noProof/>
            </w:rPr>
          </w:pPr>
          <w:hyperlink w:anchor="_Toc168946912" w:history="1">
            <w:r w:rsidR="00713AC4" w:rsidRPr="002F1D1A">
              <w:rPr>
                <w:rStyle w:val="Hyperlink"/>
                <w:noProof/>
                <w:color w:val="auto"/>
              </w:rPr>
              <w:t>Financial Performance Analysis</w:t>
            </w:r>
            <w:r w:rsidR="00713AC4" w:rsidRPr="002F1D1A">
              <w:rPr>
                <w:noProof/>
                <w:webHidden/>
              </w:rPr>
              <w:tab/>
            </w:r>
            <w:r w:rsidR="00713AC4" w:rsidRPr="002F1D1A">
              <w:rPr>
                <w:noProof/>
                <w:webHidden/>
              </w:rPr>
              <w:fldChar w:fldCharType="begin"/>
            </w:r>
            <w:r w:rsidR="00713AC4" w:rsidRPr="002F1D1A">
              <w:rPr>
                <w:noProof/>
                <w:webHidden/>
              </w:rPr>
              <w:instrText xml:space="preserve"> PAGEREF _Toc168946912 \h </w:instrText>
            </w:r>
            <w:r w:rsidR="00713AC4" w:rsidRPr="002F1D1A">
              <w:rPr>
                <w:noProof/>
                <w:webHidden/>
              </w:rPr>
            </w:r>
            <w:r w:rsidR="00713AC4" w:rsidRPr="002F1D1A">
              <w:rPr>
                <w:noProof/>
                <w:webHidden/>
              </w:rPr>
              <w:fldChar w:fldCharType="separate"/>
            </w:r>
            <w:r w:rsidR="00713AC4" w:rsidRPr="002F1D1A">
              <w:rPr>
                <w:noProof/>
                <w:webHidden/>
              </w:rPr>
              <w:t>6</w:t>
            </w:r>
            <w:r w:rsidR="00713AC4" w:rsidRPr="002F1D1A">
              <w:rPr>
                <w:noProof/>
                <w:webHidden/>
              </w:rPr>
              <w:fldChar w:fldCharType="end"/>
            </w:r>
          </w:hyperlink>
        </w:p>
        <w:p w14:paraId="02C5BC23" w14:textId="77777777" w:rsidR="00713AC4" w:rsidRPr="002F1D1A" w:rsidRDefault="00000000" w:rsidP="002F1D1A">
          <w:pPr>
            <w:pStyle w:val="TOC1"/>
            <w:tabs>
              <w:tab w:val="right" w:leader="dot" w:pos="9350"/>
            </w:tabs>
            <w:rPr>
              <w:noProof/>
            </w:rPr>
          </w:pPr>
          <w:hyperlink w:anchor="_Toc168946913" w:history="1">
            <w:r w:rsidR="00713AC4" w:rsidRPr="002F1D1A">
              <w:rPr>
                <w:rStyle w:val="Hyperlink"/>
                <w:noProof/>
                <w:color w:val="auto"/>
              </w:rPr>
              <w:t>Non-Financial Performance Analysis</w:t>
            </w:r>
            <w:r w:rsidR="00713AC4" w:rsidRPr="002F1D1A">
              <w:rPr>
                <w:noProof/>
                <w:webHidden/>
              </w:rPr>
              <w:tab/>
            </w:r>
            <w:r w:rsidR="00713AC4" w:rsidRPr="002F1D1A">
              <w:rPr>
                <w:noProof/>
                <w:webHidden/>
              </w:rPr>
              <w:fldChar w:fldCharType="begin"/>
            </w:r>
            <w:r w:rsidR="00713AC4" w:rsidRPr="002F1D1A">
              <w:rPr>
                <w:noProof/>
                <w:webHidden/>
              </w:rPr>
              <w:instrText xml:space="preserve"> PAGEREF _Toc168946913 \h </w:instrText>
            </w:r>
            <w:r w:rsidR="00713AC4" w:rsidRPr="002F1D1A">
              <w:rPr>
                <w:noProof/>
                <w:webHidden/>
              </w:rPr>
            </w:r>
            <w:r w:rsidR="00713AC4" w:rsidRPr="002F1D1A">
              <w:rPr>
                <w:noProof/>
                <w:webHidden/>
              </w:rPr>
              <w:fldChar w:fldCharType="separate"/>
            </w:r>
            <w:r w:rsidR="00713AC4" w:rsidRPr="002F1D1A">
              <w:rPr>
                <w:noProof/>
                <w:webHidden/>
              </w:rPr>
              <w:t>6</w:t>
            </w:r>
            <w:r w:rsidR="00713AC4" w:rsidRPr="002F1D1A">
              <w:rPr>
                <w:noProof/>
                <w:webHidden/>
              </w:rPr>
              <w:fldChar w:fldCharType="end"/>
            </w:r>
          </w:hyperlink>
        </w:p>
        <w:p w14:paraId="76CF417C" w14:textId="77777777" w:rsidR="00713AC4" w:rsidRPr="002F1D1A" w:rsidRDefault="00000000" w:rsidP="002F1D1A">
          <w:pPr>
            <w:pStyle w:val="TOC1"/>
            <w:tabs>
              <w:tab w:val="right" w:leader="dot" w:pos="9350"/>
            </w:tabs>
            <w:rPr>
              <w:noProof/>
            </w:rPr>
          </w:pPr>
          <w:hyperlink w:anchor="_Toc168946914" w:history="1">
            <w:r w:rsidR="00713AC4" w:rsidRPr="002F1D1A">
              <w:rPr>
                <w:rStyle w:val="Hyperlink"/>
                <w:noProof/>
                <w:color w:val="auto"/>
              </w:rPr>
              <w:t>Conclusion and Recommendation</w:t>
            </w:r>
            <w:r w:rsidR="00713AC4" w:rsidRPr="002F1D1A">
              <w:rPr>
                <w:noProof/>
                <w:webHidden/>
              </w:rPr>
              <w:tab/>
            </w:r>
            <w:r w:rsidR="00713AC4" w:rsidRPr="002F1D1A">
              <w:rPr>
                <w:noProof/>
                <w:webHidden/>
              </w:rPr>
              <w:fldChar w:fldCharType="begin"/>
            </w:r>
            <w:r w:rsidR="00713AC4" w:rsidRPr="002F1D1A">
              <w:rPr>
                <w:noProof/>
                <w:webHidden/>
              </w:rPr>
              <w:instrText xml:space="preserve"> PAGEREF _Toc168946914 \h </w:instrText>
            </w:r>
            <w:r w:rsidR="00713AC4" w:rsidRPr="002F1D1A">
              <w:rPr>
                <w:noProof/>
                <w:webHidden/>
              </w:rPr>
            </w:r>
            <w:r w:rsidR="00713AC4" w:rsidRPr="002F1D1A">
              <w:rPr>
                <w:noProof/>
                <w:webHidden/>
              </w:rPr>
              <w:fldChar w:fldCharType="separate"/>
            </w:r>
            <w:r w:rsidR="00713AC4" w:rsidRPr="002F1D1A">
              <w:rPr>
                <w:noProof/>
                <w:webHidden/>
              </w:rPr>
              <w:t>7</w:t>
            </w:r>
            <w:r w:rsidR="00713AC4" w:rsidRPr="002F1D1A">
              <w:rPr>
                <w:noProof/>
                <w:webHidden/>
              </w:rPr>
              <w:fldChar w:fldCharType="end"/>
            </w:r>
          </w:hyperlink>
        </w:p>
        <w:p w14:paraId="081029CA" w14:textId="77777777" w:rsidR="00713AC4" w:rsidRPr="002F1D1A" w:rsidRDefault="00000000" w:rsidP="002F1D1A">
          <w:pPr>
            <w:pStyle w:val="TOC1"/>
            <w:tabs>
              <w:tab w:val="right" w:leader="dot" w:pos="9350"/>
            </w:tabs>
            <w:rPr>
              <w:noProof/>
            </w:rPr>
          </w:pPr>
          <w:hyperlink w:anchor="_Toc168946915" w:history="1">
            <w:r w:rsidR="00713AC4" w:rsidRPr="002F1D1A">
              <w:rPr>
                <w:rStyle w:val="Hyperlink"/>
                <w:noProof/>
                <w:color w:val="auto"/>
              </w:rPr>
              <w:t>References:</w:t>
            </w:r>
            <w:r w:rsidR="00713AC4" w:rsidRPr="002F1D1A">
              <w:rPr>
                <w:noProof/>
                <w:webHidden/>
              </w:rPr>
              <w:tab/>
            </w:r>
            <w:r w:rsidR="00713AC4" w:rsidRPr="002F1D1A">
              <w:rPr>
                <w:noProof/>
                <w:webHidden/>
              </w:rPr>
              <w:fldChar w:fldCharType="begin"/>
            </w:r>
            <w:r w:rsidR="00713AC4" w:rsidRPr="002F1D1A">
              <w:rPr>
                <w:noProof/>
                <w:webHidden/>
              </w:rPr>
              <w:instrText xml:space="preserve"> PAGEREF _Toc168946915 \h </w:instrText>
            </w:r>
            <w:r w:rsidR="00713AC4" w:rsidRPr="002F1D1A">
              <w:rPr>
                <w:noProof/>
                <w:webHidden/>
              </w:rPr>
            </w:r>
            <w:r w:rsidR="00713AC4" w:rsidRPr="002F1D1A">
              <w:rPr>
                <w:noProof/>
                <w:webHidden/>
              </w:rPr>
              <w:fldChar w:fldCharType="separate"/>
            </w:r>
            <w:r w:rsidR="00713AC4" w:rsidRPr="002F1D1A">
              <w:rPr>
                <w:noProof/>
                <w:webHidden/>
              </w:rPr>
              <w:t>9</w:t>
            </w:r>
            <w:r w:rsidR="00713AC4" w:rsidRPr="002F1D1A">
              <w:rPr>
                <w:noProof/>
                <w:webHidden/>
              </w:rPr>
              <w:fldChar w:fldCharType="end"/>
            </w:r>
          </w:hyperlink>
        </w:p>
        <w:p w14:paraId="6F1FD89C" w14:textId="77777777" w:rsidR="00713AC4" w:rsidRPr="002F1D1A" w:rsidRDefault="00713AC4" w:rsidP="002F1D1A">
          <w:r w:rsidRPr="002F1D1A">
            <w:fldChar w:fldCharType="end"/>
          </w:r>
        </w:p>
      </w:sdtContent>
    </w:sdt>
    <w:p w14:paraId="33C5DBA6" w14:textId="77777777" w:rsidR="00987103" w:rsidRDefault="00987103">
      <w:pPr>
        <w:spacing w:after="200" w:line="276" w:lineRule="auto"/>
        <w:jc w:val="left"/>
        <w:rPr>
          <w:rFonts w:eastAsiaTheme="majorEastAsia"/>
          <w:b/>
          <w:bCs/>
          <w:szCs w:val="28"/>
          <w:lang w:val="en-US" w:eastAsia="en-US"/>
        </w:rPr>
      </w:pPr>
      <w:bookmarkStart w:id="0" w:name="_Toc168946909"/>
      <w:r>
        <w:rPr>
          <w:lang w:val="en-US" w:eastAsia="en-US"/>
        </w:rPr>
        <w:br w:type="page"/>
      </w:r>
    </w:p>
    <w:p w14:paraId="48883643" w14:textId="77777777" w:rsidR="00282DFE" w:rsidRPr="002F1D1A" w:rsidRDefault="00282DFE" w:rsidP="002F1D1A">
      <w:pPr>
        <w:pStyle w:val="Heading1"/>
        <w:rPr>
          <w:rFonts w:cs="Times New Roman"/>
          <w:color w:val="auto"/>
          <w:lang w:val="en-US" w:eastAsia="en-US"/>
        </w:rPr>
      </w:pPr>
      <w:r w:rsidRPr="002F1D1A">
        <w:rPr>
          <w:rFonts w:cs="Times New Roman"/>
          <w:color w:val="auto"/>
          <w:lang w:val="en-US" w:eastAsia="en-US"/>
        </w:rPr>
        <w:lastRenderedPageBreak/>
        <w:t>Introduction</w:t>
      </w:r>
      <w:bookmarkEnd w:id="0"/>
    </w:p>
    <w:p w14:paraId="2C9682B4" w14:textId="77777777" w:rsidR="00282DFE" w:rsidRPr="002F1D1A" w:rsidRDefault="00282DFE" w:rsidP="002F1D1A">
      <w:pPr>
        <w:rPr>
          <w:szCs w:val="24"/>
          <w:lang w:val="en-US" w:eastAsia="en-US"/>
        </w:rPr>
      </w:pPr>
      <w:r w:rsidRPr="002F1D1A">
        <w:rPr>
          <w:szCs w:val="24"/>
          <w:lang w:val="en-US" w:eastAsia="en-US"/>
        </w:rPr>
        <w:t>For ensuring long-term sustainability and success, corporate social responsibility (CSR and corporate governance are crucial issues in the contemporary business environment. Emphasising transparency, accountability, and fairness, the framework is provided by effective corporate governance, in which companies are controlled and directed in a company’s relationship with its stakeholders. To manage economic, social, and environmental effects, CSR reflects the commitment of the c</w:t>
      </w:r>
      <w:r w:rsidR="00276940" w:rsidRPr="002F1D1A">
        <w:rPr>
          <w:szCs w:val="24"/>
          <w:lang w:val="en-US" w:eastAsia="en-US"/>
        </w:rPr>
        <w:t>ompany’s other hand responsibly (</w:t>
      </w:r>
      <w:r w:rsidR="00987103" w:rsidRPr="002F1D1A">
        <w:t>Aguilera, 2010).</w:t>
      </w:r>
      <w:r w:rsidR="00987103" w:rsidRPr="002F1D1A">
        <w:rPr>
          <w:szCs w:val="24"/>
          <w:lang w:val="en-US" w:eastAsia="en-US"/>
        </w:rPr>
        <w:t xml:space="preserve"> The</w:t>
      </w:r>
      <w:r w:rsidRPr="002F1D1A">
        <w:rPr>
          <w:szCs w:val="24"/>
          <w:lang w:val="en-US" w:eastAsia="en-US"/>
        </w:rPr>
        <w:t xml:space="preserve"> impact of Corporate Social Responsibility and the corporate governance of Unilever PLC will be examined by this report </w:t>
      </w:r>
      <w:r w:rsidR="00856783">
        <w:rPr>
          <w:szCs w:val="24"/>
          <w:lang w:val="en-US" w:eastAsia="en-US"/>
        </w:rPr>
        <w:t>which</w:t>
      </w:r>
      <w:r w:rsidRPr="002F1D1A">
        <w:rPr>
          <w:szCs w:val="24"/>
          <w:lang w:val="en-US" w:eastAsia="en-US"/>
        </w:rPr>
        <w:t xml:space="preserve"> is </w:t>
      </w:r>
      <w:r w:rsidR="00856783">
        <w:rPr>
          <w:szCs w:val="24"/>
          <w:lang w:val="en-US" w:eastAsia="en-US"/>
        </w:rPr>
        <w:t xml:space="preserve">a </w:t>
      </w:r>
      <w:r w:rsidRPr="002F1D1A">
        <w:rPr>
          <w:szCs w:val="24"/>
          <w:lang w:val="en-US" w:eastAsia="en-US"/>
        </w:rPr>
        <w:t>leading multinational company, headquartered in the UK.</w:t>
      </w:r>
    </w:p>
    <w:p w14:paraId="25210F7B" w14:textId="77777777" w:rsidR="00282DFE" w:rsidRPr="002F1D1A" w:rsidRDefault="00282DFE" w:rsidP="002F1D1A">
      <w:pPr>
        <w:rPr>
          <w:szCs w:val="24"/>
          <w:lang w:val="en-US" w:eastAsia="en-US"/>
        </w:rPr>
      </w:pPr>
      <w:r w:rsidRPr="002F1D1A">
        <w:rPr>
          <w:szCs w:val="24"/>
          <w:lang w:val="en-US" w:eastAsia="en-US"/>
        </w:rPr>
        <w:t xml:space="preserve">Committing to sustainable business practices Unilever PLC is renowned for its portfolio of brands and is one of the biggest consumer companies across the globe. Including home care, beverages, and personal care, the company operates in various segments, serving billions of customers all over the world. Into its core strategies, CSR and corporate governance have been embedded by Unilever, enhancing livelihoods and improving well-being and health, aiming to reduce environmental impacts that are reflected in its sustainable living plan. To analyse and identify the metrics used by CSR and Unilever for corporate governance is the objective of this report including the evaluation of their impact on the company’s </w:t>
      </w:r>
      <w:r w:rsidR="00276940" w:rsidRPr="002F1D1A">
        <w:rPr>
          <w:szCs w:val="24"/>
          <w:lang w:val="en-US" w:eastAsia="en-US"/>
        </w:rPr>
        <w:t>us</w:t>
      </w:r>
      <w:r w:rsidR="00856783">
        <w:rPr>
          <w:szCs w:val="24"/>
          <w:lang w:val="en-US" w:eastAsia="en-US"/>
        </w:rPr>
        <w:t>e</w:t>
      </w:r>
      <w:r w:rsidR="00276940" w:rsidRPr="002F1D1A">
        <w:rPr>
          <w:szCs w:val="24"/>
          <w:lang w:val="en-US" w:eastAsia="en-US"/>
        </w:rPr>
        <w:t xml:space="preserve"> of empirical information (</w:t>
      </w:r>
      <w:r w:rsidR="00276940" w:rsidRPr="002F1D1A">
        <w:t xml:space="preserve">Crane, 2019). </w:t>
      </w:r>
      <w:r w:rsidRPr="002F1D1A">
        <w:rPr>
          <w:szCs w:val="24"/>
          <w:lang w:val="en-US" w:eastAsia="en-US"/>
        </w:rPr>
        <w:t>This study will provide a comprehensive analysis by drawing from international financial management practices of how CSR and government initiatives influence nonfinancial and financial performance.</w:t>
      </w:r>
    </w:p>
    <w:p w14:paraId="005B9E3B" w14:textId="77777777" w:rsidR="00282DFE" w:rsidRPr="002F1D1A" w:rsidRDefault="00282DFE" w:rsidP="002F1D1A">
      <w:pPr>
        <w:rPr>
          <w:szCs w:val="24"/>
          <w:lang w:val="en-US" w:eastAsia="en-US"/>
        </w:rPr>
      </w:pPr>
      <w:r w:rsidRPr="002F1D1A">
        <w:rPr>
          <w:szCs w:val="24"/>
          <w:lang w:val="en-US" w:eastAsia="en-US"/>
        </w:rPr>
        <w:t>Like shareholder rights, board composition, and executive compensation, this assessment will cover core corporate governance metrics as well as CSR metrics such as community engagement, environmental sustainability, and ethical sourcing. Supported by time series analysis and empirical data, this report will also discuss the theoretical framework. This framework will underpin the relationship between firm performance and these practices. In providing a model for other companies to follow and driving Unilever’s long-term success, the study report aims to explore the importance of CSR and corporate driving through a comprehensive examination.</w:t>
      </w:r>
    </w:p>
    <w:p w14:paraId="55D1E7EB" w14:textId="77777777" w:rsidR="00713AC4" w:rsidRPr="002F1D1A" w:rsidRDefault="00713AC4" w:rsidP="00987103">
      <w:pPr>
        <w:jc w:val="center"/>
        <w:rPr>
          <w:lang w:val="en-US" w:eastAsia="en-US"/>
        </w:rPr>
      </w:pPr>
      <w:bookmarkStart w:id="1" w:name="_Toc168946910"/>
      <w:r w:rsidRPr="002F1D1A">
        <w:rPr>
          <w:noProof/>
          <w:lang w:val="en-US" w:eastAsia="en-US"/>
        </w:rPr>
        <w:lastRenderedPageBreak/>
        <w:drawing>
          <wp:inline distT="0" distB="0" distL="0" distR="0" wp14:anchorId="0BEBDA52" wp14:editId="7223284B">
            <wp:extent cx="5046125" cy="2196548"/>
            <wp:effectExtent l="19050" t="0" r="2125" b="0"/>
            <wp:docPr id="2" name="Picture 1" descr="imag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jpeg"/>
                    <pic:cNvPicPr/>
                  </pic:nvPicPr>
                  <pic:blipFill>
                    <a:blip r:embed="rId8"/>
                    <a:stretch>
                      <a:fillRect/>
                    </a:stretch>
                  </pic:blipFill>
                  <pic:spPr>
                    <a:xfrm>
                      <a:off x="0" y="0"/>
                      <a:ext cx="5042257" cy="2194864"/>
                    </a:xfrm>
                    <a:prstGeom prst="rect">
                      <a:avLst/>
                    </a:prstGeom>
                  </pic:spPr>
                </pic:pic>
              </a:graphicData>
            </a:graphic>
          </wp:inline>
        </w:drawing>
      </w:r>
    </w:p>
    <w:p w14:paraId="70BAFBD6" w14:textId="77777777" w:rsidR="00713AC4" w:rsidRPr="002F1D1A" w:rsidRDefault="00713AC4" w:rsidP="00987103">
      <w:pPr>
        <w:jc w:val="center"/>
        <w:rPr>
          <w:b/>
          <w:lang w:val="en-US" w:eastAsia="en-US"/>
        </w:rPr>
      </w:pPr>
      <w:r w:rsidRPr="002F1D1A">
        <w:rPr>
          <w:b/>
          <w:lang w:val="en-US" w:eastAsia="en-US"/>
        </w:rPr>
        <w:t>Figure</w:t>
      </w:r>
      <w:r w:rsidR="00122701" w:rsidRPr="002F1D1A">
        <w:rPr>
          <w:b/>
          <w:lang w:val="en-US" w:eastAsia="en-US"/>
        </w:rPr>
        <w:t>: 1</w:t>
      </w:r>
      <w:r w:rsidRPr="002F1D1A">
        <w:rPr>
          <w:b/>
          <w:lang w:val="en-US" w:eastAsia="en-US"/>
        </w:rPr>
        <w:t xml:space="preserve"> Unilever Sustainable Living </w:t>
      </w:r>
      <w:r w:rsidR="00856783">
        <w:rPr>
          <w:b/>
          <w:lang w:val="en-US" w:eastAsia="en-US"/>
        </w:rPr>
        <w:t>P</w:t>
      </w:r>
      <w:r w:rsidRPr="002F1D1A">
        <w:rPr>
          <w:b/>
          <w:lang w:val="en-US" w:eastAsia="en-US"/>
        </w:rPr>
        <w:t xml:space="preserve">lan </w:t>
      </w:r>
      <w:r w:rsidRPr="002F1D1A">
        <w:rPr>
          <w:b/>
          <w:szCs w:val="24"/>
          <w:lang w:val="en-US" w:eastAsia="en-US"/>
        </w:rPr>
        <w:t>(</w:t>
      </w:r>
      <w:r w:rsidRPr="002F1D1A">
        <w:rPr>
          <w:b/>
        </w:rPr>
        <w:t>Unilever Sustainable Living Plan, 2023).</w:t>
      </w:r>
    </w:p>
    <w:p w14:paraId="505C2452" w14:textId="77777777" w:rsidR="00A13E7B" w:rsidRDefault="00A13E7B">
      <w:pPr>
        <w:spacing w:after="200" w:line="276" w:lineRule="auto"/>
        <w:jc w:val="left"/>
        <w:rPr>
          <w:rFonts w:eastAsiaTheme="majorEastAsia"/>
          <w:b/>
          <w:bCs/>
          <w:sz w:val="28"/>
          <w:szCs w:val="28"/>
          <w:lang w:val="en-US" w:eastAsia="en-US"/>
        </w:rPr>
      </w:pPr>
      <w:r>
        <w:rPr>
          <w:lang w:val="en-US" w:eastAsia="en-US"/>
        </w:rPr>
        <w:br w:type="page"/>
      </w:r>
    </w:p>
    <w:p w14:paraId="79EA470F" w14:textId="77777777" w:rsidR="00282DFE" w:rsidRPr="002F1D1A" w:rsidRDefault="00713AC4" w:rsidP="002F1D1A">
      <w:pPr>
        <w:pStyle w:val="Heading1"/>
        <w:rPr>
          <w:rFonts w:cs="Times New Roman"/>
          <w:color w:val="auto"/>
          <w:lang w:val="en-US" w:eastAsia="en-US"/>
        </w:rPr>
      </w:pPr>
      <w:r w:rsidRPr="002F1D1A">
        <w:rPr>
          <w:rFonts w:cs="Times New Roman"/>
          <w:color w:val="auto"/>
          <w:lang w:val="en-US" w:eastAsia="en-US"/>
        </w:rPr>
        <w:lastRenderedPageBreak/>
        <w:t>Corpora</w:t>
      </w:r>
      <w:r w:rsidR="00282DFE" w:rsidRPr="002F1D1A">
        <w:rPr>
          <w:rFonts w:cs="Times New Roman"/>
          <w:color w:val="auto"/>
          <w:lang w:val="en-US" w:eastAsia="en-US"/>
        </w:rPr>
        <w:t>te Governance Metrics for Unilever PLC</w:t>
      </w:r>
      <w:bookmarkEnd w:id="1"/>
    </w:p>
    <w:p w14:paraId="2BB51285" w14:textId="77777777" w:rsidR="00282DFE" w:rsidRPr="002F1D1A" w:rsidRDefault="00282DFE" w:rsidP="002F1D1A">
      <w:pPr>
        <w:pStyle w:val="ListParagraph"/>
        <w:numPr>
          <w:ilvl w:val="0"/>
          <w:numId w:val="19"/>
        </w:numPr>
        <w:rPr>
          <w:szCs w:val="24"/>
          <w:lang w:val="en-US" w:eastAsia="en-US"/>
        </w:rPr>
      </w:pPr>
      <w:r w:rsidRPr="002F1D1A">
        <w:rPr>
          <w:b/>
          <w:bCs/>
          <w:szCs w:val="24"/>
          <w:lang w:val="en-US" w:eastAsia="en-US"/>
        </w:rPr>
        <w:t>Executive Compensation</w:t>
      </w:r>
      <w:r w:rsidRPr="002F1D1A">
        <w:rPr>
          <w:szCs w:val="24"/>
          <w:lang w:val="en-US" w:eastAsia="en-US"/>
        </w:rPr>
        <w:t xml:space="preserve">: The stock options, other financial rewards, and salary are included in the executive compensation provided to the top executives of the company. Both non-financial and financial performance metrics of the company Unilever link the </w:t>
      </w:r>
      <w:r w:rsidR="00276940" w:rsidRPr="002F1D1A">
        <w:rPr>
          <w:szCs w:val="24"/>
          <w:lang w:val="en-US" w:eastAsia="en-US"/>
        </w:rPr>
        <w:t>compensation to the executives (</w:t>
      </w:r>
      <w:r w:rsidR="00276940" w:rsidRPr="002F1D1A">
        <w:t xml:space="preserve">Clarke, 2016). </w:t>
      </w:r>
      <w:r w:rsidRPr="002F1D1A">
        <w:rPr>
          <w:szCs w:val="24"/>
          <w:lang w:val="en-US" w:eastAsia="en-US"/>
        </w:rPr>
        <w:t>Align with strategic objectives like shareholder value creation and sustainability goals tied to long-term incentives and annual performance targets; this includes short-term incentives. Ensuring transparency in its annual report, the company discloses executive compensation in detail.</w:t>
      </w:r>
    </w:p>
    <w:p w14:paraId="5C944CC2" w14:textId="77777777" w:rsidR="00282DFE" w:rsidRPr="002F1D1A" w:rsidRDefault="00282DFE" w:rsidP="002F1D1A">
      <w:pPr>
        <w:pStyle w:val="ListParagraph"/>
        <w:numPr>
          <w:ilvl w:val="0"/>
          <w:numId w:val="19"/>
        </w:numPr>
        <w:rPr>
          <w:szCs w:val="24"/>
          <w:lang w:val="en-US" w:eastAsia="en-US"/>
        </w:rPr>
      </w:pPr>
      <w:r w:rsidRPr="002F1D1A">
        <w:rPr>
          <w:b/>
          <w:bCs/>
          <w:szCs w:val="24"/>
          <w:lang w:val="en-US" w:eastAsia="en-US"/>
        </w:rPr>
        <w:t>Board composition and diversity</w:t>
      </w:r>
      <w:r w:rsidRPr="002F1D1A">
        <w:rPr>
          <w:szCs w:val="24"/>
          <w:lang w:val="en-US" w:eastAsia="en-US"/>
        </w:rPr>
        <w:t>: Including the mix of non-executive and executive directors, the board composition refers to the structure of the board of directors. Professional background, gender, age, and ethnicity are encompassed by diversity. Ensuring a broad range of perspectives and expertise from a balanced mix of non-executive and executive directors, Unilever’s board is composed of</w:t>
      </w:r>
      <w:r w:rsidR="00E27666" w:rsidRPr="002F1D1A">
        <w:rPr>
          <w:szCs w:val="24"/>
          <w:lang w:val="en-US" w:eastAsia="en-US"/>
        </w:rPr>
        <w:t xml:space="preserve"> (</w:t>
      </w:r>
      <w:r w:rsidR="00E27666" w:rsidRPr="002F1D1A">
        <w:t xml:space="preserve">Ruggie, 2013). </w:t>
      </w:r>
      <w:r w:rsidRPr="002F1D1A">
        <w:rPr>
          <w:szCs w:val="24"/>
          <w:lang w:val="en-US" w:eastAsia="en-US"/>
        </w:rPr>
        <w:t>To enhance objectivity in decision-making, a significant proportion of independent directors are included on the board. Aligning with Unilever’s commitment to gender equality, with women representing a large portion of the board, gender diversity is also a priority.</w:t>
      </w:r>
    </w:p>
    <w:p w14:paraId="4051A384" w14:textId="77777777" w:rsidR="00282DFE" w:rsidRPr="002F1D1A" w:rsidRDefault="00282DFE" w:rsidP="002F1D1A">
      <w:pPr>
        <w:pStyle w:val="ListParagraph"/>
        <w:numPr>
          <w:ilvl w:val="0"/>
          <w:numId w:val="19"/>
        </w:numPr>
        <w:rPr>
          <w:szCs w:val="24"/>
          <w:lang w:val="en-US" w:eastAsia="en-US"/>
        </w:rPr>
      </w:pPr>
      <w:r w:rsidRPr="002F1D1A">
        <w:rPr>
          <w:b/>
          <w:bCs/>
          <w:szCs w:val="24"/>
          <w:lang w:val="en-US" w:eastAsia="en-US"/>
        </w:rPr>
        <w:t>Audit Committee Effectiveness</w:t>
      </w:r>
      <w:r w:rsidRPr="002F1D1A">
        <w:rPr>
          <w:szCs w:val="24"/>
          <w:lang w:val="en-US" w:eastAsia="en-US"/>
        </w:rPr>
        <w:t>: For overseeing the audit of financial statements, the financial reporting process, and internal controls, the audit committee is dutiful. With financial expertise, independent non-executive directors are comprise</w:t>
      </w:r>
      <w:r w:rsidR="00E27666" w:rsidRPr="002F1D1A">
        <w:rPr>
          <w:szCs w:val="24"/>
          <w:lang w:val="en-US" w:eastAsia="en-US"/>
        </w:rPr>
        <w:t>d of Unilever’s audit committee (</w:t>
      </w:r>
      <w:r w:rsidR="00E27666" w:rsidRPr="002F1D1A">
        <w:t xml:space="preserve">Solomon, 2020). </w:t>
      </w:r>
      <w:r w:rsidRPr="002F1D1A">
        <w:rPr>
          <w:szCs w:val="24"/>
          <w:lang w:val="en-US" w:eastAsia="en-US"/>
        </w:rPr>
        <w:t>Maintaining effective internal control, ensuring the integrity of financial reports, and overseeing the risk management the committee is tasked with. Addressing any financial discrepancy and ensuring compliance with regulatory standards requires regular meetings with external and internal auditors.</w:t>
      </w:r>
    </w:p>
    <w:p w14:paraId="16FACE28" w14:textId="77777777" w:rsidR="00282DFE" w:rsidRPr="002F1D1A" w:rsidRDefault="00282DFE" w:rsidP="002F1D1A">
      <w:pPr>
        <w:pStyle w:val="ListParagraph"/>
        <w:numPr>
          <w:ilvl w:val="0"/>
          <w:numId w:val="19"/>
        </w:numPr>
        <w:rPr>
          <w:szCs w:val="24"/>
          <w:lang w:val="en-US" w:eastAsia="en-US"/>
        </w:rPr>
      </w:pPr>
      <w:r w:rsidRPr="002F1D1A">
        <w:rPr>
          <w:b/>
          <w:bCs/>
          <w:szCs w:val="24"/>
          <w:lang w:val="en-US" w:eastAsia="en-US"/>
        </w:rPr>
        <w:t>Transparency and Accountability</w:t>
      </w:r>
      <w:r w:rsidRPr="002F1D1A">
        <w:rPr>
          <w:szCs w:val="24"/>
          <w:lang w:val="en-US" w:eastAsia="en-US"/>
        </w:rPr>
        <w:t xml:space="preserve">: Timely, accurate, and clear disclosure of non-financial and financial information is associated with transparency. In place to hold the management and board accountable for their actions, accountability refers to the mechanisms. Through comprehensive sustainability and annual reports, Unilever prioritises transparency that details CSR activities, financial performance, and government practices. Like the </w:t>
      </w:r>
      <w:r w:rsidR="00856783">
        <w:rPr>
          <w:szCs w:val="24"/>
          <w:lang w:val="en-US" w:eastAsia="en-US"/>
        </w:rPr>
        <w:t>S</w:t>
      </w:r>
      <w:r w:rsidRPr="002F1D1A">
        <w:rPr>
          <w:szCs w:val="24"/>
          <w:lang w:val="en-US" w:eastAsia="en-US"/>
        </w:rPr>
        <w:t xml:space="preserve">ustainability and Global Reporting Initiative GRI, the company adheres to international reporting standards, ensuring that stakeholders have access to </w:t>
      </w:r>
      <w:r w:rsidRPr="002F1D1A">
        <w:rPr>
          <w:szCs w:val="24"/>
          <w:lang w:val="en-US" w:eastAsia="en-US"/>
        </w:rPr>
        <w:lastRenderedPageBreak/>
        <w:t>reliable information. Through adherence to ethical standards and regular performance reviews, accountability is enforced.</w:t>
      </w:r>
    </w:p>
    <w:p w14:paraId="2EC387C9" w14:textId="77777777" w:rsidR="00282DFE" w:rsidRPr="002F1D1A" w:rsidRDefault="00282DFE" w:rsidP="002F1D1A">
      <w:pPr>
        <w:pStyle w:val="ListParagraph"/>
        <w:numPr>
          <w:ilvl w:val="0"/>
          <w:numId w:val="19"/>
        </w:numPr>
        <w:rPr>
          <w:szCs w:val="24"/>
          <w:lang w:val="en-US" w:eastAsia="en-US"/>
        </w:rPr>
      </w:pPr>
      <w:r w:rsidRPr="002F1D1A">
        <w:rPr>
          <w:b/>
          <w:bCs/>
          <w:szCs w:val="24"/>
          <w:lang w:val="en-US" w:eastAsia="en-US"/>
        </w:rPr>
        <w:t>Shareholder Rights</w:t>
      </w:r>
      <w:r w:rsidRPr="002F1D1A">
        <w:rPr>
          <w:szCs w:val="24"/>
          <w:lang w:val="en-US" w:eastAsia="en-US"/>
        </w:rPr>
        <w:t>: Including access to key financial information and the ability to attend annual meetings, the rights of the shareholders pertain to the mechanisms that allow shareholders to influence corporate governance. Providing comprehensive reports and transparent communication on strategic initiatives and financial performance Unilever ensures the robust p</w:t>
      </w:r>
      <w:r w:rsidR="00276940" w:rsidRPr="002F1D1A">
        <w:rPr>
          <w:szCs w:val="24"/>
          <w:lang w:val="en-US" w:eastAsia="en-US"/>
        </w:rPr>
        <w:t>rotection of shareholder rights (</w:t>
      </w:r>
      <w:r w:rsidR="00276940" w:rsidRPr="002F1D1A">
        <w:t xml:space="preserve">Mallin, 2018). </w:t>
      </w:r>
      <w:r w:rsidRPr="002F1D1A">
        <w:rPr>
          <w:szCs w:val="24"/>
          <w:lang w:val="en-US" w:eastAsia="en-US"/>
        </w:rPr>
        <w:t xml:space="preserve"> Like executive compensation and board appointments, shareholders can inspire participants in annual general meetings where they can vote on significant matters. To provide feedback and raise concerns, the company also offers platforms for shareholders.</w:t>
      </w:r>
    </w:p>
    <w:p w14:paraId="1E3CE6CA" w14:textId="77777777" w:rsidR="00282DFE" w:rsidRPr="002F1D1A" w:rsidRDefault="00713AC4" w:rsidP="002F1D1A">
      <w:pPr>
        <w:jc w:val="center"/>
        <w:rPr>
          <w:szCs w:val="24"/>
          <w:lang w:val="en-US" w:eastAsia="en-US"/>
        </w:rPr>
      </w:pPr>
      <w:r w:rsidRPr="002F1D1A">
        <w:rPr>
          <w:noProof/>
          <w:szCs w:val="24"/>
          <w:lang w:val="en-US" w:eastAsia="en-US"/>
        </w:rPr>
        <w:drawing>
          <wp:inline distT="0" distB="0" distL="0" distR="0" wp14:anchorId="49CDC167" wp14:editId="75816581">
            <wp:extent cx="4802505" cy="3009900"/>
            <wp:effectExtent l="0" t="0" r="0" b="0"/>
            <wp:docPr id="1" name="Picture 0" descr="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7.png"/>
                    <pic:cNvPicPr/>
                  </pic:nvPicPr>
                  <pic:blipFill>
                    <a:blip r:embed="rId9"/>
                    <a:stretch>
                      <a:fillRect/>
                    </a:stretch>
                  </pic:blipFill>
                  <pic:spPr>
                    <a:xfrm>
                      <a:off x="0" y="0"/>
                      <a:ext cx="4802382" cy="3009823"/>
                    </a:xfrm>
                    <a:prstGeom prst="rect">
                      <a:avLst/>
                    </a:prstGeom>
                  </pic:spPr>
                </pic:pic>
              </a:graphicData>
            </a:graphic>
          </wp:inline>
        </w:drawing>
      </w:r>
    </w:p>
    <w:p w14:paraId="216E92C6" w14:textId="77777777" w:rsidR="00713AC4" w:rsidRPr="002F1D1A" w:rsidRDefault="00713AC4" w:rsidP="002F1D1A">
      <w:pPr>
        <w:jc w:val="center"/>
        <w:rPr>
          <w:b/>
          <w:szCs w:val="24"/>
          <w:lang w:val="en-US" w:eastAsia="en-US"/>
        </w:rPr>
      </w:pPr>
      <w:r w:rsidRPr="002F1D1A">
        <w:rPr>
          <w:b/>
          <w:szCs w:val="24"/>
          <w:lang w:val="en-US" w:eastAsia="en-US"/>
        </w:rPr>
        <w:t>Figure</w:t>
      </w:r>
      <w:r w:rsidR="00856783">
        <w:rPr>
          <w:b/>
          <w:szCs w:val="24"/>
          <w:lang w:val="en-US" w:eastAsia="en-US"/>
        </w:rPr>
        <w:t xml:space="preserve"> </w:t>
      </w:r>
      <w:r w:rsidR="00122701" w:rsidRPr="002F1D1A">
        <w:rPr>
          <w:b/>
          <w:szCs w:val="24"/>
          <w:lang w:val="en-US" w:eastAsia="en-US"/>
        </w:rPr>
        <w:t>2</w:t>
      </w:r>
      <w:r w:rsidRPr="002F1D1A">
        <w:rPr>
          <w:b/>
          <w:szCs w:val="24"/>
          <w:lang w:val="en-US" w:eastAsia="en-US"/>
        </w:rPr>
        <w:t xml:space="preserve"> Corporate Social Responsibility (</w:t>
      </w:r>
      <w:r w:rsidR="00122701" w:rsidRPr="002F1D1A">
        <w:rPr>
          <w:b/>
        </w:rPr>
        <w:t>European Corporate Governance Institute, 2023).</w:t>
      </w:r>
    </w:p>
    <w:p w14:paraId="2A018308" w14:textId="77777777" w:rsidR="00A13E7B" w:rsidRDefault="00A13E7B">
      <w:pPr>
        <w:spacing w:after="200" w:line="276" w:lineRule="auto"/>
        <w:jc w:val="left"/>
        <w:rPr>
          <w:rFonts w:eastAsiaTheme="majorEastAsia"/>
          <w:b/>
          <w:bCs/>
          <w:sz w:val="28"/>
          <w:szCs w:val="28"/>
          <w:lang w:val="en-US" w:eastAsia="en-US"/>
        </w:rPr>
      </w:pPr>
      <w:bookmarkStart w:id="2" w:name="_Toc168946911"/>
      <w:r>
        <w:rPr>
          <w:lang w:val="en-US" w:eastAsia="en-US"/>
        </w:rPr>
        <w:br w:type="page"/>
      </w:r>
    </w:p>
    <w:p w14:paraId="170CA03A" w14:textId="77777777" w:rsidR="00282DFE" w:rsidRPr="002F1D1A" w:rsidRDefault="00282DFE" w:rsidP="002F1D1A">
      <w:pPr>
        <w:pStyle w:val="Heading1"/>
        <w:rPr>
          <w:rFonts w:cs="Times New Roman"/>
          <w:color w:val="auto"/>
          <w:lang w:val="en-US" w:eastAsia="en-US"/>
        </w:rPr>
      </w:pPr>
      <w:r w:rsidRPr="002F1D1A">
        <w:rPr>
          <w:rFonts w:cs="Times New Roman"/>
          <w:color w:val="auto"/>
          <w:lang w:val="en-US" w:eastAsia="en-US"/>
        </w:rPr>
        <w:lastRenderedPageBreak/>
        <w:t>CSR metrics for Unilever PLC</w:t>
      </w:r>
      <w:bookmarkEnd w:id="2"/>
    </w:p>
    <w:p w14:paraId="5A6B8E23" w14:textId="77777777" w:rsidR="00282DFE" w:rsidRPr="002F1D1A" w:rsidRDefault="00282DFE" w:rsidP="002F1D1A">
      <w:pPr>
        <w:pStyle w:val="ListParagraph"/>
        <w:numPr>
          <w:ilvl w:val="0"/>
          <w:numId w:val="18"/>
        </w:numPr>
        <w:rPr>
          <w:szCs w:val="24"/>
          <w:lang w:val="en-US" w:eastAsia="en-US"/>
        </w:rPr>
      </w:pPr>
      <w:r w:rsidRPr="002F1D1A">
        <w:rPr>
          <w:b/>
          <w:bCs/>
          <w:szCs w:val="24"/>
          <w:lang w:val="en-US" w:eastAsia="en-US"/>
        </w:rPr>
        <w:t>Social Impact</w:t>
      </w:r>
      <w:r w:rsidRPr="002F1D1A">
        <w:rPr>
          <w:szCs w:val="24"/>
          <w:lang w:val="en-US" w:eastAsia="en-US"/>
        </w:rPr>
        <w:t>: Including employee welfare, community development, and education and health initiatives, the social impact metrics analyse the contribution of the company to societal well</w:t>
      </w:r>
      <w:r w:rsidR="00856783">
        <w:rPr>
          <w:szCs w:val="24"/>
          <w:lang w:val="en-US" w:eastAsia="en-US"/>
        </w:rPr>
        <w:t>-</w:t>
      </w:r>
      <w:r w:rsidRPr="002F1D1A">
        <w:rPr>
          <w:szCs w:val="24"/>
          <w:lang w:val="en-US" w:eastAsia="en-US"/>
        </w:rPr>
        <w:t>being. Aiming at improving wellbeing and health in communities, Unilever is connected to various social initiatives where it operates. The company’s commitment to social responsibility is exemplified by Dove’s self-esteem project and Lifebuoy’s handwashing campaign. Providing support for economic empowerment, education, and health, Unilever invests in the development of community projects additionally.</w:t>
      </w:r>
    </w:p>
    <w:p w14:paraId="6B38AFFA" w14:textId="77777777" w:rsidR="00282DFE" w:rsidRPr="002F1D1A" w:rsidRDefault="00282DFE" w:rsidP="002F1D1A">
      <w:pPr>
        <w:pStyle w:val="ListParagraph"/>
        <w:numPr>
          <w:ilvl w:val="0"/>
          <w:numId w:val="18"/>
        </w:numPr>
        <w:rPr>
          <w:szCs w:val="24"/>
          <w:lang w:val="en-US" w:eastAsia="en-US"/>
        </w:rPr>
      </w:pPr>
      <w:r w:rsidRPr="002F1D1A">
        <w:rPr>
          <w:b/>
          <w:bCs/>
          <w:szCs w:val="24"/>
          <w:lang w:val="en-US" w:eastAsia="en-US"/>
        </w:rPr>
        <w:t>Environmental Sustainability</w:t>
      </w:r>
      <w:r w:rsidRPr="002F1D1A">
        <w:rPr>
          <w:szCs w:val="24"/>
          <w:lang w:val="en-US" w:eastAsia="en-US"/>
        </w:rPr>
        <w:t xml:space="preserve">: Including resource conservation, carbon footprint, waste management, and water usage, environmental sustainability measures the impact of a company on the environment. For reducing waste, greenhouse gas emissions, and water usage, Unilever’s Sustainable Living Plan sets ambitious targets. Showcasing initiatives, the company reports progress on these targets annually, like waste reduction strategies, renewable energy adoption, </w:t>
      </w:r>
      <w:r w:rsidR="00276940" w:rsidRPr="002F1D1A">
        <w:rPr>
          <w:szCs w:val="24"/>
          <w:lang w:val="en-US" w:eastAsia="en-US"/>
        </w:rPr>
        <w:t>and water conservation projects (</w:t>
      </w:r>
      <w:r w:rsidR="00276940" w:rsidRPr="002F1D1A">
        <w:t xml:space="preserve">Jamali, 2017). </w:t>
      </w:r>
      <w:r w:rsidRPr="002F1D1A">
        <w:rPr>
          <w:szCs w:val="24"/>
          <w:lang w:val="en-US" w:eastAsia="en-US"/>
        </w:rPr>
        <w:t>By 2039, Unilever aims to achieve net zero emissions, and in reducing its environmental footprint, it has already made significant strides.</w:t>
      </w:r>
    </w:p>
    <w:p w14:paraId="78C3ECCC" w14:textId="77777777" w:rsidR="00282DFE" w:rsidRPr="002F1D1A" w:rsidRDefault="00282DFE" w:rsidP="002F1D1A">
      <w:pPr>
        <w:pStyle w:val="ListParagraph"/>
        <w:numPr>
          <w:ilvl w:val="0"/>
          <w:numId w:val="18"/>
        </w:numPr>
        <w:rPr>
          <w:szCs w:val="24"/>
          <w:lang w:val="en-US" w:eastAsia="en-US"/>
        </w:rPr>
      </w:pPr>
      <w:r w:rsidRPr="002F1D1A">
        <w:rPr>
          <w:b/>
          <w:bCs/>
          <w:szCs w:val="24"/>
          <w:lang w:val="en-US" w:eastAsia="en-US"/>
        </w:rPr>
        <w:t>Ethical Sourcing</w:t>
      </w:r>
      <w:r w:rsidRPr="002F1D1A">
        <w:rPr>
          <w:szCs w:val="24"/>
          <w:lang w:val="en-US" w:eastAsia="en-US"/>
        </w:rPr>
        <w:t>: Considering the welfare of the environment and workers, ethical sourcing is associated with ensuring that the products are obtained in a sustainable and responsible manner.</w:t>
      </w:r>
      <w:r w:rsidR="00E27666" w:rsidRPr="002F1D1A">
        <w:rPr>
          <w:szCs w:val="24"/>
          <w:lang w:val="en-US" w:eastAsia="en-US"/>
        </w:rPr>
        <w:t xml:space="preserve"> </w:t>
      </w:r>
      <w:r w:rsidRPr="002F1D1A">
        <w:rPr>
          <w:szCs w:val="24"/>
          <w:lang w:val="en-US" w:eastAsia="en-US"/>
        </w:rPr>
        <w:t>Adhering to strict ethical standards for the suppliers Unilever is committed to the sustainable sourcing of raw materials. Ensuring that the suppliers follow socially responsible and environmentally friendly practices for sustainable farming practices, the company’s Sustainable Agriculture Code outlines guidelines. To achieve 100 percent sustainable sourcing, Unilever’s commitment to ethical sourcing is evident in its efforts to source agricultural raw materials.</w:t>
      </w:r>
    </w:p>
    <w:p w14:paraId="0F604C5E" w14:textId="77777777" w:rsidR="00282DFE" w:rsidRPr="002F1D1A" w:rsidRDefault="00282DFE" w:rsidP="002F1D1A">
      <w:pPr>
        <w:pStyle w:val="ListParagraph"/>
        <w:numPr>
          <w:ilvl w:val="0"/>
          <w:numId w:val="18"/>
        </w:numPr>
        <w:rPr>
          <w:szCs w:val="24"/>
          <w:lang w:val="en-US" w:eastAsia="en-US"/>
        </w:rPr>
      </w:pPr>
      <w:r w:rsidRPr="002F1D1A">
        <w:rPr>
          <w:b/>
          <w:bCs/>
          <w:szCs w:val="24"/>
          <w:lang w:val="en-US" w:eastAsia="en-US"/>
        </w:rPr>
        <w:t>Community Engagement</w:t>
      </w:r>
      <w:r w:rsidRPr="002F1D1A">
        <w:rPr>
          <w:szCs w:val="24"/>
          <w:lang w:val="en-US" w:eastAsia="en-US"/>
        </w:rPr>
        <w:t xml:space="preserve">: A company’s involvement and contribution are analysed by the community engagement metrics in the communities where it operates. Through different programmes, Unilever actively connects with communities, focusing on improving the quality of life. In education, sanitation, and nutrition, these included initiatives. To foster sustainable development and address specific needs, the company collaborates with </w:t>
      </w:r>
      <w:r w:rsidR="00276940" w:rsidRPr="002F1D1A">
        <w:rPr>
          <w:szCs w:val="24"/>
          <w:lang w:val="en-US" w:eastAsia="en-US"/>
        </w:rPr>
        <w:t>community groups and local NGOs (</w:t>
      </w:r>
      <w:r w:rsidR="00276940" w:rsidRPr="002F1D1A">
        <w:t xml:space="preserve">Financial Times, 2023). </w:t>
      </w:r>
      <w:r w:rsidRPr="002F1D1A">
        <w:rPr>
          <w:szCs w:val="24"/>
          <w:lang w:val="en-US" w:eastAsia="en-US"/>
        </w:rPr>
        <w:t xml:space="preserve">Unilever effectively integrates CSR and corporate governance by employing these comprehensive </w:t>
      </w:r>
      <w:r w:rsidRPr="002F1D1A">
        <w:rPr>
          <w:szCs w:val="24"/>
          <w:lang w:val="en-US" w:eastAsia="en-US"/>
        </w:rPr>
        <w:lastRenderedPageBreak/>
        <w:t>metrics into its business strategy, ensuring long-term sustainability and thereby enhancing its overall performance.</w:t>
      </w:r>
    </w:p>
    <w:p w14:paraId="7C5E682B" w14:textId="77777777" w:rsidR="00282DFE" w:rsidRPr="002F1D1A" w:rsidRDefault="00282DFE" w:rsidP="002F1D1A">
      <w:pPr>
        <w:pStyle w:val="ListParagraph"/>
        <w:numPr>
          <w:ilvl w:val="0"/>
          <w:numId w:val="18"/>
        </w:numPr>
        <w:rPr>
          <w:szCs w:val="24"/>
          <w:lang w:val="en-US" w:eastAsia="en-US"/>
        </w:rPr>
      </w:pPr>
      <w:r w:rsidRPr="002F1D1A">
        <w:rPr>
          <w:b/>
          <w:bCs/>
          <w:szCs w:val="24"/>
          <w:lang w:val="en-US" w:eastAsia="en-US"/>
        </w:rPr>
        <w:t>Employee welfare and diversity</w:t>
      </w:r>
      <w:r w:rsidRPr="002F1D1A">
        <w:rPr>
          <w:szCs w:val="24"/>
          <w:lang w:val="en-US" w:eastAsia="en-US"/>
        </w:rPr>
        <w:t xml:space="preserve">: A supportive, safe, and inclusive workplace is provided by the metrics for employee diversity and welfare measures. Aimed at creating a supportive work environment. Unilever promotes inclusion and diversity through various initiatives. Regardless of background, gender, and ethnicity, to ensure equal opportunities and support for all workers, </w:t>
      </w:r>
      <w:r w:rsidR="00E27666" w:rsidRPr="002F1D1A">
        <w:rPr>
          <w:szCs w:val="24"/>
          <w:lang w:val="en-US" w:eastAsia="en-US"/>
        </w:rPr>
        <w:t>the company implements policies (</w:t>
      </w:r>
      <w:r w:rsidR="00E27666" w:rsidRPr="002F1D1A">
        <w:t xml:space="preserve">O'Sullivan, 2017). </w:t>
      </w:r>
      <w:r w:rsidRPr="002F1D1A">
        <w:rPr>
          <w:szCs w:val="24"/>
          <w:lang w:val="en-US" w:eastAsia="en-US"/>
        </w:rPr>
        <w:t>Work-life balance support, health and wellness initiatives, and professional development are included in the employee welfare programmes.</w:t>
      </w:r>
    </w:p>
    <w:p w14:paraId="4CCF3866" w14:textId="77777777" w:rsidR="00A13E7B" w:rsidRDefault="00A13E7B">
      <w:pPr>
        <w:spacing w:after="200" w:line="276" w:lineRule="auto"/>
        <w:jc w:val="left"/>
        <w:rPr>
          <w:rFonts w:eastAsiaTheme="majorEastAsia"/>
          <w:b/>
          <w:bCs/>
          <w:sz w:val="28"/>
          <w:szCs w:val="28"/>
        </w:rPr>
      </w:pPr>
      <w:bookmarkStart w:id="3" w:name="_Toc168946912"/>
      <w:r>
        <w:br w:type="page"/>
      </w:r>
    </w:p>
    <w:p w14:paraId="44B387C8" w14:textId="77777777" w:rsidR="00282DFE" w:rsidRPr="002F1D1A" w:rsidRDefault="00282DFE" w:rsidP="002F1D1A">
      <w:pPr>
        <w:pStyle w:val="Heading1"/>
        <w:rPr>
          <w:rFonts w:cs="Times New Roman"/>
          <w:color w:val="auto"/>
        </w:rPr>
      </w:pPr>
      <w:r w:rsidRPr="002F1D1A">
        <w:rPr>
          <w:rFonts w:cs="Times New Roman"/>
          <w:color w:val="auto"/>
        </w:rPr>
        <w:lastRenderedPageBreak/>
        <w:t>Financial Performance Analysis</w:t>
      </w:r>
      <w:bookmarkEnd w:id="3"/>
    </w:p>
    <w:p w14:paraId="366CDE9F" w14:textId="77777777" w:rsidR="00282DFE" w:rsidRPr="002F1D1A" w:rsidRDefault="00282DFE" w:rsidP="002F1D1A">
      <w:pPr>
        <w:pStyle w:val="ListParagraph"/>
        <w:numPr>
          <w:ilvl w:val="0"/>
          <w:numId w:val="17"/>
        </w:numPr>
        <w:rPr>
          <w:b/>
        </w:rPr>
      </w:pPr>
      <w:r w:rsidRPr="002F1D1A">
        <w:rPr>
          <w:b/>
        </w:rPr>
        <w:t xml:space="preserve">Return on Assets (ROA) and Return on Equity (ROE):  </w:t>
      </w:r>
      <w:r w:rsidRPr="002F1D1A">
        <w:t xml:space="preserve">A consistent improvement in both return on equity (ROE) and return on assets over the past five years is indicated by </w:t>
      </w:r>
      <w:r w:rsidR="00856783">
        <w:t xml:space="preserve">a </w:t>
      </w:r>
      <w:r w:rsidRPr="002F1D1A">
        <w:t xml:space="preserve">thematic analysis of Unilever’s financial performance. To generate profits, the ROE assesses profitability relative to shareholder equity, and the ROA measures how effectively the company uses its assets to generate profits. A positive correlation </w:t>
      </w:r>
      <w:r w:rsidR="00856783">
        <w:t>between</w:t>
      </w:r>
      <w:r w:rsidRPr="002F1D1A">
        <w:t xml:space="preserve"> its CSR practices and corporate governance is demonstrated by the ROE and ROA of the time series analysis of Unilever. Including employee welfare, ethical sourcing, and environmental sustainability, Unilever’s commitment to sustainable business practices contributes to cost savings and operational efficiency. By enhancing resource utilisation and productivity, these factors positively influence ROA. Like shareholder engagement, transparent reporting, and effective board oversight, Unilever’s robust corporate governance mechanism still instil</w:t>
      </w:r>
      <w:r w:rsidR="00276940" w:rsidRPr="002F1D1A">
        <w:t xml:space="preserve">s investor trust and </w:t>
      </w:r>
      <w:r w:rsidR="00E27666" w:rsidRPr="002F1D1A">
        <w:t>confidence (</w:t>
      </w:r>
      <w:r w:rsidR="00276940" w:rsidRPr="002F1D1A">
        <w:t xml:space="preserve">ECGI, 2023). </w:t>
      </w:r>
      <w:r w:rsidRPr="002F1D1A">
        <w:t>Thereby driving improvement in ROE over time into increased shareholder equity, trust translates.</w:t>
      </w:r>
    </w:p>
    <w:p w14:paraId="09A540DF" w14:textId="77777777" w:rsidR="00282DFE" w:rsidRPr="002F1D1A" w:rsidRDefault="00282DFE" w:rsidP="002F1D1A">
      <w:pPr>
        <w:pStyle w:val="ListParagraph"/>
        <w:numPr>
          <w:ilvl w:val="0"/>
          <w:numId w:val="17"/>
        </w:numPr>
        <w:rPr>
          <w:b/>
        </w:rPr>
      </w:pPr>
      <w:r w:rsidRPr="002F1D1A">
        <w:rPr>
          <w:b/>
        </w:rPr>
        <w:t xml:space="preserve">Stock Performance: </w:t>
      </w:r>
      <w:r w:rsidRPr="002F1D1A">
        <w:t>On firm performance and the impact of CSR and corporate governance practices, Unilever’s stock performance provi</w:t>
      </w:r>
      <w:r w:rsidR="00276940" w:rsidRPr="002F1D1A">
        <w:t xml:space="preserve">des further empirical evidence (Cadbury, 2002). </w:t>
      </w:r>
      <w:r w:rsidRPr="002F1D1A">
        <w:t>Outperforming industry peers with the company consistently, a positive trend is revealed by market capitalization and Unilever stock price through a time series analysis.</w:t>
      </w:r>
    </w:p>
    <w:p w14:paraId="23B66CF3" w14:textId="77777777" w:rsidR="00282DFE" w:rsidRPr="002F1D1A" w:rsidRDefault="00282DFE" w:rsidP="002F1D1A">
      <w:r w:rsidRPr="002F1D1A">
        <w:t>Including CSR and corporate governance, investors increasingly consider non-financial factors when making investment decisions. To promote responsible and sustainable business practices, Unilever’s stringent commitments enhance customer loyalty and brand reputation, driving demand for services and its products. Reflecting investors’ confidence in the long-term prospects of the company, Unilever’s stock price experiences upward momentum as a result.</w:t>
      </w:r>
    </w:p>
    <w:p w14:paraId="287E7A20" w14:textId="77777777" w:rsidR="00A13E7B" w:rsidRDefault="00A13E7B">
      <w:pPr>
        <w:spacing w:after="200" w:line="276" w:lineRule="auto"/>
        <w:jc w:val="left"/>
        <w:rPr>
          <w:rFonts w:eastAsiaTheme="majorEastAsia"/>
          <w:b/>
          <w:bCs/>
          <w:sz w:val="28"/>
          <w:szCs w:val="28"/>
        </w:rPr>
      </w:pPr>
      <w:bookmarkStart w:id="4" w:name="_Toc168946913"/>
      <w:r>
        <w:br w:type="page"/>
      </w:r>
    </w:p>
    <w:p w14:paraId="171FDAEB" w14:textId="77777777" w:rsidR="00282DFE" w:rsidRPr="002F1D1A" w:rsidRDefault="00282DFE" w:rsidP="002F1D1A">
      <w:pPr>
        <w:pStyle w:val="Heading1"/>
        <w:rPr>
          <w:rFonts w:cs="Times New Roman"/>
          <w:color w:val="auto"/>
        </w:rPr>
      </w:pPr>
      <w:r w:rsidRPr="002F1D1A">
        <w:rPr>
          <w:rFonts w:cs="Times New Roman"/>
          <w:color w:val="auto"/>
        </w:rPr>
        <w:lastRenderedPageBreak/>
        <w:t>Non-Financial Performance Analysis</w:t>
      </w:r>
      <w:bookmarkEnd w:id="4"/>
    </w:p>
    <w:p w14:paraId="3C1E332D" w14:textId="77777777" w:rsidR="00282DFE" w:rsidRPr="002F1D1A" w:rsidRDefault="00282DFE" w:rsidP="002F1D1A">
      <w:pPr>
        <w:pStyle w:val="ListParagraph"/>
        <w:numPr>
          <w:ilvl w:val="0"/>
          <w:numId w:val="16"/>
        </w:numPr>
        <w:rPr>
          <w:b/>
        </w:rPr>
      </w:pPr>
      <w:r w:rsidRPr="002F1D1A">
        <w:rPr>
          <w:b/>
        </w:rPr>
        <w:t xml:space="preserve">Sustainability Ratings: </w:t>
      </w:r>
      <w:r w:rsidRPr="002F1D1A">
        <w:t>The positive impact of CSR and corporate governance practices underscored further Unilever’s practices, like those provided by the Dow Jones Sustainability Index, in the thematic analysis of the sustainability ratings. In governance, environmental, and social practice, reflecting its leadership, Unilever consistently ranks high in sustainability indices</w:t>
      </w:r>
      <w:r w:rsidR="00276940" w:rsidRPr="002F1D1A">
        <w:t xml:space="preserve"> (Freeman, 2010).</w:t>
      </w:r>
      <w:r w:rsidR="00856783">
        <w:t xml:space="preserve"> </w:t>
      </w:r>
      <w:r w:rsidRPr="002F1D1A">
        <w:t>Indicating the effectiveness of CSR initiatives and corporate governance over the years, a time-series analysis of Unilever’s sustainability ratings explored improvements. As an investment option, its attractiveness is enhanced by Unilever’s strong performance. Stakeholders and investors are increasingly prioritising sustainability criteria.</w:t>
      </w:r>
    </w:p>
    <w:p w14:paraId="6D9E1BF6" w14:textId="77777777" w:rsidR="00282DFE" w:rsidRPr="002F1D1A" w:rsidRDefault="00282DFE" w:rsidP="002F1D1A">
      <w:pPr>
        <w:pStyle w:val="ListParagraph"/>
        <w:numPr>
          <w:ilvl w:val="0"/>
          <w:numId w:val="16"/>
        </w:numPr>
        <w:rPr>
          <w:b/>
        </w:rPr>
      </w:pPr>
      <w:r w:rsidRPr="002F1D1A">
        <w:rPr>
          <w:b/>
        </w:rPr>
        <w:t xml:space="preserve">Employee Satisfaction:  </w:t>
      </w:r>
      <w:r w:rsidRPr="002F1D1A">
        <w:t>On the impact of CSR practices and corporate governance on workforce engagement and productivity, valuable empirical data is provided by employee satisfaction. A high level of engagement and satisfaction is indicated by the employee feedback at Unilever's thematic analysis of the company’s supportive work environment and inclusive culture, with employees attributing their positive experiences. With Unilever’s corporate governance and CSR practices, a positive correlation is revealed by a time series analysis of employee satisfaction. To higher employee retention rates and morals, wellness and health initiatives, employee development programmes, and policies promoting inc</w:t>
      </w:r>
      <w:r w:rsidR="00276940" w:rsidRPr="002F1D1A">
        <w:t xml:space="preserve">lusion and diversity contribute (Husted, 2010). </w:t>
      </w:r>
      <w:r w:rsidRPr="002F1D1A">
        <w:t>Driving overall business access into improved performance and productivity, in turn</w:t>
      </w:r>
      <w:r w:rsidR="00762AED">
        <w:t>,</w:t>
      </w:r>
      <w:r w:rsidRPr="002F1D1A">
        <w:t xml:space="preserve"> translates into improved performance and productivity.</w:t>
      </w:r>
    </w:p>
    <w:p w14:paraId="65A3ABAB" w14:textId="77777777" w:rsidR="00282DFE" w:rsidRPr="002F1D1A" w:rsidRDefault="00282DFE" w:rsidP="002F1D1A">
      <w:pPr>
        <w:pStyle w:val="ListParagraph"/>
        <w:numPr>
          <w:ilvl w:val="0"/>
          <w:numId w:val="16"/>
        </w:numPr>
        <w:rPr>
          <w:b/>
        </w:rPr>
      </w:pPr>
      <w:r w:rsidRPr="002F1D1A">
        <w:rPr>
          <w:b/>
        </w:rPr>
        <w:t xml:space="preserve">Brand Reputation: </w:t>
      </w:r>
      <w:r w:rsidRPr="002F1D1A">
        <w:t>The impact of CSR practices and corporate governance practices is highlighted by the brand reputation and consumer perception of the thematic analysis o</w:t>
      </w:r>
      <w:r w:rsidR="00856783">
        <w:t>f</w:t>
      </w:r>
      <w:r w:rsidRPr="002F1D1A">
        <w:t xml:space="preserve"> Unilever’s market positioning. Enhancing reputation and brand loyalty with consumers through community engagement resonates with sourcing ethically and Unilever’s commitment to sustainability</w:t>
      </w:r>
      <w:r w:rsidR="00E27666" w:rsidRPr="002F1D1A">
        <w:t xml:space="preserve"> (Tricker, 2019). </w:t>
      </w:r>
      <w:r w:rsidRPr="002F1D1A">
        <w:t xml:space="preserve">Like brand loyalty, brand recognition, and customer trust indicated by a time series analysis of the brand for Unilever demonstrating a positive trend. To the company’s competitive advantage and strong brand image in the market, the company’s alignment with consumer values, transparent communication, and responsible marketing practices </w:t>
      </w:r>
      <w:r w:rsidR="00A13E7B" w:rsidRPr="002F1D1A">
        <w:t>contributes</w:t>
      </w:r>
      <w:r w:rsidRPr="002F1D1A">
        <w:t>.</w:t>
      </w:r>
    </w:p>
    <w:p w14:paraId="52FDB056" w14:textId="77777777" w:rsidR="00282DFE" w:rsidRPr="002F1D1A" w:rsidRDefault="00282DFE" w:rsidP="002F1D1A">
      <w:pPr>
        <w:pStyle w:val="Heading1"/>
        <w:rPr>
          <w:rFonts w:cs="Times New Roman"/>
          <w:color w:val="auto"/>
        </w:rPr>
      </w:pPr>
      <w:bookmarkStart w:id="5" w:name="_Toc168946914"/>
      <w:r w:rsidRPr="002F1D1A">
        <w:rPr>
          <w:rFonts w:cs="Times New Roman"/>
          <w:color w:val="auto"/>
        </w:rPr>
        <w:lastRenderedPageBreak/>
        <w:t>Conclusion</w:t>
      </w:r>
      <w:r w:rsidR="00E27666" w:rsidRPr="002F1D1A">
        <w:rPr>
          <w:rFonts w:cs="Times New Roman"/>
          <w:color w:val="auto"/>
        </w:rPr>
        <w:t xml:space="preserve"> and Recommendation</w:t>
      </w:r>
      <w:bookmarkEnd w:id="5"/>
    </w:p>
    <w:p w14:paraId="6962BEB0" w14:textId="77777777" w:rsidR="00282DFE" w:rsidRPr="002F1D1A" w:rsidRDefault="00282DFE" w:rsidP="002F1D1A">
      <w:r w:rsidRPr="002F1D1A">
        <w:t>On Unilever PLC’s corporate performance, corporate social responsibility (CSR) practices, and corporate governance, the empirical assessment demonstrates a substantial impact. In terms of stakeholder engagement, business practices, and transparent governance, it is evident that Unilever’s commitment through time series and thematic analysis of non-financial and financial metrics, including stakeholder engagement and transparent governance, positively influences different aspects of its performance. As evidenced by the stock performance, Return on Equity (ROE) and Return on Assets (ROA), Unilever’s stringent financial performance is closely linked to its CSR initiatives and robust c</w:t>
      </w:r>
      <w:r w:rsidR="00E27666" w:rsidRPr="002F1D1A">
        <w:t xml:space="preserve">orporate governance mechanisms (Monks, 2011). </w:t>
      </w:r>
      <w:r w:rsidRPr="002F1D1A">
        <w:t>Driving long-term value creation for stakeholders and shareholders alike, these practices enhance brand reputation, operational efficiency, and investor confidence.</w:t>
      </w:r>
    </w:p>
    <w:p w14:paraId="0C3A51EA" w14:textId="77777777" w:rsidR="00282DFE" w:rsidRPr="002F1D1A" w:rsidRDefault="00282DFE" w:rsidP="002F1D1A">
      <w:r w:rsidRPr="002F1D1A">
        <w:t>Unilever can enhance sustainability and performance by building on the success of its CSR practices and corporate governance by implementing the following recommendations:</w:t>
      </w:r>
    </w:p>
    <w:p w14:paraId="346527AB" w14:textId="77777777" w:rsidR="00282DFE" w:rsidRPr="002F1D1A" w:rsidRDefault="00282DFE" w:rsidP="002F1D1A">
      <w:pPr>
        <w:pStyle w:val="ListParagraph"/>
        <w:numPr>
          <w:ilvl w:val="0"/>
          <w:numId w:val="14"/>
        </w:numPr>
      </w:pPr>
      <w:r w:rsidRPr="002F1D1A">
        <w:rPr>
          <w:rStyle w:val="Strong"/>
          <w:rFonts w:eastAsiaTheme="majorEastAsia"/>
        </w:rPr>
        <w:t>Stakeholder Engagement</w:t>
      </w:r>
      <w:r w:rsidRPr="002F1D1A">
        <w:t>: To foster collaboration and transparent communication, Unilever should strengthen its</w:t>
      </w:r>
      <w:r w:rsidR="00E27666" w:rsidRPr="002F1D1A">
        <w:t xml:space="preserve"> stakeholder engagement efforts (Zattoni, 2012). </w:t>
      </w:r>
      <w:r w:rsidRPr="002F1D1A">
        <w:t>With stakeholder values and expectations, Unilever can ensure that business practices are aligned by actively seeking input from communities, shareholders, and employees.</w:t>
      </w:r>
    </w:p>
    <w:p w14:paraId="27AFA4AA" w14:textId="77777777" w:rsidR="00282DFE" w:rsidRPr="002F1D1A" w:rsidRDefault="00282DFE" w:rsidP="002F1D1A">
      <w:pPr>
        <w:pStyle w:val="ListParagraph"/>
        <w:numPr>
          <w:ilvl w:val="0"/>
          <w:numId w:val="14"/>
        </w:numPr>
      </w:pPr>
      <w:r w:rsidRPr="002F1D1A">
        <w:rPr>
          <w:rStyle w:val="Strong"/>
          <w:rFonts w:eastAsiaTheme="majorEastAsia"/>
        </w:rPr>
        <w:t>Continued Innovation</w:t>
      </w:r>
      <w:r w:rsidRPr="002F1D1A">
        <w:t>: To innovate across all aspects of its business, Unilever has to maintain its commitment, including corporate governance practices, product development, and sustainability initiatives. Unilever can drive differentiation and continued growth in the market by staying aware of consumer preferences and industry trends.</w:t>
      </w:r>
    </w:p>
    <w:p w14:paraId="184CC38F" w14:textId="77777777" w:rsidR="00282DFE" w:rsidRPr="002F1D1A" w:rsidRDefault="00282DFE" w:rsidP="002F1D1A">
      <w:pPr>
        <w:pStyle w:val="ListParagraph"/>
        <w:numPr>
          <w:ilvl w:val="0"/>
          <w:numId w:val="14"/>
        </w:numPr>
      </w:pPr>
      <w:r w:rsidRPr="002F1D1A">
        <w:rPr>
          <w:rStyle w:val="Strong"/>
          <w:rFonts w:eastAsiaTheme="majorEastAsia"/>
        </w:rPr>
        <w:t>Industry Leadership</w:t>
      </w:r>
      <w:r w:rsidRPr="002F1D1A">
        <w:t>: To drive positive change Unilever has to leverage its position as a global industry leader a</w:t>
      </w:r>
      <w:r w:rsidR="00276940" w:rsidRPr="002F1D1A">
        <w:t>cross the consumer goods sector (Blowfield, 2019).</w:t>
      </w:r>
      <w:r w:rsidRPr="002F1D1A">
        <w:t xml:space="preserve"> Unilever can raise the bar for stakeholders by advocating for sustainable business practices, sharing best practices, and collaborating with industry peers for CSR standards and corporate governance worldwide.</w:t>
      </w:r>
    </w:p>
    <w:p w14:paraId="53F70875" w14:textId="77777777" w:rsidR="00282DFE" w:rsidRPr="002F1D1A" w:rsidRDefault="00282DFE" w:rsidP="002F1D1A">
      <w:pPr>
        <w:pStyle w:val="ListParagraph"/>
        <w:numPr>
          <w:ilvl w:val="0"/>
          <w:numId w:val="14"/>
        </w:numPr>
      </w:pPr>
      <w:r w:rsidRPr="002F1D1A">
        <w:rPr>
          <w:rStyle w:val="Strong"/>
          <w:rFonts w:eastAsiaTheme="majorEastAsia"/>
        </w:rPr>
        <w:t>Continuous Improvement</w:t>
      </w:r>
      <w:r w:rsidRPr="002F1D1A">
        <w:t>: To update social expectations, regulatory requirements, and market dynamics, Unilever can regularly update and review corporate governance and CSR strategies to adapt to the change. To address emerging opportunities and challenges, Unilever can be responsive and agile by embracing a culture of continuous improvement.</w:t>
      </w:r>
    </w:p>
    <w:p w14:paraId="470C6398" w14:textId="77777777" w:rsidR="00282DFE" w:rsidRPr="002F1D1A" w:rsidRDefault="00282DFE" w:rsidP="002F1D1A">
      <w:r w:rsidRPr="002F1D1A">
        <w:lastRenderedPageBreak/>
        <w:t>Unilever can continue to deliver sustainable value and build upon its legacy of responsible business practices by implementing these recommendations to provide sustainable value for all stakeholders in the coming years.</w:t>
      </w:r>
    </w:p>
    <w:p w14:paraId="4155980F" w14:textId="77777777" w:rsidR="00C26A58" w:rsidRDefault="00282DFE" w:rsidP="002F1D1A">
      <w:r w:rsidRPr="002F1D1A">
        <w:t> </w:t>
      </w:r>
    </w:p>
    <w:p w14:paraId="0BB74920" w14:textId="77777777" w:rsidR="00C26A58" w:rsidRDefault="00C26A58">
      <w:pPr>
        <w:spacing w:after="200" w:line="276" w:lineRule="auto"/>
        <w:jc w:val="left"/>
      </w:pPr>
      <w:r>
        <w:br w:type="page"/>
      </w:r>
    </w:p>
    <w:p w14:paraId="117D03A8" w14:textId="77777777" w:rsidR="00276940" w:rsidRPr="002F1D1A" w:rsidRDefault="00C26A58" w:rsidP="002F1D1A">
      <w:pPr>
        <w:pStyle w:val="Heading1"/>
        <w:rPr>
          <w:rFonts w:cs="Times New Roman"/>
          <w:color w:val="auto"/>
        </w:rPr>
      </w:pPr>
      <w:bookmarkStart w:id="6" w:name="_Toc168946915"/>
      <w:r>
        <w:rPr>
          <w:rFonts w:cs="Times New Roman"/>
          <w:color w:val="auto"/>
        </w:rPr>
        <w:lastRenderedPageBreak/>
        <w:t>R</w:t>
      </w:r>
      <w:r w:rsidR="00276940" w:rsidRPr="002F1D1A">
        <w:rPr>
          <w:rFonts w:cs="Times New Roman"/>
          <w:color w:val="auto"/>
        </w:rPr>
        <w:t>eferences</w:t>
      </w:r>
      <w:bookmarkEnd w:id="6"/>
      <w:r w:rsidR="00276940" w:rsidRPr="002F1D1A">
        <w:rPr>
          <w:rFonts w:cs="Times New Roman"/>
          <w:color w:val="auto"/>
        </w:rPr>
        <w:t xml:space="preserve"> </w:t>
      </w:r>
    </w:p>
    <w:p w14:paraId="0401EBE6" w14:textId="77777777" w:rsidR="00276940" w:rsidRPr="00C26A58" w:rsidRDefault="00276940" w:rsidP="00C26A58">
      <w:pPr>
        <w:spacing w:before="120"/>
        <w:ind w:left="576" w:hanging="576"/>
      </w:pPr>
      <w:r w:rsidRPr="00C26A58">
        <w:t xml:space="preserve">Aguilera, R.V. and Jackson, G., 2010. </w:t>
      </w:r>
      <w:r w:rsidRPr="00C26A58">
        <w:rPr>
          <w:i/>
          <w:iCs/>
        </w:rPr>
        <w:t>Comparative and International Corporate Governance</w:t>
      </w:r>
      <w:r w:rsidRPr="00C26A58">
        <w:t>. Cambridge University Press.</w:t>
      </w:r>
    </w:p>
    <w:p w14:paraId="58C37BF1" w14:textId="77777777" w:rsidR="00276940" w:rsidRPr="00C26A58" w:rsidRDefault="00276940" w:rsidP="00C26A58">
      <w:pPr>
        <w:spacing w:before="120"/>
        <w:ind w:left="576" w:hanging="576"/>
      </w:pPr>
      <w:r w:rsidRPr="00C26A58">
        <w:t xml:space="preserve">Blowfield, M. and Murray, A., 2019. </w:t>
      </w:r>
      <w:r w:rsidRPr="00C26A58">
        <w:rPr>
          <w:i/>
          <w:iCs/>
        </w:rPr>
        <w:t>Corporate Responsibility</w:t>
      </w:r>
      <w:r w:rsidRPr="00C26A58">
        <w:t>. 4th ed. Oxford University Press.</w:t>
      </w:r>
    </w:p>
    <w:p w14:paraId="5E76BEE4" w14:textId="77777777" w:rsidR="00276940" w:rsidRPr="00C26A58" w:rsidRDefault="00276940" w:rsidP="00C26A58">
      <w:pPr>
        <w:spacing w:before="120"/>
        <w:ind w:left="576" w:hanging="576"/>
      </w:pPr>
      <w:r w:rsidRPr="00C26A58">
        <w:t xml:space="preserve">Cadbury, A., 2002. </w:t>
      </w:r>
      <w:r w:rsidRPr="00C26A58">
        <w:rPr>
          <w:i/>
          <w:iCs/>
        </w:rPr>
        <w:t>Corporate Governance and Chairmanship: A Personal View</w:t>
      </w:r>
      <w:r w:rsidRPr="00C26A58">
        <w:t>. Oxford University Press.</w:t>
      </w:r>
    </w:p>
    <w:p w14:paraId="0C8611B7" w14:textId="77777777" w:rsidR="00276940" w:rsidRPr="00C26A58" w:rsidRDefault="00276940" w:rsidP="00C26A58">
      <w:pPr>
        <w:spacing w:before="120"/>
        <w:ind w:left="576" w:hanging="576"/>
      </w:pPr>
      <w:r w:rsidRPr="00C26A58">
        <w:t xml:space="preserve">Clarke, T., 2016. </w:t>
      </w:r>
      <w:r w:rsidRPr="00C26A58">
        <w:rPr>
          <w:i/>
          <w:iCs/>
        </w:rPr>
        <w:t>International Corporate Governance: A Comparative Approach</w:t>
      </w:r>
      <w:r w:rsidRPr="00C26A58">
        <w:t>. 2nd ed. Routledge.</w:t>
      </w:r>
    </w:p>
    <w:p w14:paraId="0E6247A4" w14:textId="77777777" w:rsidR="00276940" w:rsidRPr="00C26A58" w:rsidRDefault="00276940" w:rsidP="00C26A58">
      <w:pPr>
        <w:spacing w:before="120"/>
        <w:ind w:left="576" w:hanging="576"/>
      </w:pPr>
      <w:r w:rsidRPr="00C26A58">
        <w:t xml:space="preserve">Crane, A., Matten, D. and Spence, L.J., 2019. </w:t>
      </w:r>
      <w:r w:rsidRPr="00C26A58">
        <w:rPr>
          <w:i/>
          <w:iCs/>
        </w:rPr>
        <w:t>Corporate Social Responsibility: Readings and Cases in a Global Context</w:t>
      </w:r>
      <w:r w:rsidRPr="00C26A58">
        <w:t>. 4th ed. Routledge.</w:t>
      </w:r>
    </w:p>
    <w:p w14:paraId="6B630DDB" w14:textId="77777777" w:rsidR="00276940" w:rsidRPr="00C26A58" w:rsidRDefault="00276940" w:rsidP="00C26A58">
      <w:pPr>
        <w:spacing w:before="120"/>
        <w:ind w:left="576" w:hanging="576"/>
      </w:pPr>
      <w:r w:rsidRPr="00C26A58">
        <w:t xml:space="preserve">European Corporate Governance Institute (ECGI). (2023). </w:t>
      </w:r>
      <w:r w:rsidRPr="00C26A58">
        <w:rPr>
          <w:i/>
          <w:iCs/>
        </w:rPr>
        <w:t>Working Papers</w:t>
      </w:r>
      <w:r w:rsidRPr="00C26A58">
        <w:t>. Available at: https://ecgi.global/working-papers</w:t>
      </w:r>
      <w:r w:rsidR="00C26A58">
        <w:t>.</w:t>
      </w:r>
    </w:p>
    <w:p w14:paraId="52177C00" w14:textId="77777777" w:rsidR="00276940" w:rsidRPr="00C26A58" w:rsidRDefault="00276940" w:rsidP="00C26A58">
      <w:pPr>
        <w:spacing w:before="120"/>
        <w:ind w:left="576" w:hanging="576"/>
      </w:pPr>
      <w:r w:rsidRPr="00C26A58">
        <w:t xml:space="preserve">Financial Times. (2023). </w:t>
      </w:r>
      <w:r w:rsidRPr="00C26A58">
        <w:rPr>
          <w:i/>
          <w:iCs/>
        </w:rPr>
        <w:t>Unilever stock performance</w:t>
      </w:r>
      <w:r w:rsidRPr="00C26A58">
        <w:t xml:space="preserve">. Available at: </w:t>
      </w:r>
      <w:hyperlink r:id="rId10" w:history="1">
        <w:r w:rsidRPr="00C26A58">
          <w:rPr>
            <w:rStyle w:val="Hyperlink"/>
            <w:color w:val="auto"/>
            <w:u w:val="none"/>
          </w:rPr>
          <w:t>https://markets.ft.com/data/equities/tearsheet/summary?s=ULVR</w:t>
        </w:r>
      </w:hyperlink>
      <w:r w:rsidR="00C26A58">
        <w:rPr>
          <w:rStyle w:val="Hyperlink"/>
          <w:color w:val="auto"/>
          <w:u w:val="none"/>
        </w:rPr>
        <w:t>.</w:t>
      </w:r>
    </w:p>
    <w:p w14:paraId="69FCE623" w14:textId="77777777" w:rsidR="00276940" w:rsidRPr="00C26A58" w:rsidRDefault="00276940" w:rsidP="00C26A58">
      <w:pPr>
        <w:spacing w:before="120"/>
        <w:ind w:left="576" w:hanging="576"/>
      </w:pPr>
      <w:r w:rsidRPr="00C26A58">
        <w:t xml:space="preserve">Freeman, R.E., 2010. </w:t>
      </w:r>
      <w:r w:rsidRPr="00C26A58">
        <w:rPr>
          <w:i/>
          <w:iCs/>
        </w:rPr>
        <w:t>Strategic Management: A Stakeholder Approach</w:t>
      </w:r>
      <w:r w:rsidRPr="00C26A58">
        <w:t>. Cambridge University Press.</w:t>
      </w:r>
    </w:p>
    <w:p w14:paraId="2615BA43" w14:textId="77777777" w:rsidR="00276940" w:rsidRPr="00C26A58" w:rsidRDefault="00276940" w:rsidP="00C26A58">
      <w:pPr>
        <w:spacing w:before="120"/>
        <w:ind w:left="576" w:hanging="576"/>
      </w:pPr>
      <w:r w:rsidRPr="00C26A58">
        <w:t xml:space="preserve">Husted, B.W. and Allen, D.B., 2010. </w:t>
      </w:r>
      <w:r w:rsidRPr="00C26A58">
        <w:rPr>
          <w:i/>
          <w:iCs/>
        </w:rPr>
        <w:t>Corporate Social Strategy: Stakeholder Engagement and Competitive Advantage</w:t>
      </w:r>
      <w:r w:rsidRPr="00C26A58">
        <w:t>. Cambridge University Press.</w:t>
      </w:r>
    </w:p>
    <w:p w14:paraId="2A97653F" w14:textId="77777777" w:rsidR="00276940" w:rsidRPr="00C26A58" w:rsidRDefault="00276940" w:rsidP="00C26A58">
      <w:pPr>
        <w:spacing w:before="120"/>
        <w:ind w:left="576" w:hanging="576"/>
      </w:pPr>
      <w:r w:rsidRPr="00C26A58">
        <w:t xml:space="preserve">Jamali, D. and Mirshak, R., 2017. </w:t>
      </w:r>
      <w:r w:rsidRPr="00C26A58">
        <w:rPr>
          <w:i/>
          <w:iCs/>
        </w:rPr>
        <w:t>Corporate Governance in Developing and Emerging Markets</w:t>
      </w:r>
      <w:r w:rsidRPr="00C26A58">
        <w:t>. Routledge.</w:t>
      </w:r>
    </w:p>
    <w:p w14:paraId="0D13F19D" w14:textId="77777777" w:rsidR="00276940" w:rsidRPr="00C26A58" w:rsidRDefault="00276940" w:rsidP="00C26A58">
      <w:pPr>
        <w:spacing w:before="120"/>
        <w:ind w:left="576" w:hanging="576"/>
      </w:pPr>
      <w:r w:rsidRPr="00C26A58">
        <w:t xml:space="preserve">Mallin, C.A., 2018. </w:t>
      </w:r>
      <w:r w:rsidRPr="00C26A58">
        <w:rPr>
          <w:i/>
          <w:iCs/>
        </w:rPr>
        <w:t>Corporate Governance</w:t>
      </w:r>
      <w:r w:rsidRPr="00C26A58">
        <w:t>. 6th ed. Oxford University Press.</w:t>
      </w:r>
    </w:p>
    <w:p w14:paraId="5128D1B3" w14:textId="77777777" w:rsidR="00276940" w:rsidRPr="00C26A58" w:rsidRDefault="00276940" w:rsidP="00C26A58">
      <w:pPr>
        <w:spacing w:before="120"/>
        <w:ind w:left="576" w:hanging="576"/>
      </w:pPr>
      <w:r w:rsidRPr="00C26A58">
        <w:t xml:space="preserve">Monks, R.A.G. and Minow, N., 2011. </w:t>
      </w:r>
      <w:r w:rsidRPr="00C26A58">
        <w:rPr>
          <w:i/>
          <w:iCs/>
        </w:rPr>
        <w:t>Corporate Governance</w:t>
      </w:r>
      <w:r w:rsidRPr="00C26A58">
        <w:t>. 5th ed. Wiley.</w:t>
      </w:r>
    </w:p>
    <w:p w14:paraId="2601ACAD" w14:textId="77777777" w:rsidR="00276940" w:rsidRPr="00C26A58" w:rsidRDefault="00276940" w:rsidP="00C26A58">
      <w:pPr>
        <w:spacing w:before="120"/>
        <w:ind w:left="576" w:hanging="576"/>
      </w:pPr>
      <w:r w:rsidRPr="00C26A58">
        <w:t xml:space="preserve">O'Sullivan, N. and Wong, P., 2017. </w:t>
      </w:r>
      <w:r w:rsidRPr="00C26A58">
        <w:rPr>
          <w:i/>
          <w:iCs/>
        </w:rPr>
        <w:t>The Handbook of Corporate Governance and Social Responsibility</w:t>
      </w:r>
      <w:r w:rsidRPr="00C26A58">
        <w:t>. Gower Publishing.</w:t>
      </w:r>
    </w:p>
    <w:p w14:paraId="294A2ADC" w14:textId="77777777" w:rsidR="00276940" w:rsidRPr="00C26A58" w:rsidRDefault="00276940" w:rsidP="00C26A58">
      <w:pPr>
        <w:spacing w:before="120"/>
        <w:ind w:left="576" w:hanging="576"/>
      </w:pPr>
      <w:r w:rsidRPr="00C26A58">
        <w:t xml:space="preserve">Ruggie, J.G., 2013. </w:t>
      </w:r>
      <w:r w:rsidRPr="00C26A58">
        <w:rPr>
          <w:i/>
          <w:iCs/>
        </w:rPr>
        <w:t>Just Business: Multinational Corporations and Human Rights</w:t>
      </w:r>
      <w:r w:rsidRPr="00C26A58">
        <w:t>. W.W. Norton &amp; Company.</w:t>
      </w:r>
    </w:p>
    <w:p w14:paraId="1D5B14BD" w14:textId="77777777" w:rsidR="00276940" w:rsidRPr="00C26A58" w:rsidRDefault="00276940" w:rsidP="00C26A58">
      <w:pPr>
        <w:spacing w:before="120"/>
        <w:ind w:left="576" w:hanging="576"/>
      </w:pPr>
      <w:r w:rsidRPr="00C26A58">
        <w:t xml:space="preserve">Solomon, J., 2020. </w:t>
      </w:r>
      <w:r w:rsidRPr="00C26A58">
        <w:rPr>
          <w:i/>
          <w:iCs/>
        </w:rPr>
        <w:t>Corporate Governance and Accountability</w:t>
      </w:r>
      <w:r w:rsidRPr="00C26A58">
        <w:t>. 5th ed. Wiley.</w:t>
      </w:r>
    </w:p>
    <w:p w14:paraId="4A374FD5" w14:textId="77777777" w:rsidR="00276940" w:rsidRPr="00C26A58" w:rsidRDefault="00276940" w:rsidP="00C26A58">
      <w:pPr>
        <w:spacing w:before="120"/>
        <w:ind w:left="576" w:hanging="576"/>
      </w:pPr>
      <w:r w:rsidRPr="00C26A58">
        <w:lastRenderedPageBreak/>
        <w:t xml:space="preserve">Tricker, R.B., 2019. </w:t>
      </w:r>
      <w:r w:rsidRPr="00C26A58">
        <w:rPr>
          <w:i/>
          <w:iCs/>
        </w:rPr>
        <w:t>Corporate Governance: Principles, Policies, and Practices</w:t>
      </w:r>
      <w:r w:rsidRPr="00C26A58">
        <w:t>. 4th ed. Oxford University Press.</w:t>
      </w:r>
    </w:p>
    <w:p w14:paraId="46FE688F" w14:textId="77777777" w:rsidR="00276940" w:rsidRPr="00C26A58" w:rsidRDefault="00276940" w:rsidP="00C26A58">
      <w:pPr>
        <w:spacing w:before="120"/>
        <w:ind w:left="576" w:hanging="576"/>
      </w:pPr>
      <w:r w:rsidRPr="00C26A58">
        <w:t xml:space="preserve">Unilever Annual Report and Accounts 2023. (2023). </w:t>
      </w:r>
      <w:r w:rsidRPr="00C26A58">
        <w:rPr>
          <w:i/>
          <w:iCs/>
        </w:rPr>
        <w:t>Unilever</w:t>
      </w:r>
      <w:r w:rsidRPr="00C26A58">
        <w:t>. Available at: https://www.unilever.com/investors/annual-report-and-accounts.</w:t>
      </w:r>
    </w:p>
    <w:p w14:paraId="28FE090C" w14:textId="77777777" w:rsidR="00276940" w:rsidRPr="00C26A58" w:rsidRDefault="00276940" w:rsidP="00C26A58">
      <w:pPr>
        <w:spacing w:before="120"/>
        <w:ind w:left="576" w:hanging="576"/>
      </w:pPr>
      <w:r w:rsidRPr="00C26A58">
        <w:t xml:space="preserve">Unilever Sustainable Living Plan. (2023). </w:t>
      </w:r>
      <w:r w:rsidRPr="00C26A58">
        <w:rPr>
          <w:i/>
          <w:iCs/>
        </w:rPr>
        <w:t>Unilever</w:t>
      </w:r>
      <w:r w:rsidRPr="00C26A58">
        <w:t xml:space="preserve">. Available at: </w:t>
      </w:r>
      <w:hyperlink r:id="rId11" w:history="1">
        <w:r w:rsidRPr="00C26A58">
          <w:rPr>
            <w:rStyle w:val="Hyperlink"/>
            <w:color w:val="auto"/>
            <w:u w:val="none"/>
          </w:rPr>
          <w:t>https://www.unilever.com/sustainable-living/</w:t>
        </w:r>
      </w:hyperlink>
    </w:p>
    <w:p w14:paraId="34ADD5B2" w14:textId="77777777" w:rsidR="00276940" w:rsidRPr="00C26A58" w:rsidRDefault="00276940" w:rsidP="00C26A58">
      <w:pPr>
        <w:spacing w:before="120"/>
        <w:ind w:left="576" w:hanging="576"/>
      </w:pPr>
      <w:r w:rsidRPr="00C26A58">
        <w:t xml:space="preserve">Zattoni, A. and Judge, W., 2012. </w:t>
      </w:r>
      <w:r w:rsidRPr="00C26A58">
        <w:rPr>
          <w:i/>
          <w:iCs/>
        </w:rPr>
        <w:t>Corporate Governance and Initial Public Offerings: An International Perspective</w:t>
      </w:r>
      <w:r w:rsidRPr="00C26A58">
        <w:t>. Cambridge University Press.</w:t>
      </w:r>
    </w:p>
    <w:sectPr w:rsidR="00276940" w:rsidRPr="00C26A58" w:rsidSect="00D64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177934" w14:textId="77777777" w:rsidR="00D22895" w:rsidRDefault="00D22895" w:rsidP="005A5854">
      <w:pPr>
        <w:spacing w:after="0" w:line="240" w:lineRule="auto"/>
      </w:pPr>
      <w:r>
        <w:separator/>
      </w:r>
    </w:p>
  </w:endnote>
  <w:endnote w:type="continuationSeparator" w:id="0">
    <w:p w14:paraId="382FF9A7" w14:textId="77777777" w:rsidR="00D22895" w:rsidRDefault="00D22895" w:rsidP="005A58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F63402" w14:textId="77777777" w:rsidR="00D22895" w:rsidRDefault="00D22895" w:rsidP="005A5854">
      <w:pPr>
        <w:spacing w:after="0" w:line="240" w:lineRule="auto"/>
      </w:pPr>
      <w:r>
        <w:separator/>
      </w:r>
    </w:p>
  </w:footnote>
  <w:footnote w:type="continuationSeparator" w:id="0">
    <w:p w14:paraId="09858244" w14:textId="77777777" w:rsidR="00D22895" w:rsidRDefault="00D22895" w:rsidP="005A58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C7D8B"/>
    <w:multiLevelType w:val="multilevel"/>
    <w:tmpl w:val="14A69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D30D11"/>
    <w:multiLevelType w:val="hybridMultilevel"/>
    <w:tmpl w:val="DD4AEB48"/>
    <w:lvl w:ilvl="0" w:tplc="0409000F">
      <w:start w:val="1"/>
      <w:numFmt w:val="decimal"/>
      <w:lvlText w:val="%1."/>
      <w:lvlJc w:val="left"/>
      <w:pPr>
        <w:ind w:left="99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7C54AD6"/>
    <w:multiLevelType w:val="multilevel"/>
    <w:tmpl w:val="7D70C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3E6421"/>
    <w:multiLevelType w:val="hybridMultilevel"/>
    <w:tmpl w:val="3970E61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FBD6836"/>
    <w:multiLevelType w:val="multilevel"/>
    <w:tmpl w:val="3FE835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0D6716"/>
    <w:multiLevelType w:val="hybridMultilevel"/>
    <w:tmpl w:val="24820D2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176753A"/>
    <w:multiLevelType w:val="multilevel"/>
    <w:tmpl w:val="1CDC8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5A53D9"/>
    <w:multiLevelType w:val="multilevel"/>
    <w:tmpl w:val="08D8A6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3BE34C9"/>
    <w:multiLevelType w:val="hybridMultilevel"/>
    <w:tmpl w:val="A3E4CA0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65F2162"/>
    <w:multiLevelType w:val="multilevel"/>
    <w:tmpl w:val="DB5AC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93901B2"/>
    <w:multiLevelType w:val="hybridMultilevel"/>
    <w:tmpl w:val="6C824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55B0132"/>
    <w:multiLevelType w:val="hybridMultilevel"/>
    <w:tmpl w:val="27BCB8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71A746F"/>
    <w:multiLevelType w:val="multilevel"/>
    <w:tmpl w:val="391E9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FF05F7B"/>
    <w:multiLevelType w:val="multilevel"/>
    <w:tmpl w:val="8A52E2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A6323A0"/>
    <w:multiLevelType w:val="multilevel"/>
    <w:tmpl w:val="F66AC9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242278C"/>
    <w:multiLevelType w:val="multilevel"/>
    <w:tmpl w:val="E21CD9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37A7076"/>
    <w:multiLevelType w:val="multilevel"/>
    <w:tmpl w:val="45DC6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4A248C4"/>
    <w:multiLevelType w:val="hybridMultilevel"/>
    <w:tmpl w:val="9766BA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8C02D5B"/>
    <w:multiLevelType w:val="multilevel"/>
    <w:tmpl w:val="52226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ABA7B11"/>
    <w:multiLevelType w:val="multilevel"/>
    <w:tmpl w:val="1BC23F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61380473">
    <w:abstractNumId w:val="14"/>
  </w:num>
  <w:num w:numId="2" w16cid:durableId="1543060401">
    <w:abstractNumId w:val="4"/>
  </w:num>
  <w:num w:numId="3" w16cid:durableId="1173841304">
    <w:abstractNumId w:val="0"/>
  </w:num>
  <w:num w:numId="4" w16cid:durableId="532114245">
    <w:abstractNumId w:val="18"/>
  </w:num>
  <w:num w:numId="5" w16cid:durableId="630745739">
    <w:abstractNumId w:val="7"/>
  </w:num>
  <w:num w:numId="6" w16cid:durableId="699667626">
    <w:abstractNumId w:val="9"/>
  </w:num>
  <w:num w:numId="7" w16cid:durableId="1174032140">
    <w:abstractNumId w:val="6"/>
  </w:num>
  <w:num w:numId="8" w16cid:durableId="1813282132">
    <w:abstractNumId w:val="12"/>
  </w:num>
  <w:num w:numId="9" w16cid:durableId="1593850844">
    <w:abstractNumId w:val="15"/>
  </w:num>
  <w:num w:numId="10" w16cid:durableId="892734054">
    <w:abstractNumId w:val="2"/>
  </w:num>
  <w:num w:numId="11" w16cid:durableId="1093207743">
    <w:abstractNumId w:val="19"/>
  </w:num>
  <w:num w:numId="12" w16cid:durableId="1590851397">
    <w:abstractNumId w:val="16"/>
  </w:num>
  <w:num w:numId="13" w16cid:durableId="393429732">
    <w:abstractNumId w:val="13"/>
  </w:num>
  <w:num w:numId="14" w16cid:durableId="485515895">
    <w:abstractNumId w:val="8"/>
  </w:num>
  <w:num w:numId="15" w16cid:durableId="593438128">
    <w:abstractNumId w:val="11"/>
  </w:num>
  <w:num w:numId="16" w16cid:durableId="650714418">
    <w:abstractNumId w:val="5"/>
  </w:num>
  <w:num w:numId="17" w16cid:durableId="533228751">
    <w:abstractNumId w:val="3"/>
  </w:num>
  <w:num w:numId="18" w16cid:durableId="804542390">
    <w:abstractNumId w:val="17"/>
  </w:num>
  <w:num w:numId="19" w16cid:durableId="1841120998">
    <w:abstractNumId w:val="10"/>
  </w:num>
  <w:num w:numId="20" w16cid:durableId="13554183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I1NDU0MTU2MjcyNDFX0lEKTi0uzszPAykwrAUApoLerSwAAAA="/>
  </w:docVars>
  <w:rsids>
    <w:rsidRoot w:val="00BE38DD"/>
    <w:rsid w:val="0001387F"/>
    <w:rsid w:val="00024A01"/>
    <w:rsid w:val="00032490"/>
    <w:rsid w:val="000326E9"/>
    <w:rsid w:val="00046EB6"/>
    <w:rsid w:val="00084DC6"/>
    <w:rsid w:val="000917C1"/>
    <w:rsid w:val="000A6CF0"/>
    <w:rsid w:val="00115992"/>
    <w:rsid w:val="00122701"/>
    <w:rsid w:val="00135E1B"/>
    <w:rsid w:val="00167B18"/>
    <w:rsid w:val="0026181C"/>
    <w:rsid w:val="00276940"/>
    <w:rsid w:val="00282DFE"/>
    <w:rsid w:val="002A3E7D"/>
    <w:rsid w:val="002A4BC0"/>
    <w:rsid w:val="002F1D1A"/>
    <w:rsid w:val="003448D2"/>
    <w:rsid w:val="00357E94"/>
    <w:rsid w:val="003C07F5"/>
    <w:rsid w:val="00513C39"/>
    <w:rsid w:val="00515939"/>
    <w:rsid w:val="00550F1F"/>
    <w:rsid w:val="00597286"/>
    <w:rsid w:val="005A5854"/>
    <w:rsid w:val="005B0816"/>
    <w:rsid w:val="005B1413"/>
    <w:rsid w:val="005B47BA"/>
    <w:rsid w:val="00612AA1"/>
    <w:rsid w:val="00637D74"/>
    <w:rsid w:val="006E3A04"/>
    <w:rsid w:val="00707E2F"/>
    <w:rsid w:val="00713AC4"/>
    <w:rsid w:val="00727DF7"/>
    <w:rsid w:val="007369C3"/>
    <w:rsid w:val="007436E0"/>
    <w:rsid w:val="00762AED"/>
    <w:rsid w:val="00763766"/>
    <w:rsid w:val="00781550"/>
    <w:rsid w:val="0080534D"/>
    <w:rsid w:val="00853990"/>
    <w:rsid w:val="00856783"/>
    <w:rsid w:val="008705AD"/>
    <w:rsid w:val="008B38ED"/>
    <w:rsid w:val="00921AB1"/>
    <w:rsid w:val="00987103"/>
    <w:rsid w:val="00994246"/>
    <w:rsid w:val="009C3AC7"/>
    <w:rsid w:val="00A0527A"/>
    <w:rsid w:val="00A13E7B"/>
    <w:rsid w:val="00A14AF4"/>
    <w:rsid w:val="00A4776F"/>
    <w:rsid w:val="00AD5C66"/>
    <w:rsid w:val="00B60AD1"/>
    <w:rsid w:val="00B73BCF"/>
    <w:rsid w:val="00BB2892"/>
    <w:rsid w:val="00BE38DD"/>
    <w:rsid w:val="00C26A58"/>
    <w:rsid w:val="00CF3BBB"/>
    <w:rsid w:val="00D01B36"/>
    <w:rsid w:val="00D050AB"/>
    <w:rsid w:val="00D22895"/>
    <w:rsid w:val="00D64D38"/>
    <w:rsid w:val="00E1181F"/>
    <w:rsid w:val="00E142F2"/>
    <w:rsid w:val="00E27666"/>
    <w:rsid w:val="00E91069"/>
    <w:rsid w:val="00EE5460"/>
    <w:rsid w:val="00F112DE"/>
    <w:rsid w:val="00F123A0"/>
    <w:rsid w:val="00FC661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D52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6E9"/>
    <w:pPr>
      <w:spacing w:after="120" w:line="360" w:lineRule="auto"/>
      <w:jc w:val="both"/>
    </w:pPr>
    <w:rPr>
      <w:rFonts w:ascii="Times New Roman" w:eastAsia="Times New Roman" w:hAnsi="Times New Roman" w:cs="Times New Roman"/>
      <w:sz w:val="24"/>
      <w:szCs w:val="20"/>
      <w:lang w:val="en-GB" w:eastAsia="en-GB"/>
    </w:rPr>
  </w:style>
  <w:style w:type="paragraph" w:styleId="Heading1">
    <w:name w:val="heading 1"/>
    <w:basedOn w:val="Normal"/>
    <w:next w:val="Normal"/>
    <w:link w:val="Heading1Char"/>
    <w:autoRedefine/>
    <w:uiPriority w:val="9"/>
    <w:qFormat/>
    <w:rsid w:val="00856783"/>
    <w:pPr>
      <w:keepNext/>
      <w:keepLines/>
      <w:spacing w:before="240"/>
      <w:outlineLvl w:val="0"/>
    </w:pPr>
    <w:rPr>
      <w:rFonts w:eastAsiaTheme="majorEastAsia" w:cstheme="majorBidi"/>
      <w:b/>
      <w:bCs/>
      <w:color w:val="000000" w:themeColor="text1"/>
      <w:sz w:val="28"/>
      <w:szCs w:val="28"/>
    </w:rPr>
  </w:style>
  <w:style w:type="paragraph" w:styleId="Heading3">
    <w:name w:val="heading 3"/>
    <w:basedOn w:val="Normal"/>
    <w:link w:val="Heading3Char"/>
    <w:uiPriority w:val="9"/>
    <w:qFormat/>
    <w:rsid w:val="0001387F"/>
    <w:pPr>
      <w:spacing w:before="100" w:beforeAutospacing="1" w:after="100" w:afterAutospacing="1" w:line="240" w:lineRule="auto"/>
      <w:jc w:val="left"/>
      <w:outlineLvl w:val="2"/>
    </w:pPr>
    <w:rPr>
      <w:b/>
      <w:bCs/>
      <w:sz w:val="27"/>
      <w:szCs w:val="27"/>
      <w:lang w:val="en-US" w:eastAsia="en-US"/>
    </w:rPr>
  </w:style>
  <w:style w:type="paragraph" w:styleId="Heading4">
    <w:name w:val="heading 4"/>
    <w:basedOn w:val="Normal"/>
    <w:next w:val="Normal"/>
    <w:link w:val="Heading4Char"/>
    <w:uiPriority w:val="9"/>
    <w:semiHidden/>
    <w:unhideWhenUsed/>
    <w:qFormat/>
    <w:rsid w:val="00F112DE"/>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1387F"/>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01387F"/>
    <w:pPr>
      <w:spacing w:before="100" w:beforeAutospacing="1" w:after="100" w:afterAutospacing="1" w:line="240" w:lineRule="auto"/>
      <w:jc w:val="left"/>
    </w:pPr>
    <w:rPr>
      <w:szCs w:val="24"/>
      <w:lang w:val="en-US" w:eastAsia="en-US"/>
    </w:rPr>
  </w:style>
  <w:style w:type="character" w:styleId="Strong">
    <w:name w:val="Strong"/>
    <w:basedOn w:val="DefaultParagraphFont"/>
    <w:uiPriority w:val="22"/>
    <w:qFormat/>
    <w:rsid w:val="00F112DE"/>
    <w:rPr>
      <w:b/>
      <w:bCs/>
    </w:rPr>
  </w:style>
  <w:style w:type="character" w:customStyle="1" w:styleId="Heading4Char">
    <w:name w:val="Heading 4 Char"/>
    <w:basedOn w:val="DefaultParagraphFont"/>
    <w:link w:val="Heading4"/>
    <w:uiPriority w:val="9"/>
    <w:semiHidden/>
    <w:rsid w:val="00F112DE"/>
    <w:rPr>
      <w:rFonts w:asciiTheme="majorHAnsi" w:eastAsiaTheme="majorEastAsia" w:hAnsiTheme="majorHAnsi" w:cstheme="majorBidi"/>
      <w:b/>
      <w:bCs/>
      <w:i/>
      <w:iCs/>
      <w:color w:val="4F81BD" w:themeColor="accent1"/>
      <w:sz w:val="24"/>
      <w:szCs w:val="20"/>
      <w:lang w:val="en-GB" w:eastAsia="en-GB"/>
    </w:rPr>
  </w:style>
  <w:style w:type="paragraph" w:styleId="ListParagraph">
    <w:name w:val="List Paragraph"/>
    <w:basedOn w:val="Normal"/>
    <w:uiPriority w:val="34"/>
    <w:qFormat/>
    <w:rsid w:val="00282DFE"/>
    <w:pPr>
      <w:ind w:left="720"/>
      <w:contextualSpacing/>
    </w:pPr>
  </w:style>
  <w:style w:type="paragraph" w:styleId="BodyText">
    <w:name w:val="Body Text"/>
    <w:basedOn w:val="Normal"/>
    <w:link w:val="BodyTextChar"/>
    <w:semiHidden/>
    <w:unhideWhenUsed/>
    <w:rsid w:val="00707E2F"/>
    <w:pPr>
      <w:spacing w:line="240" w:lineRule="auto"/>
      <w:jc w:val="left"/>
    </w:pPr>
    <w:rPr>
      <w:sz w:val="20"/>
    </w:rPr>
  </w:style>
  <w:style w:type="character" w:customStyle="1" w:styleId="BodyTextChar">
    <w:name w:val="Body Text Char"/>
    <w:basedOn w:val="DefaultParagraphFont"/>
    <w:link w:val="BodyText"/>
    <w:semiHidden/>
    <w:rsid w:val="00707E2F"/>
    <w:rPr>
      <w:rFonts w:ascii="Times New Roman" w:eastAsia="Times New Roman" w:hAnsi="Times New Roman" w:cs="Times New Roman"/>
      <w:sz w:val="20"/>
      <w:szCs w:val="20"/>
      <w:lang w:val="en-GB" w:eastAsia="en-GB"/>
    </w:rPr>
  </w:style>
  <w:style w:type="character" w:styleId="Hyperlink">
    <w:name w:val="Hyperlink"/>
    <w:basedOn w:val="DefaultParagraphFont"/>
    <w:uiPriority w:val="99"/>
    <w:unhideWhenUsed/>
    <w:rsid w:val="00276940"/>
    <w:rPr>
      <w:color w:val="0000FF" w:themeColor="hyperlink"/>
      <w:u w:val="single"/>
    </w:rPr>
  </w:style>
  <w:style w:type="character" w:customStyle="1" w:styleId="Heading1Char">
    <w:name w:val="Heading 1 Char"/>
    <w:basedOn w:val="DefaultParagraphFont"/>
    <w:link w:val="Heading1"/>
    <w:uiPriority w:val="9"/>
    <w:rsid w:val="00856783"/>
    <w:rPr>
      <w:rFonts w:ascii="Times New Roman" w:eastAsiaTheme="majorEastAsia" w:hAnsi="Times New Roman" w:cstheme="majorBidi"/>
      <w:b/>
      <w:bCs/>
      <w:color w:val="000000" w:themeColor="text1"/>
      <w:sz w:val="28"/>
      <w:szCs w:val="28"/>
      <w:lang w:val="en-GB" w:eastAsia="en-GB"/>
    </w:rPr>
  </w:style>
  <w:style w:type="paragraph" w:styleId="TOCHeading">
    <w:name w:val="TOC Heading"/>
    <w:basedOn w:val="Heading1"/>
    <w:next w:val="Normal"/>
    <w:uiPriority w:val="39"/>
    <w:semiHidden/>
    <w:unhideWhenUsed/>
    <w:qFormat/>
    <w:rsid w:val="00713AC4"/>
    <w:pPr>
      <w:spacing w:line="276" w:lineRule="auto"/>
      <w:jc w:val="left"/>
      <w:outlineLvl w:val="9"/>
    </w:pPr>
    <w:rPr>
      <w:rFonts w:asciiTheme="majorHAnsi" w:hAnsiTheme="majorHAnsi"/>
      <w:color w:val="365F91" w:themeColor="accent1" w:themeShade="BF"/>
      <w:lang w:val="en-US" w:eastAsia="en-US"/>
    </w:rPr>
  </w:style>
  <w:style w:type="paragraph" w:styleId="TOC1">
    <w:name w:val="toc 1"/>
    <w:basedOn w:val="Normal"/>
    <w:next w:val="Normal"/>
    <w:autoRedefine/>
    <w:uiPriority w:val="39"/>
    <w:unhideWhenUsed/>
    <w:rsid w:val="00713AC4"/>
    <w:pPr>
      <w:spacing w:after="100"/>
    </w:pPr>
  </w:style>
  <w:style w:type="paragraph" w:styleId="BalloonText">
    <w:name w:val="Balloon Text"/>
    <w:basedOn w:val="Normal"/>
    <w:link w:val="BalloonTextChar"/>
    <w:uiPriority w:val="99"/>
    <w:semiHidden/>
    <w:unhideWhenUsed/>
    <w:rsid w:val="00713A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3AC4"/>
    <w:rPr>
      <w:rFonts w:ascii="Tahoma" w:eastAsia="Times New Roman" w:hAnsi="Tahoma" w:cs="Tahoma"/>
      <w:sz w:val="16"/>
      <w:szCs w:val="16"/>
      <w:lang w:val="en-GB" w:eastAsia="en-GB"/>
    </w:rPr>
  </w:style>
  <w:style w:type="paragraph" w:styleId="Header">
    <w:name w:val="header"/>
    <w:basedOn w:val="Normal"/>
    <w:link w:val="HeaderChar"/>
    <w:uiPriority w:val="99"/>
    <w:unhideWhenUsed/>
    <w:rsid w:val="005A58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5854"/>
    <w:rPr>
      <w:rFonts w:ascii="Times New Roman" w:eastAsia="Times New Roman" w:hAnsi="Times New Roman" w:cs="Times New Roman"/>
      <w:sz w:val="24"/>
      <w:szCs w:val="20"/>
      <w:lang w:val="en-GB" w:eastAsia="en-GB"/>
    </w:rPr>
  </w:style>
  <w:style w:type="paragraph" w:styleId="Footer">
    <w:name w:val="footer"/>
    <w:basedOn w:val="Normal"/>
    <w:link w:val="FooterChar"/>
    <w:uiPriority w:val="99"/>
    <w:unhideWhenUsed/>
    <w:rsid w:val="005A58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5854"/>
    <w:rPr>
      <w:rFonts w:ascii="Times New Roman" w:eastAsia="Times New Roman" w:hAnsi="Times New Roman" w:cs="Times New Roman"/>
      <w:sz w:val="24"/>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1630408">
      <w:bodyDiv w:val="1"/>
      <w:marLeft w:val="0"/>
      <w:marRight w:val="0"/>
      <w:marTop w:val="0"/>
      <w:marBottom w:val="0"/>
      <w:divBdr>
        <w:top w:val="none" w:sz="0" w:space="0" w:color="auto"/>
        <w:left w:val="none" w:sz="0" w:space="0" w:color="auto"/>
        <w:bottom w:val="none" w:sz="0" w:space="0" w:color="auto"/>
        <w:right w:val="none" w:sz="0" w:space="0" w:color="auto"/>
      </w:divBdr>
    </w:div>
    <w:div w:id="410397672">
      <w:bodyDiv w:val="1"/>
      <w:marLeft w:val="0"/>
      <w:marRight w:val="0"/>
      <w:marTop w:val="0"/>
      <w:marBottom w:val="0"/>
      <w:divBdr>
        <w:top w:val="none" w:sz="0" w:space="0" w:color="auto"/>
        <w:left w:val="none" w:sz="0" w:space="0" w:color="auto"/>
        <w:bottom w:val="none" w:sz="0" w:space="0" w:color="auto"/>
        <w:right w:val="none" w:sz="0" w:space="0" w:color="auto"/>
      </w:divBdr>
      <w:divsChild>
        <w:div w:id="926041133">
          <w:marLeft w:val="0"/>
          <w:marRight w:val="0"/>
          <w:marTop w:val="0"/>
          <w:marBottom w:val="0"/>
          <w:divBdr>
            <w:top w:val="none" w:sz="0" w:space="0" w:color="auto"/>
            <w:left w:val="none" w:sz="0" w:space="0" w:color="auto"/>
            <w:bottom w:val="none" w:sz="0" w:space="0" w:color="auto"/>
            <w:right w:val="none" w:sz="0" w:space="0" w:color="auto"/>
          </w:divBdr>
          <w:divsChild>
            <w:div w:id="853689170">
              <w:marLeft w:val="0"/>
              <w:marRight w:val="0"/>
              <w:marTop w:val="0"/>
              <w:marBottom w:val="0"/>
              <w:divBdr>
                <w:top w:val="none" w:sz="0" w:space="0" w:color="auto"/>
                <w:left w:val="none" w:sz="0" w:space="0" w:color="auto"/>
                <w:bottom w:val="none" w:sz="0" w:space="0" w:color="auto"/>
                <w:right w:val="none" w:sz="0" w:space="0" w:color="auto"/>
              </w:divBdr>
              <w:divsChild>
                <w:div w:id="472874247">
                  <w:marLeft w:val="0"/>
                  <w:marRight w:val="0"/>
                  <w:marTop w:val="0"/>
                  <w:marBottom w:val="0"/>
                  <w:divBdr>
                    <w:top w:val="none" w:sz="0" w:space="0" w:color="auto"/>
                    <w:left w:val="none" w:sz="0" w:space="0" w:color="auto"/>
                    <w:bottom w:val="none" w:sz="0" w:space="0" w:color="auto"/>
                    <w:right w:val="none" w:sz="0" w:space="0" w:color="auto"/>
                  </w:divBdr>
                  <w:divsChild>
                    <w:div w:id="205988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4367375">
      <w:bodyDiv w:val="1"/>
      <w:marLeft w:val="0"/>
      <w:marRight w:val="0"/>
      <w:marTop w:val="0"/>
      <w:marBottom w:val="0"/>
      <w:divBdr>
        <w:top w:val="none" w:sz="0" w:space="0" w:color="auto"/>
        <w:left w:val="none" w:sz="0" w:space="0" w:color="auto"/>
        <w:bottom w:val="none" w:sz="0" w:space="0" w:color="auto"/>
        <w:right w:val="none" w:sz="0" w:space="0" w:color="auto"/>
      </w:divBdr>
    </w:div>
    <w:div w:id="928462074">
      <w:bodyDiv w:val="1"/>
      <w:marLeft w:val="0"/>
      <w:marRight w:val="0"/>
      <w:marTop w:val="0"/>
      <w:marBottom w:val="0"/>
      <w:divBdr>
        <w:top w:val="none" w:sz="0" w:space="0" w:color="auto"/>
        <w:left w:val="none" w:sz="0" w:space="0" w:color="auto"/>
        <w:bottom w:val="none" w:sz="0" w:space="0" w:color="auto"/>
        <w:right w:val="none" w:sz="0" w:space="0" w:color="auto"/>
      </w:divBdr>
      <w:divsChild>
        <w:div w:id="1664045110">
          <w:marLeft w:val="0"/>
          <w:marRight w:val="0"/>
          <w:marTop w:val="0"/>
          <w:marBottom w:val="0"/>
          <w:divBdr>
            <w:top w:val="none" w:sz="0" w:space="0" w:color="auto"/>
            <w:left w:val="none" w:sz="0" w:space="0" w:color="auto"/>
            <w:bottom w:val="none" w:sz="0" w:space="0" w:color="auto"/>
            <w:right w:val="none" w:sz="0" w:space="0" w:color="auto"/>
          </w:divBdr>
          <w:divsChild>
            <w:div w:id="264729297">
              <w:marLeft w:val="0"/>
              <w:marRight w:val="0"/>
              <w:marTop w:val="0"/>
              <w:marBottom w:val="0"/>
              <w:divBdr>
                <w:top w:val="none" w:sz="0" w:space="0" w:color="auto"/>
                <w:left w:val="none" w:sz="0" w:space="0" w:color="auto"/>
                <w:bottom w:val="none" w:sz="0" w:space="0" w:color="auto"/>
                <w:right w:val="none" w:sz="0" w:space="0" w:color="auto"/>
              </w:divBdr>
              <w:divsChild>
                <w:div w:id="1118377185">
                  <w:marLeft w:val="0"/>
                  <w:marRight w:val="0"/>
                  <w:marTop w:val="0"/>
                  <w:marBottom w:val="0"/>
                  <w:divBdr>
                    <w:top w:val="none" w:sz="0" w:space="0" w:color="auto"/>
                    <w:left w:val="none" w:sz="0" w:space="0" w:color="auto"/>
                    <w:bottom w:val="none" w:sz="0" w:space="0" w:color="auto"/>
                    <w:right w:val="none" w:sz="0" w:space="0" w:color="auto"/>
                  </w:divBdr>
                  <w:divsChild>
                    <w:div w:id="133746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3043685">
      <w:bodyDiv w:val="1"/>
      <w:marLeft w:val="0"/>
      <w:marRight w:val="0"/>
      <w:marTop w:val="0"/>
      <w:marBottom w:val="0"/>
      <w:divBdr>
        <w:top w:val="none" w:sz="0" w:space="0" w:color="auto"/>
        <w:left w:val="none" w:sz="0" w:space="0" w:color="auto"/>
        <w:bottom w:val="none" w:sz="0" w:space="0" w:color="auto"/>
        <w:right w:val="none" w:sz="0" w:space="0" w:color="auto"/>
      </w:divBdr>
      <w:divsChild>
        <w:div w:id="60521907">
          <w:marLeft w:val="0"/>
          <w:marRight w:val="0"/>
          <w:marTop w:val="0"/>
          <w:marBottom w:val="0"/>
          <w:divBdr>
            <w:top w:val="none" w:sz="0" w:space="0" w:color="auto"/>
            <w:left w:val="none" w:sz="0" w:space="0" w:color="auto"/>
            <w:bottom w:val="none" w:sz="0" w:space="0" w:color="auto"/>
            <w:right w:val="none" w:sz="0" w:space="0" w:color="auto"/>
          </w:divBdr>
          <w:divsChild>
            <w:div w:id="361050863">
              <w:marLeft w:val="0"/>
              <w:marRight w:val="0"/>
              <w:marTop w:val="0"/>
              <w:marBottom w:val="0"/>
              <w:divBdr>
                <w:top w:val="none" w:sz="0" w:space="0" w:color="auto"/>
                <w:left w:val="none" w:sz="0" w:space="0" w:color="auto"/>
                <w:bottom w:val="none" w:sz="0" w:space="0" w:color="auto"/>
                <w:right w:val="none" w:sz="0" w:space="0" w:color="auto"/>
              </w:divBdr>
              <w:divsChild>
                <w:div w:id="1999654564">
                  <w:marLeft w:val="0"/>
                  <w:marRight w:val="0"/>
                  <w:marTop w:val="0"/>
                  <w:marBottom w:val="0"/>
                  <w:divBdr>
                    <w:top w:val="none" w:sz="0" w:space="0" w:color="auto"/>
                    <w:left w:val="none" w:sz="0" w:space="0" w:color="auto"/>
                    <w:bottom w:val="none" w:sz="0" w:space="0" w:color="auto"/>
                    <w:right w:val="none" w:sz="0" w:space="0" w:color="auto"/>
                  </w:divBdr>
                  <w:divsChild>
                    <w:div w:id="176306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4846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ilever.com/sustainable-living/" TargetMode="External"/><Relationship Id="rId5" Type="http://schemas.openxmlformats.org/officeDocument/2006/relationships/webSettings" Target="webSettings.xml"/><Relationship Id="rId10" Type="http://schemas.openxmlformats.org/officeDocument/2006/relationships/hyperlink" Target="https://markets.ft.com/data/equities/tearsheet/summary?s=ULVR"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70AB45-2023-45AF-B9FC-E5834E6B0F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2860</Words>
  <Characters>16308</Characters>
  <Application>Microsoft Office Word</Application>
  <DocSecurity>0</DocSecurity>
  <Lines>135</Lines>
  <Paragraphs>38</Paragraphs>
  <ScaleCrop>false</ScaleCrop>
  <Company/>
  <LinksUpToDate>false</LinksUpToDate>
  <CharactersWithSpaces>19130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2024-06-10T17:57:00Z</dcterms:created>
  <dcterms:modified xsi:type="dcterms:W3CDTF">2024-06-13T12:21:00Z</dcterms:modified>
</cp:coreProperties>
</file>