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2A077" w14:textId="77777777" w:rsidR="00BE70E9" w:rsidRDefault="00BE70E9" w:rsidP="00C211EC">
      <w:pPr>
        <w:spacing w:before="480" w:after="120" w:line="360" w:lineRule="auto"/>
        <w:jc w:val="center"/>
        <w:rPr>
          <w:b/>
          <w:bCs/>
        </w:rPr>
      </w:pPr>
    </w:p>
    <w:p w14:paraId="2EB91B1A" w14:textId="0DF2CC9A" w:rsidR="00F4764C" w:rsidRDefault="00992E5F" w:rsidP="00C211EC">
      <w:pPr>
        <w:spacing w:before="480" w:after="120" w:line="360" w:lineRule="auto"/>
        <w:jc w:val="center"/>
        <w:rPr>
          <w:b/>
          <w:bCs/>
        </w:rPr>
      </w:pPr>
      <w:r>
        <w:rPr>
          <w:b/>
          <w:bCs/>
        </w:rPr>
        <w:t>BMHP6027 — Empowering the Older Person</w:t>
      </w:r>
    </w:p>
    <w:p w14:paraId="68EF600E" w14:textId="77777777" w:rsidR="00823CCD" w:rsidRDefault="00823CCD" w:rsidP="00C211EC">
      <w:pPr>
        <w:spacing w:before="480" w:after="120" w:line="360" w:lineRule="auto"/>
        <w:jc w:val="center"/>
        <w:rPr>
          <w:b/>
          <w:bCs/>
        </w:rPr>
      </w:pPr>
    </w:p>
    <w:p w14:paraId="1784C20E" w14:textId="14A410B6" w:rsidR="000D1C5D" w:rsidRPr="00823CCD" w:rsidRDefault="000D1C5D" w:rsidP="001C29FA">
      <w:pPr>
        <w:spacing w:before="480" w:after="120" w:line="360" w:lineRule="auto"/>
        <w:jc w:val="center"/>
      </w:pPr>
      <w:r w:rsidRPr="00823CCD">
        <w:t>Ali Mohammed Mustafa</w:t>
      </w:r>
      <w:r w:rsidR="001C29FA">
        <w:t xml:space="preserve"> </w:t>
      </w:r>
      <w:r w:rsidRPr="00823CCD">
        <w:t>Student ID: 2244081</w:t>
      </w:r>
    </w:p>
    <w:p w14:paraId="0E517CE8" w14:textId="77777777" w:rsidR="00F4764C" w:rsidRPr="00C211EC" w:rsidRDefault="00992E5F" w:rsidP="00C211EC">
      <w:pPr>
        <w:spacing w:after="80" w:line="360" w:lineRule="auto"/>
        <w:jc w:val="center"/>
      </w:pPr>
      <w:r>
        <w:t>Component 2: Debate / Discussion</w:t>
      </w:r>
    </w:p>
    <w:p w14:paraId="67317631" w14:textId="626A2B00" w:rsidR="00F4764C" w:rsidRPr="00C211EC" w:rsidRDefault="00F4764C" w:rsidP="001C29FA">
      <w:pPr>
        <w:spacing w:after="400" w:line="360" w:lineRule="auto"/>
      </w:pPr>
    </w:p>
    <w:tbl>
      <w:tblPr>
        <w:tblStyle w:val="TableGrid"/>
        <w:tblW w:w="9026" w:type="dxa"/>
        <w:tblLook w:val="0000" w:firstRow="0" w:lastRow="0" w:firstColumn="0" w:lastColumn="0" w:noHBand="0" w:noVBand="0"/>
      </w:tblPr>
      <w:tblGrid>
        <w:gridCol w:w="3200"/>
        <w:gridCol w:w="5826"/>
      </w:tblGrid>
      <w:tr w:rsidR="00C211EC" w:rsidRPr="00C211EC" w14:paraId="6505A9B0" w14:textId="77777777" w:rsidTr="00C211EC">
        <w:tc>
          <w:tcPr>
            <w:tcW w:w="3200" w:type="dxa"/>
          </w:tcPr>
          <w:p w14:paraId="6F90328E" w14:textId="77777777" w:rsidR="00F4764C" w:rsidRPr="00C211EC" w:rsidRDefault="00992E5F" w:rsidP="00C211EC">
            <w:pPr>
              <w:spacing w:line="360" w:lineRule="auto"/>
            </w:pPr>
            <w:r>
              <w:rPr>
                <w:b/>
                <w:bCs/>
              </w:rPr>
              <w:t>Topic</w:t>
            </w:r>
          </w:p>
        </w:tc>
        <w:tc>
          <w:tcPr>
            <w:tcW w:w="5826" w:type="dxa"/>
          </w:tcPr>
          <w:p w14:paraId="09F05BFD" w14:textId="77777777" w:rsidR="00F4764C" w:rsidRPr="00C211EC" w:rsidRDefault="00992E5F" w:rsidP="00C211EC">
            <w:pPr>
              <w:spacing w:line="360" w:lineRule="auto"/>
            </w:pPr>
            <w:r>
              <w:t>Which setting better promotes empowerment in older adults: domiciliary care or residential care?</w:t>
            </w:r>
          </w:p>
        </w:tc>
      </w:tr>
      <w:tr w:rsidR="00C211EC" w:rsidRPr="00C211EC" w14:paraId="00D4AA3D" w14:textId="77777777" w:rsidTr="00C211EC">
        <w:tc>
          <w:tcPr>
            <w:tcW w:w="3200" w:type="dxa"/>
          </w:tcPr>
          <w:p w14:paraId="254BA84B" w14:textId="77777777" w:rsidR="00F4764C" w:rsidRPr="00C211EC" w:rsidRDefault="00992E5F" w:rsidP="00C211EC">
            <w:pPr>
              <w:spacing w:line="360" w:lineRule="auto"/>
            </w:pPr>
            <w:r>
              <w:rPr>
                <w:b/>
                <w:bCs/>
              </w:rPr>
              <w:t>Position</w:t>
            </w:r>
          </w:p>
        </w:tc>
        <w:tc>
          <w:tcPr>
            <w:tcW w:w="5826" w:type="dxa"/>
          </w:tcPr>
          <w:p w14:paraId="6284198A" w14:textId="77777777" w:rsidR="00F4764C" w:rsidRPr="006D727D" w:rsidRDefault="00992E5F" w:rsidP="00C211EC">
            <w:pPr>
              <w:spacing w:line="360" w:lineRule="auto"/>
            </w:pPr>
            <w:r>
              <w:t>FOR: Domiciliary care better promotes empowerment in older adults</w:t>
            </w:r>
          </w:p>
        </w:tc>
      </w:tr>
      <w:tr w:rsidR="00C211EC" w:rsidRPr="00C211EC" w14:paraId="49F553E4" w14:textId="77777777" w:rsidTr="00C211EC">
        <w:tc>
          <w:tcPr>
            <w:tcW w:w="3200" w:type="dxa"/>
          </w:tcPr>
          <w:p w14:paraId="7993973C" w14:textId="77777777" w:rsidR="00F4764C" w:rsidRPr="00C211EC" w:rsidRDefault="00992E5F" w:rsidP="00C211EC">
            <w:pPr>
              <w:spacing w:line="360" w:lineRule="auto"/>
            </w:pPr>
            <w:r>
              <w:rPr>
                <w:b/>
                <w:bCs/>
              </w:rPr>
              <w:t>Module Code</w:t>
            </w:r>
          </w:p>
        </w:tc>
        <w:tc>
          <w:tcPr>
            <w:tcW w:w="5826" w:type="dxa"/>
          </w:tcPr>
          <w:p w14:paraId="2E1DD807" w14:textId="77777777" w:rsidR="00F4764C" w:rsidRPr="00C211EC" w:rsidRDefault="00992E5F" w:rsidP="00C211EC">
            <w:pPr>
              <w:spacing w:line="360" w:lineRule="auto"/>
            </w:pPr>
            <w:r>
              <w:t>BMHP6027</w:t>
            </w:r>
          </w:p>
        </w:tc>
      </w:tr>
      <w:tr w:rsidR="00C211EC" w:rsidRPr="00C211EC" w14:paraId="0EBEC721" w14:textId="77777777" w:rsidTr="00C211EC">
        <w:tc>
          <w:tcPr>
            <w:tcW w:w="3200" w:type="dxa"/>
          </w:tcPr>
          <w:p w14:paraId="63A03961" w14:textId="77777777" w:rsidR="00F4764C" w:rsidRPr="00C211EC" w:rsidRDefault="00992E5F" w:rsidP="00C211EC">
            <w:pPr>
              <w:spacing w:line="360" w:lineRule="auto"/>
            </w:pPr>
            <w:r>
              <w:rPr>
                <w:b/>
                <w:bCs/>
              </w:rPr>
              <w:t>Submission Deadline</w:t>
            </w:r>
          </w:p>
        </w:tc>
        <w:tc>
          <w:tcPr>
            <w:tcW w:w="5826" w:type="dxa"/>
          </w:tcPr>
          <w:p w14:paraId="14C61921" w14:textId="77777777" w:rsidR="00F4764C" w:rsidRPr="00C211EC" w:rsidRDefault="00992E5F" w:rsidP="00C211EC">
            <w:pPr>
              <w:spacing w:line="360" w:lineRule="auto"/>
            </w:pPr>
            <w:r>
              <w:t>Sunday 15th March 2026, 17:00</w:t>
            </w:r>
          </w:p>
        </w:tc>
      </w:tr>
      <w:tr w:rsidR="00C211EC" w:rsidRPr="00C211EC" w14:paraId="1309CA32" w14:textId="77777777" w:rsidTr="00C211EC">
        <w:tc>
          <w:tcPr>
            <w:tcW w:w="3200" w:type="dxa"/>
          </w:tcPr>
          <w:p w14:paraId="47EA030C" w14:textId="77777777" w:rsidR="00F4764C" w:rsidRPr="00C211EC" w:rsidRDefault="00992E5F" w:rsidP="00C211EC">
            <w:pPr>
              <w:spacing w:line="360" w:lineRule="auto"/>
            </w:pPr>
            <w:r>
              <w:rPr>
                <w:b/>
                <w:bCs/>
              </w:rPr>
              <w:t>Total References</w:t>
            </w:r>
          </w:p>
        </w:tc>
        <w:tc>
          <w:tcPr>
            <w:tcW w:w="5826" w:type="dxa"/>
          </w:tcPr>
          <w:p w14:paraId="7783B6D4" w14:textId="005902B4" w:rsidR="00F4764C" w:rsidRPr="00C211EC" w:rsidRDefault="00992E5F" w:rsidP="00C211EC">
            <w:pPr>
              <w:spacing w:line="360" w:lineRule="auto"/>
            </w:pPr>
            <w:r>
              <w:t xml:space="preserve">25 </w:t>
            </w:r>
          </w:p>
        </w:tc>
      </w:tr>
    </w:tbl>
    <w:p w14:paraId="799E9848" w14:textId="77777777" w:rsidR="00F4764C" w:rsidRPr="00C211EC" w:rsidRDefault="00F4764C" w:rsidP="00C211EC">
      <w:pPr>
        <w:spacing w:after="200" w:line="360" w:lineRule="auto"/>
      </w:pPr>
    </w:p>
    <w:p w14:paraId="5445043B" w14:textId="0567D3C7" w:rsidR="00F4764C" w:rsidRDefault="00C211EC" w:rsidP="00C211EC">
      <w:pPr>
        <w:tabs>
          <w:tab w:val="left" w:pos="4229"/>
        </w:tabs>
        <w:spacing w:after="200" w:line="360" w:lineRule="auto"/>
      </w:pPr>
      <w:r>
        <w:tab/>
      </w:r>
    </w:p>
    <w:p w14:paraId="4AD73220" w14:textId="77777777" w:rsidR="00135916" w:rsidRDefault="00135916" w:rsidP="00C211EC">
      <w:pPr>
        <w:tabs>
          <w:tab w:val="left" w:pos="4229"/>
        </w:tabs>
        <w:spacing w:after="200" w:line="360" w:lineRule="auto"/>
      </w:pPr>
    </w:p>
    <w:p w14:paraId="7DC0D29A" w14:textId="77777777" w:rsidR="00135916" w:rsidRDefault="00135916" w:rsidP="00C211EC">
      <w:pPr>
        <w:tabs>
          <w:tab w:val="left" w:pos="4229"/>
        </w:tabs>
        <w:spacing w:after="200" w:line="360" w:lineRule="auto"/>
      </w:pPr>
    </w:p>
    <w:p w14:paraId="14BD6A59" w14:textId="77777777" w:rsidR="00135916" w:rsidRDefault="00135916" w:rsidP="00C211EC">
      <w:pPr>
        <w:tabs>
          <w:tab w:val="left" w:pos="4229"/>
        </w:tabs>
        <w:spacing w:after="200" w:line="360" w:lineRule="auto"/>
      </w:pPr>
    </w:p>
    <w:p w14:paraId="09FC52D4" w14:textId="77777777" w:rsidR="00135916" w:rsidRDefault="00135916" w:rsidP="00C211EC">
      <w:pPr>
        <w:tabs>
          <w:tab w:val="left" w:pos="4229"/>
        </w:tabs>
        <w:spacing w:after="200" w:line="360" w:lineRule="auto"/>
      </w:pPr>
    </w:p>
    <w:p w14:paraId="61089597" w14:textId="77777777" w:rsidR="00135916" w:rsidRDefault="00135916" w:rsidP="00C211EC">
      <w:pPr>
        <w:tabs>
          <w:tab w:val="left" w:pos="4229"/>
        </w:tabs>
        <w:spacing w:after="200" w:line="360" w:lineRule="auto"/>
      </w:pPr>
    </w:p>
    <w:p w14:paraId="703D3B49" w14:textId="77777777" w:rsidR="00135916" w:rsidRDefault="00135916" w:rsidP="00C211EC">
      <w:pPr>
        <w:tabs>
          <w:tab w:val="left" w:pos="4229"/>
        </w:tabs>
        <w:spacing w:after="200" w:line="360" w:lineRule="auto"/>
      </w:pPr>
    </w:p>
    <w:p w14:paraId="56C1948C" w14:textId="77777777" w:rsidR="00135916" w:rsidRDefault="00135916" w:rsidP="00C211EC">
      <w:pPr>
        <w:tabs>
          <w:tab w:val="left" w:pos="4229"/>
        </w:tabs>
        <w:spacing w:after="200" w:line="360" w:lineRule="auto"/>
      </w:pPr>
    </w:p>
    <w:p w14:paraId="70CBD574" w14:textId="77777777" w:rsidR="00135916" w:rsidRDefault="00135916" w:rsidP="00C211EC">
      <w:pPr>
        <w:tabs>
          <w:tab w:val="left" w:pos="4229"/>
        </w:tabs>
        <w:spacing w:after="200" w:line="360" w:lineRule="auto"/>
      </w:pPr>
    </w:p>
    <w:p w14:paraId="6ED29A86" w14:textId="77777777" w:rsidR="00135916" w:rsidRDefault="00135916" w:rsidP="00C211EC">
      <w:pPr>
        <w:tabs>
          <w:tab w:val="left" w:pos="4229"/>
        </w:tabs>
        <w:spacing w:after="200" w:line="360" w:lineRule="auto"/>
      </w:pPr>
    </w:p>
    <w:p w14:paraId="4257D35F" w14:textId="77777777" w:rsidR="00135916" w:rsidRDefault="00135916" w:rsidP="00C211EC">
      <w:pPr>
        <w:tabs>
          <w:tab w:val="left" w:pos="4229"/>
        </w:tabs>
        <w:spacing w:after="200" w:line="360" w:lineRule="auto"/>
      </w:pPr>
    </w:p>
    <w:p w14:paraId="53869C27" w14:textId="77777777" w:rsidR="00135916" w:rsidRPr="00C211EC" w:rsidRDefault="00135916" w:rsidP="00C211EC">
      <w:pPr>
        <w:tabs>
          <w:tab w:val="left" w:pos="4229"/>
        </w:tabs>
        <w:spacing w:after="200" w:line="360" w:lineRule="auto"/>
      </w:pPr>
    </w:p>
    <w:p w14:paraId="465BD61A" w14:textId="0E7399A2" w:rsidR="00135916" w:rsidRDefault="00992E5F" w:rsidP="00135916">
      <w:pPr>
        <w:pStyle w:val="Heading1"/>
        <w:pBdr>
          <w:bottom w:val="none" w:sz="0" w:space="0" w:color="auto"/>
        </w:pBdr>
        <w:spacing w:line="360" w:lineRule="auto"/>
        <w:rPr>
          <w:color w:val="auto"/>
          <w:sz w:val="22"/>
          <w:szCs w:val="22"/>
        </w:rPr>
      </w:pPr>
      <w:r>
        <w:rPr>
          <w:color w:val="auto"/>
          <w:sz w:val="22"/>
          <w:szCs w:val="22"/>
        </w:rPr>
        <w:t>Step 1: Overall Introduction (approx. 2.5 minutes —</w:t>
      </w:r>
      <w:r>
        <w:rPr>
          <w:color w:val="auto"/>
          <w:sz w:val="22"/>
          <w:szCs w:val="22"/>
        </w:rPr>
        <w:t xml:space="preserve"> partner delivers this)</w:t>
      </w:r>
    </w:p>
    <w:p w14:paraId="1CA4B024" w14:textId="40AB1842" w:rsidR="00135916" w:rsidRPr="00135916" w:rsidRDefault="00135916" w:rsidP="00C211EC">
      <w:pPr>
        <w:spacing w:after="200" w:line="360" w:lineRule="auto"/>
        <w:rPr>
          <w:b/>
          <w:bCs/>
        </w:rPr>
      </w:pPr>
      <w:r>
        <w:rPr>
          <w:b/>
          <w:bCs/>
        </w:rPr>
        <w:t>Overall Introduction</w:t>
      </w:r>
    </w:p>
    <w:p w14:paraId="0D68F566" w14:textId="56B44896" w:rsidR="00F4764C" w:rsidRPr="00C211EC" w:rsidRDefault="00002067" w:rsidP="006D65D0">
      <w:pPr>
        <w:spacing w:after="160" w:line="360" w:lineRule="auto"/>
      </w:pPr>
      <w:r>
        <w:t xml:space="preserve">Good morning. </w:t>
      </w:r>
      <w:r w:rsidR="006D65D0">
        <w:t xml:space="preserve">This discussion explores one of the key issues of modern health and social care policy: the most effective way of empowering older adults in long-term care regimes. As the population grows older, with more than 10.7 million individuals over the age of 65 and above, in England alone, the environment and organization of the care provided to the </w:t>
      </w:r>
      <w:r w:rsidR="0052765F">
        <w:t>elderly</w:t>
      </w:r>
      <w:r w:rsidR="006D65D0">
        <w:t xml:space="preserve"> ha</w:t>
      </w:r>
      <w:r w:rsidR="0052765F">
        <w:t>ve</w:t>
      </w:r>
      <w:r w:rsidR="006D65D0">
        <w:t xml:space="preserve"> far-reaching implications on the autonomy, dignity, and overall quality of life of the elderly. The two main models of long-term care today are domiciliary care</w:t>
      </w:r>
      <w:r w:rsidR="0052765F">
        <w:t>,</w:t>
      </w:r>
      <w:r w:rsidR="006D65D0">
        <w:t xml:space="preserve"> which is care provided in the home of the individual</w:t>
      </w:r>
      <w:r w:rsidR="0052765F">
        <w:t>,</w:t>
      </w:r>
      <w:r w:rsidR="006D65D0">
        <w:t xml:space="preserve"> and residential care</w:t>
      </w:r>
      <w:r w:rsidR="0052765F">
        <w:t>,</w:t>
      </w:r>
      <w:r w:rsidR="006D65D0">
        <w:t xml:space="preserve"> which is care provided in a facility that specializes in care. Each of the models has its unique benefits</w:t>
      </w:r>
      <w:r w:rsidR="0052765F">
        <w:t>,</w:t>
      </w:r>
      <w:r w:rsidR="006D65D0">
        <w:t xml:space="preserve"> but the main dilemma is which of the environments is most effective in encouraging empowerment</w:t>
      </w:r>
      <w:r w:rsidR="0052765F">
        <w:t>,</w:t>
      </w:r>
      <w:r w:rsidR="006D65D0">
        <w:t xml:space="preserve"> and that is what we are discussing. This debate is shedding light with the help of existing theoretical frameworks. The Continuity Theory (Atchley) indicates that one way through which older adults can experience well</w:t>
      </w:r>
      <w:r w:rsidR="0052765F">
        <w:t>-</w:t>
      </w:r>
      <w:r w:rsidR="006D65D0">
        <w:t xml:space="preserve">being is by sustaining familiar routine and environment. The Person-Centred Care model of Kitwood focuses on maintaining identity and personhood. </w:t>
      </w:r>
      <w:r w:rsidR="0052765F">
        <w:t xml:space="preserve">The </w:t>
      </w:r>
      <w:r w:rsidR="006D65D0">
        <w:t xml:space="preserve">Active Ageing Framework by the World Health Organization predicts the main dimensions of wellbeing in </w:t>
      </w:r>
      <w:r w:rsidR="0052765F">
        <w:t>la</w:t>
      </w:r>
      <w:r w:rsidR="006D65D0">
        <w:t xml:space="preserve">ter life as independence, participation, and dignity. These paradigms are directly related to the policy environment that supports the current discussion. According to the Department of Health and Social Care (2014) Care Act 2014, the local authorities are under </w:t>
      </w:r>
      <w:r w:rsidR="0052765F">
        <w:t xml:space="preserve">a </w:t>
      </w:r>
      <w:r w:rsidR="006D65D0">
        <w:t>statutory responsibility of encouraging individual wellbeing and empowering individuals to live as independently as possible. The right of individuals to self-determination in making decisions is entrenched in the Department of Health (2005) Mental Capacity Act 2005. These political systems are the pillars of our conversation today</w:t>
      </w:r>
      <w:r>
        <w:t>.</w:t>
      </w:r>
    </w:p>
    <w:p w14:paraId="5B74B44E" w14:textId="4AA87C97" w:rsidR="00F4764C" w:rsidRPr="00C211EC" w:rsidRDefault="00992E5F" w:rsidP="001D3EE6">
      <w:pPr>
        <w:pStyle w:val="Heading1"/>
        <w:pBdr>
          <w:bottom w:val="none" w:sz="0" w:space="0" w:color="auto"/>
        </w:pBdr>
        <w:spacing w:line="360" w:lineRule="auto"/>
        <w:rPr>
          <w:color w:val="auto"/>
          <w:sz w:val="22"/>
          <w:szCs w:val="22"/>
        </w:rPr>
      </w:pPr>
      <w:r>
        <w:rPr>
          <w:color w:val="auto"/>
          <w:sz w:val="22"/>
          <w:szCs w:val="22"/>
        </w:rPr>
        <w:t>Step 2:</w:t>
      </w:r>
      <w:r>
        <w:rPr>
          <w:color w:val="auto"/>
          <w:sz w:val="22"/>
          <w:szCs w:val="22"/>
        </w:rPr>
        <w:t xml:space="preserve"> Opening Statement (approx. 2–3 minutes)</w:t>
      </w:r>
    </w:p>
    <w:p w14:paraId="03BDD029" w14:textId="7C37FA92" w:rsidR="00F4764C" w:rsidRPr="001D3EE6" w:rsidRDefault="001D3EE6" w:rsidP="00C211EC">
      <w:pPr>
        <w:spacing w:after="200" w:line="360" w:lineRule="auto"/>
        <w:rPr>
          <w:b/>
          <w:bCs/>
        </w:rPr>
      </w:pPr>
      <w:r>
        <w:rPr>
          <w:b/>
          <w:bCs/>
        </w:rPr>
        <w:t>Opening Statement</w:t>
      </w:r>
    </w:p>
    <w:p w14:paraId="15DE1FDB" w14:textId="2468CE67" w:rsidR="00F4764C" w:rsidRPr="00C211EC" w:rsidRDefault="00C409AD" w:rsidP="00C409AD">
      <w:pPr>
        <w:spacing w:after="160" w:line="360" w:lineRule="auto"/>
      </w:pPr>
      <w:r>
        <w:t xml:space="preserve">Thank you for attending. I will claim that domiciliary care is more effective in enhancing empowerment in the case of older adults. The concept of empowerment in a health and social care context has several dimensions, which are related to each other: autonomy, the possibility to make independent decisions; self-determination, the possibility to shape </w:t>
      </w:r>
      <w:r w:rsidR="00B44231">
        <w:t>one’s</w:t>
      </w:r>
      <w:r>
        <w:t xml:space="preserve"> personal life every day; social connectedness, the possibility to sustain existing relationships and ties with surrounding communities; and psychological wellbeing, the possibility to preserve the feeling of identity and dignity. I will show that domiciliary care is more supportive </w:t>
      </w:r>
      <w:r w:rsidR="0052765F">
        <w:t>of</w:t>
      </w:r>
      <w:r>
        <w:t xml:space="preserve"> all these dimensions. First, home</w:t>
      </w:r>
      <w:r w:rsidR="0052765F">
        <w:t>-</w:t>
      </w:r>
      <w:r>
        <w:t>based care maintains the environment, habits</w:t>
      </w:r>
      <w:r w:rsidR="0052765F">
        <w:t>,</w:t>
      </w:r>
      <w:r>
        <w:t xml:space="preserve"> and social systems of the elderly - a pillar that has been found in Continuity Theory (Atchley) to be crucial in maintaining wellbeing. A study by Lyu and Fan (2024) also established positive impacts that home and community</w:t>
      </w:r>
      <w:r w:rsidR="0052765F">
        <w:t>-</w:t>
      </w:r>
      <w:r>
        <w:t>based services have on the health outcomes of older adults, especially functional independence and subjective well</w:t>
      </w:r>
      <w:r w:rsidR="0052765F">
        <w:t>-</w:t>
      </w:r>
      <w:r>
        <w:t xml:space="preserve">being - results that indicate that domiciliary care has </w:t>
      </w:r>
      <w:r w:rsidR="0052765F">
        <w:t xml:space="preserve">a </w:t>
      </w:r>
      <w:r>
        <w:t>direct impact on empowerment. Secondly, legislative structures are a strong proponent of home-based care. The Care Act 2014</w:t>
      </w:r>
      <w:r w:rsidR="0052765F">
        <w:t>,</w:t>
      </w:r>
      <w:r>
        <w:t xml:space="preserve"> by the Department of Health and Social Care (2014)</w:t>
      </w:r>
      <w:r w:rsidR="0052765F">
        <w:t>,</w:t>
      </w:r>
      <w:r>
        <w:t xml:space="preserve"> demands that local authorities encourage individual wellbeing and independence, and thus domiciliary care is one of the models that best fits in these statutory requirements. According to the Mental Capacity Act 2005 of the Department of Health (2005), the presumption of capacity and </w:t>
      </w:r>
      <w:r w:rsidR="0052765F">
        <w:t xml:space="preserve">the </w:t>
      </w:r>
      <w:r>
        <w:t>best interest of the individual should be applied in making decisions. The elderly receiving long-term care at home, as Norvilaite, Newland, and Blazeviciene (2024) discovered, were reporting much higher levels of control and personal agency than the elderly in the health care facilities, which is a positive outcome that domiciliary care enhances the feeling of control and agency in older adults as they get an opportunity to control the choices they make every day and keep their identity. Thirdly, domiciliary care provides tailored and flexible care which may be modified to individual tastes</w:t>
      </w:r>
      <w:r w:rsidR="0052765F">
        <w:t>,</w:t>
      </w:r>
      <w:r>
        <w:t xml:space="preserve"> unlike the standardised routine of the residential setting. A Hospital-at-Home model, a type of domiciliary care, found that Hospital-at-Home models were highly appreciated by patients, carers</w:t>
      </w:r>
      <w:r w:rsidR="0052765F">
        <w:t>,</w:t>
      </w:r>
      <w:r>
        <w:t xml:space="preserve"> and healthcare professionals alike</w:t>
      </w:r>
      <w:r w:rsidR="0052765F">
        <w:t>,</w:t>
      </w:r>
      <w:r>
        <w:t xml:space="preserve"> who reported preservation of dignity and personal choice to be the strengths. The results indicate that domiciliary care enhances empowerment through giving </w:t>
      </w:r>
      <w:r w:rsidR="0052765F">
        <w:t xml:space="preserve">the </w:t>
      </w:r>
      <w:r>
        <w:t>elderly the ability to keep in control of daily decisions and preserve their identity. I anticipate giving further testimonies on the entire evidence behind this stand.</w:t>
      </w:r>
    </w:p>
    <w:p w14:paraId="04379A1D" w14:textId="77777777" w:rsidR="00F4764C" w:rsidRPr="00C211EC" w:rsidRDefault="00992E5F" w:rsidP="001D3EE6">
      <w:pPr>
        <w:pStyle w:val="Heading1"/>
        <w:pBdr>
          <w:bottom w:val="none" w:sz="0" w:space="0" w:color="auto"/>
        </w:pBdr>
        <w:spacing w:line="360" w:lineRule="auto"/>
        <w:rPr>
          <w:color w:val="auto"/>
          <w:sz w:val="22"/>
          <w:szCs w:val="22"/>
        </w:rPr>
      </w:pPr>
      <w:r>
        <w:rPr>
          <w:color w:val="auto"/>
          <w:sz w:val="22"/>
          <w:szCs w:val="22"/>
        </w:rPr>
        <w:t>Step 3: Main Arguments (the core of the debate — approx. 8–10 minutes)</w:t>
      </w:r>
    </w:p>
    <w:p w14:paraId="3B68FEDD" w14:textId="77777777" w:rsidR="00F4764C" w:rsidRPr="00C211EC" w:rsidRDefault="00992E5F" w:rsidP="00C211EC">
      <w:pPr>
        <w:pStyle w:val="Heading2"/>
        <w:spacing w:line="360" w:lineRule="auto"/>
        <w:rPr>
          <w:color w:val="auto"/>
          <w:sz w:val="22"/>
          <w:szCs w:val="22"/>
        </w:rPr>
      </w:pPr>
      <w:r>
        <w:rPr>
          <w:color w:val="auto"/>
          <w:sz w:val="22"/>
          <w:szCs w:val="22"/>
        </w:rPr>
        <w:t>Argument 1: Domiciliary Care Preserves Autonomy and Self-Determination</w:t>
      </w:r>
    </w:p>
    <w:p w14:paraId="29534A19" w14:textId="389E10B3" w:rsidR="00F4764C" w:rsidRPr="001D3EE6" w:rsidRDefault="001D3EE6" w:rsidP="00C211EC">
      <w:pPr>
        <w:spacing w:after="200" w:line="360" w:lineRule="auto"/>
        <w:rPr>
          <w:b/>
          <w:bCs/>
        </w:rPr>
      </w:pPr>
      <w:r>
        <w:rPr>
          <w:b/>
          <w:bCs/>
        </w:rPr>
        <w:t>Argument 1: Key Points</w:t>
      </w:r>
    </w:p>
    <w:p w14:paraId="6A621C7F" w14:textId="63C31BE2" w:rsidR="003E2FC9" w:rsidRDefault="003E2FC9" w:rsidP="003E2FC9">
      <w:pPr>
        <w:spacing w:after="200" w:line="360" w:lineRule="auto"/>
      </w:pPr>
      <w:r>
        <w:t>Main argument: Living in their own homes allows elderly people to maintain control over many basic elements of daily activities: when to go to sleep, what to eat, who to engage in social life, etc.</w:t>
      </w:r>
      <w:r w:rsidR="0052765F">
        <w:t>,</w:t>
      </w:r>
      <w:r>
        <w:t xml:space="preserve"> in a way that institutional forms of care cannot possibly reproduce.</w:t>
      </w:r>
    </w:p>
    <w:p w14:paraId="0DB28109" w14:textId="4F119E78" w:rsidR="003E2FC9" w:rsidRDefault="003E2FC9" w:rsidP="003E2FC9">
      <w:pPr>
        <w:spacing w:after="200" w:line="360" w:lineRule="auto"/>
      </w:pPr>
      <w:r>
        <w:t>Norvilaite, Newland, and Blazeviciene (2024) provided a qualitative study of the experience of older adults who were in home-based long-term care and found that their participants repeatedly reported home-based care as a core part of their sense of agency and identity. The created themes were mainly being in charge and living on my own terms, which emphasized the perceived autonomy given by the domestic setting (Norvilaite et al., 2024).</w:t>
      </w:r>
    </w:p>
    <w:p w14:paraId="4E957460" w14:textId="381BBBEB" w:rsidR="003E2FC9" w:rsidRDefault="003E2FC9" w:rsidP="003E2FC9">
      <w:pPr>
        <w:spacing w:after="200" w:line="360" w:lineRule="auto"/>
      </w:pPr>
      <w:r>
        <w:t>According to a meta-analysis done by Lyu and Fan (2024), home- and community-based services were found to correlate with improved functional independence and subjective well-being among elderly people</w:t>
      </w:r>
      <w:r w:rsidR="0052765F">
        <w:t>,</w:t>
      </w:r>
      <w:r>
        <w:t xml:space="preserve"> </w:t>
      </w:r>
      <w:r w:rsidR="0052765F">
        <w:t xml:space="preserve">and </w:t>
      </w:r>
      <w:r>
        <w:t>the direct relationship with empowerment (Lyu and Fan, 2024).</w:t>
      </w:r>
    </w:p>
    <w:p w14:paraId="185816F8" w14:textId="14316705" w:rsidR="003E2FC9" w:rsidRDefault="003E2FC9" w:rsidP="003E2FC9">
      <w:pPr>
        <w:spacing w:after="200" w:line="360" w:lineRule="auto"/>
      </w:pPr>
      <w:r>
        <w:t>The Care Act 2014 (s. 1) is a legal obligation by the providers of care to facilitate personal well-being, which clearly includes control of daily life and involvement in work, education, training, and recreation. By nature, domiciliary care, which occurs in the domicile of the individual</w:t>
      </w:r>
      <w:r w:rsidR="0052765F">
        <w:t>,</w:t>
      </w:r>
      <w:r>
        <w:t xml:space="preserve"> offers a better location to meet these statutory obligations (Care Act, 2014).</w:t>
      </w:r>
    </w:p>
    <w:p w14:paraId="2BEDD6CC" w14:textId="4AD97A30" w:rsidR="00F4764C" w:rsidRPr="00C211EC" w:rsidRDefault="003E2FC9" w:rsidP="003E2FC9">
      <w:pPr>
        <w:spacing w:after="200" w:line="360" w:lineRule="auto"/>
      </w:pPr>
      <w:r>
        <w:t>Conversely</w:t>
      </w:r>
      <w:r w:rsidR="0052765F">
        <w:t>,</w:t>
      </w:r>
      <w:r>
        <w:t xml:space="preserve"> et al. (2024) noted that nursing home residents have to work hard to preserve autonomy in the presence of institutional structures, which implies that autonomy should be opposed by the environment instead of supported by it. The autonomy of nursing homes had to be negotiated with institutional routines on a regular basis, which proves that the environment itself provides a structural impediment to self-determination (van Loon et al., 2024). </w:t>
      </w:r>
      <w:r w:rsidR="00490B8E" w:rsidRPr="00490B8E">
        <w:t>Combined with the rest of the findings, these results can be used to show that domiciliary care empowers older adults by allowing them to keep control over everyday choices, preserve their personal identity, and live according to their personal routines and preferences, which is structurally challenging to accomplish in residential institutions.</w:t>
      </w:r>
    </w:p>
    <w:p w14:paraId="5E562AC5" w14:textId="77777777" w:rsidR="00F4764C" w:rsidRPr="00C211EC" w:rsidRDefault="00992E5F" w:rsidP="00C211EC">
      <w:pPr>
        <w:pStyle w:val="Heading2"/>
        <w:spacing w:line="360" w:lineRule="auto"/>
        <w:rPr>
          <w:color w:val="auto"/>
          <w:sz w:val="22"/>
          <w:szCs w:val="22"/>
        </w:rPr>
      </w:pPr>
      <w:r>
        <w:rPr>
          <w:color w:val="auto"/>
          <w:sz w:val="22"/>
          <w:szCs w:val="22"/>
        </w:rPr>
        <w:t>Argument 2: Domiciliary Care Upholds Mental Capacity and Decision-Making Rights</w:t>
      </w:r>
    </w:p>
    <w:p w14:paraId="2114CB0A" w14:textId="5DDF4750" w:rsidR="0052138D" w:rsidRPr="0052138D" w:rsidRDefault="0052138D" w:rsidP="00C211EC">
      <w:pPr>
        <w:spacing w:after="200" w:line="360" w:lineRule="auto"/>
        <w:rPr>
          <w:b/>
          <w:bCs/>
        </w:rPr>
      </w:pPr>
      <w:r>
        <w:rPr>
          <w:b/>
          <w:bCs/>
        </w:rPr>
        <w:t>Argument 2 – Key Points</w:t>
      </w:r>
    </w:p>
    <w:p w14:paraId="30052BD7" w14:textId="77777777" w:rsidR="005D1119" w:rsidRDefault="005D1119" w:rsidP="005D1119">
      <w:pPr>
        <w:spacing w:after="120" w:line="360" w:lineRule="auto"/>
      </w:pPr>
      <w:r>
        <w:t>Key argument: The presumption of capacity and the right to make personal decisions is contained in the Mental Capacity Act 2005. The rights are structurally operationalised better in domiciliary care settings.</w:t>
      </w:r>
    </w:p>
    <w:p w14:paraId="448809B9" w14:textId="1D2EFA69" w:rsidR="005D1119" w:rsidRDefault="005D1119" w:rsidP="005D1119">
      <w:pPr>
        <w:spacing w:after="120" w:line="360" w:lineRule="auto"/>
      </w:pPr>
      <w:r>
        <w:t xml:space="preserve">Aspinwall- Roberts and Fleming (2022) have observed that multi-agency implementation of </w:t>
      </w:r>
      <w:r w:rsidR="0052765F">
        <w:t xml:space="preserve">the </w:t>
      </w:r>
      <w:r>
        <w:t>Mental Capacity Act 2005 in England often violates the right of individuals to self-determination</w:t>
      </w:r>
      <w:r w:rsidR="0052765F">
        <w:t>,</w:t>
      </w:r>
      <w:r>
        <w:t xml:space="preserve"> especially in instances where practitioners and organisations are driven by risk management as opposed to capacity. The context of domiciliary settings is more enabling in terms of authentic capacity measurement by maintaining the individual in the familiar surroundings with bonds and relationships. [Aspinwall</w:t>
      </w:r>
      <w:r>
        <w:rPr>
          <w:rFonts w:ascii="Cambria Math" w:hAnsi="Cambria Math" w:cs="Cambria Math"/>
        </w:rPr>
        <w:t>‑</w:t>
      </w:r>
      <w:r>
        <w:t>Roberts &amp; Fleming, 2022]</w:t>
      </w:r>
    </w:p>
    <w:p w14:paraId="7F750930" w14:textId="77777777" w:rsidR="00203699" w:rsidRDefault="005D1119" w:rsidP="005D1119">
      <w:pPr>
        <w:spacing w:after="120" w:line="360" w:lineRule="auto"/>
      </w:pPr>
      <w:r>
        <w:t xml:space="preserve">The mixed methods systematic review by Stokes et al. (2025) was the first study that specifically investigated the barriers and facilitators of implementing mental capacity legislation in care homes. </w:t>
      </w:r>
      <w:r w:rsidR="00203699" w:rsidRPr="00203699">
        <w:t>They indicated that the residential settings are associated with significant structural barriers, including staff culture, time requirements, and institutional norms, which make it impossible to actually be empowered under the MCA 2005. [Stokes et al., 2025]</w:t>
      </w:r>
    </w:p>
    <w:p w14:paraId="7168201C" w14:textId="4AA6E391" w:rsidR="005D1119" w:rsidRDefault="005D1119" w:rsidP="005D1119">
      <w:pPr>
        <w:spacing w:after="120" w:line="360" w:lineRule="auto"/>
      </w:pPr>
      <w:r>
        <w:t xml:space="preserve">The Mental Capacity Act 2005 (s. 1) confirms five statutory principles, such as the fact that an individual should be presumed to have capacity unless it is proved that he or she does not, and that an individual should not be regarded as incapable of reaching a decision unless all practicable measures have been taken to help him or her. These principles are more likely to be applied in the home environment, where there is more familiarity with the setting and less pressure </w:t>
      </w:r>
      <w:r w:rsidR="0052765F">
        <w:t>from</w:t>
      </w:r>
      <w:r>
        <w:t xml:space="preserve"> the institution.</w:t>
      </w:r>
    </w:p>
    <w:p w14:paraId="47080B8E" w14:textId="77777777" w:rsidR="005D1119" w:rsidRDefault="005D1119" w:rsidP="005D1119">
      <w:pPr>
        <w:spacing w:after="120" w:line="360" w:lineRule="auto"/>
      </w:pPr>
      <w:r>
        <w:t>They established that the involvement of the elderly in shared decision-making on care transitions in the UK was often undermined when they were transferred to residential facilities, which supports the idea that even the process of transitioning to the residential facility is a great loss of power (Halamova and Locock 2025). [Halamova &amp; Locock, 2025]</w:t>
      </w:r>
    </w:p>
    <w:p w14:paraId="5FD70339" w14:textId="2C191581" w:rsidR="00F4764C" w:rsidRPr="00C211EC" w:rsidRDefault="005D1119" w:rsidP="005D1119">
      <w:pPr>
        <w:spacing w:after="120" w:line="360" w:lineRule="auto"/>
      </w:pPr>
      <w:r>
        <w:t xml:space="preserve">The authors found that people who were at risk of losing their agency and disempowered at care transitions, especially when transferring to residential care, but that those who were assisted to stay at home with domiciliary care reported higher levels of control (Zhang et al., 2025). [Zhang et al., 2025]. </w:t>
      </w:r>
      <w:r w:rsidR="00490B8E" w:rsidRPr="00490B8E">
        <w:t xml:space="preserve">All this evidence shows that domiciliary care enhances empowerment as it provides the environment in which older adults can exercise decision-making rights in a real sense, not restrict them by the institutional frameworks. One should still realize, though, that at times domiciliary care cannot be suitable </w:t>
      </w:r>
      <w:r w:rsidR="0052765F">
        <w:t>for</w:t>
      </w:r>
      <w:r w:rsidR="00490B8E" w:rsidRPr="00490B8E">
        <w:t xml:space="preserve"> people with very complex medical needs or severe forms of dementia that need ongoing specialist care - a case where well-equipped residential facilities with strong MCA execution might be required. However, domiciliary care is the most conducive environment </w:t>
      </w:r>
      <w:r w:rsidR="0052765F">
        <w:t>for</w:t>
      </w:r>
      <w:r w:rsidR="00490B8E" w:rsidRPr="00490B8E">
        <w:t xml:space="preserve"> true empowerment by the law </w:t>
      </w:r>
      <w:r w:rsidR="0052765F">
        <w:t>for</w:t>
      </w:r>
      <w:r w:rsidR="00490B8E" w:rsidRPr="00490B8E">
        <w:t xml:space="preserve"> most elderly people.</w:t>
      </w:r>
    </w:p>
    <w:p w14:paraId="5CD24CF9" w14:textId="77777777" w:rsidR="00F4764C" w:rsidRPr="00C211EC" w:rsidRDefault="00992E5F" w:rsidP="00C211EC">
      <w:pPr>
        <w:pStyle w:val="Heading2"/>
        <w:spacing w:line="360" w:lineRule="auto"/>
        <w:rPr>
          <w:color w:val="auto"/>
          <w:sz w:val="22"/>
          <w:szCs w:val="22"/>
        </w:rPr>
      </w:pPr>
      <w:r>
        <w:rPr>
          <w:color w:val="auto"/>
          <w:sz w:val="22"/>
          <w:szCs w:val="22"/>
        </w:rPr>
        <w:t>Argument 3: Domiciliary Care Maintains Social Connectedness and Reduces Isolation</w:t>
      </w:r>
    </w:p>
    <w:p w14:paraId="2C395879" w14:textId="4AB34E00" w:rsidR="0052138D" w:rsidRPr="0052138D" w:rsidRDefault="0052138D" w:rsidP="00C211EC">
      <w:pPr>
        <w:spacing w:after="200" w:line="360" w:lineRule="auto"/>
        <w:rPr>
          <w:b/>
          <w:bCs/>
        </w:rPr>
      </w:pPr>
      <w:r>
        <w:rPr>
          <w:b/>
          <w:bCs/>
        </w:rPr>
        <w:t>Argument 3 – Key Points</w:t>
      </w:r>
    </w:p>
    <w:p w14:paraId="228F1F16" w14:textId="746CC20F" w:rsidR="001877D1" w:rsidRDefault="001877D1" w:rsidP="001877D1">
      <w:pPr>
        <w:spacing w:after="200" w:line="360" w:lineRule="auto"/>
      </w:pPr>
      <w:r>
        <w:t>Main argument: Social connectedness is a pr</w:t>
      </w:r>
      <w:r w:rsidR="0052765F">
        <w:t>imary</w:t>
      </w:r>
      <w:r>
        <w:t xml:space="preserve"> component of empowerment and wellbeing; domiciliary care enables older adults to maintain existing relationships and networks within the community, family</w:t>
      </w:r>
      <w:r w:rsidR="0052765F">
        <w:t>,</w:t>
      </w:r>
      <w:r>
        <w:t xml:space="preserve"> and neighbourhood relationships</w:t>
      </w:r>
      <w:r w:rsidR="0052765F">
        <w:t>,</w:t>
      </w:r>
      <w:r>
        <w:t xml:space="preserve"> which would otherwise be broken by placement in residential care.</w:t>
      </w:r>
    </w:p>
    <w:p w14:paraId="35AEDFE6" w14:textId="595BD1DA" w:rsidR="00203699" w:rsidRDefault="00203699" w:rsidP="001877D1">
      <w:pPr>
        <w:spacing w:after="200" w:line="360" w:lineRule="auto"/>
      </w:pPr>
      <w:r w:rsidRPr="00203699">
        <w:t>A meta-analysis systematic review proved that older adults in care settings had significantly higher levels of chronic loneliness and social isolation than those in community settings, thereby confirming the clear detrimental effects of these factors on their mental health (Hajek et al., 2024).</w:t>
      </w:r>
    </w:p>
    <w:p w14:paraId="6335B158" w14:textId="21CFA30D" w:rsidR="001877D1" w:rsidRDefault="001877D1" w:rsidP="001877D1">
      <w:pPr>
        <w:spacing w:after="200" w:line="360" w:lineRule="auto"/>
      </w:pPr>
      <w:r>
        <w:t>In a qualitative meta-synthesis of the experience of loneliness in older adults in nursing homes, Zhang et al. (2023) found that the loss of familiar environments and relationships, as well as identity, are the most common risk factors of loneliness, which are directly connected to the residential care setting itself (Zhang et al., 2023).</w:t>
      </w:r>
    </w:p>
    <w:p w14:paraId="6B1C3A3A" w14:textId="0B5DAEF1" w:rsidR="001877D1" w:rsidRDefault="001877D1" w:rsidP="001877D1">
      <w:pPr>
        <w:spacing w:after="200" w:line="360" w:lineRule="auto"/>
      </w:pPr>
      <w:r>
        <w:t>Contrarily, domiciliary care allows the elderly to be integrated into their community and thus access the local services, maintain friendships</w:t>
      </w:r>
      <w:r w:rsidR="0052765F">
        <w:t>,</w:t>
      </w:r>
      <w:r>
        <w:t xml:space="preserve"> and participate in familiar activities; this is directly related to the wellbeing principle of the Care Act 2014, which includes social and economic wellbeing and personal relationships.</w:t>
      </w:r>
    </w:p>
    <w:p w14:paraId="5F6B2F7C" w14:textId="77777777" w:rsidR="001877D1" w:rsidRDefault="001877D1" w:rsidP="001877D1">
      <w:pPr>
        <w:spacing w:after="200" w:line="360" w:lineRule="auto"/>
      </w:pPr>
      <w:r>
        <w:t>According to Beogo et al. (2023), despite the use of technological interventions, including ICT, the mitigation of isolation in long-term care facilities was still a problem, which implied that the institutional environment is a structural factor of social disconnection that cannot be completely addressed by technology (Beogo et al., 2023).</w:t>
      </w:r>
    </w:p>
    <w:p w14:paraId="5B63915D" w14:textId="35FD8378" w:rsidR="00F4764C" w:rsidRPr="00C211EC" w:rsidRDefault="001877D1" w:rsidP="001877D1">
      <w:pPr>
        <w:spacing w:after="200" w:line="360" w:lineRule="auto"/>
      </w:pPr>
      <w:r>
        <w:t xml:space="preserve">A systematic review of reviews found that, although there were loneliness interventions in older adults </w:t>
      </w:r>
      <w:r w:rsidR="0052765F">
        <w:t>that</w:t>
      </w:r>
      <w:r>
        <w:t xml:space="preserve"> showed promise, those </w:t>
      </w:r>
      <w:r w:rsidR="0052765F">
        <w:t>that</w:t>
      </w:r>
      <w:r>
        <w:t xml:space="preserve"> maintained or created community ties, which, again, were more readily available in domiciliary environments, proved to be the most effective (Braun et al., 2024). </w:t>
      </w:r>
      <w:r w:rsidR="005608FD" w:rsidRPr="005608FD">
        <w:t>These results are validated by the fact that domiciliary care facilitates empowerment due to social connectedness through maintenance of organic relationships and community networks that older adults rely upon, their sense of identity, belonging, and agency</w:t>
      </w:r>
      <w:r w:rsidR="0052765F">
        <w:t>,</w:t>
      </w:r>
      <w:r w:rsidR="005608FD" w:rsidRPr="005608FD">
        <w:t xml:space="preserve"> which institutional care is structurally ill-equipped to mimic.</w:t>
      </w:r>
    </w:p>
    <w:p w14:paraId="15CC7F18" w14:textId="77777777" w:rsidR="00F4764C" w:rsidRPr="00C211EC" w:rsidRDefault="00992E5F" w:rsidP="00C211EC">
      <w:pPr>
        <w:pStyle w:val="Heading2"/>
        <w:spacing w:line="360" w:lineRule="auto"/>
        <w:rPr>
          <w:color w:val="auto"/>
          <w:sz w:val="22"/>
          <w:szCs w:val="22"/>
        </w:rPr>
      </w:pPr>
      <w:r>
        <w:rPr>
          <w:color w:val="auto"/>
          <w:sz w:val="22"/>
          <w:szCs w:val="22"/>
        </w:rPr>
        <w:t>Argument 4: Domiciliary Care Supports Personalised, Evidence-Based Care</w:t>
      </w:r>
    </w:p>
    <w:p w14:paraId="6C06482C" w14:textId="6AB32F32" w:rsidR="0052138D" w:rsidRPr="0052138D" w:rsidRDefault="0052138D" w:rsidP="00C211EC">
      <w:pPr>
        <w:spacing w:after="200" w:line="360" w:lineRule="auto"/>
        <w:rPr>
          <w:b/>
          <w:bCs/>
        </w:rPr>
      </w:pPr>
      <w:r>
        <w:rPr>
          <w:b/>
          <w:bCs/>
        </w:rPr>
        <w:t>Argument 4 – Key Points</w:t>
      </w:r>
    </w:p>
    <w:p w14:paraId="0A56944D" w14:textId="59A9591A" w:rsidR="00027240" w:rsidRDefault="00027240" w:rsidP="00027240">
      <w:pPr>
        <w:spacing w:after="200" w:line="360" w:lineRule="auto"/>
      </w:pPr>
      <w:r>
        <w:t>Central argument: The hypothesis of conditioning empowerment based on individualised care is based on the view that domiciliary care, delivered in the surroundings of a person</w:t>
      </w:r>
      <w:r w:rsidR="0052765F">
        <w:t>,</w:t>
      </w:r>
      <w:r>
        <w:t xml:space="preserve"> is more personalised and can react more flexibly to bespoke needs. </w:t>
      </w:r>
    </w:p>
    <w:p w14:paraId="041E0916" w14:textId="22746FB0" w:rsidR="00027240" w:rsidRDefault="00027240" w:rsidP="00027240">
      <w:pPr>
        <w:spacing w:after="200" w:line="360" w:lineRule="auto"/>
      </w:pPr>
      <w:r>
        <w:t xml:space="preserve">In one of the studies by Mobasseri et al. (2024), the authors performed a qualitative study to examine the views of older adults, their families, paid caregivers, and nurses on home care. In all the cohorts, the identified personalisation and flexibility were found to be the major preferences of home care, which was always supported as the domiciliary service was more adaptable to the changing preferences and needs of the individual. [Mobasseri et al., 2024]  </w:t>
      </w:r>
    </w:p>
    <w:p w14:paraId="7094EF28" w14:textId="1D4496BB" w:rsidR="00027240" w:rsidRDefault="00027240" w:rsidP="00027240">
      <w:pPr>
        <w:spacing w:after="200" w:line="360" w:lineRule="auto"/>
      </w:pPr>
      <w:r>
        <w:t xml:space="preserve">Walsh et al. (2025) used longitudinal data on in-home assessments to track the needs of care and behavioural change in people living with dementia. The results show that the in-home care allows real-time and ongoing adaptation to the needs of an individual - a degree of personalization that is structurally difficult to reach in a residential environment. [Walsh et al., 2025]  </w:t>
      </w:r>
    </w:p>
    <w:p w14:paraId="6CDB2E67" w14:textId="0B5A4FCE" w:rsidR="00027240" w:rsidRDefault="00027240" w:rsidP="00027240">
      <w:pPr>
        <w:spacing w:after="200" w:line="360" w:lineRule="auto"/>
      </w:pPr>
      <w:r>
        <w:t xml:space="preserve">A systematic review of Hospital at Home care models by Wong et al. (2025) demonstrated that patients, carers, and healthcare professionals equally perceived home-based models as better in the preservation of dignity, autonomy, and personal choice as the key dimensions of empowerment. [Wong et al., 2025]  </w:t>
      </w:r>
    </w:p>
    <w:p w14:paraId="47C978E4" w14:textId="779D6DB3" w:rsidR="00027240" w:rsidRDefault="00027240" w:rsidP="00027240">
      <w:pPr>
        <w:spacing w:after="200" w:line="360" w:lineRule="auto"/>
      </w:pPr>
      <w:r>
        <w:t xml:space="preserve">In a systematic review of home-based end-of-life care provided to individuals with dementia, Yin et al. (2025) noted that these models were always linked with more positive person-centred outcomes and a higher level of safeguarding the wishes and identity of an individual. [Yin et al., 2025]  </w:t>
      </w:r>
    </w:p>
    <w:p w14:paraId="6F8054C5" w14:textId="6A1C4AB3" w:rsidR="00F4764C" w:rsidRPr="00C211EC" w:rsidRDefault="00027240" w:rsidP="00027240">
      <w:pPr>
        <w:spacing w:after="200" w:line="360" w:lineRule="auto"/>
      </w:pPr>
      <w:r>
        <w:t xml:space="preserve">Frost et al. (2024) analysed some of the new health and social care models in two parts of the UK and found that the new domiciliary methods provided more integrated and person-centred care as compared to the traditional residential care. [Frost et al., 2024]. </w:t>
      </w:r>
      <w:r w:rsidR="00412869" w:rsidRPr="00412869">
        <w:t xml:space="preserve">Overall, the data on these studies all points in the direction that domiciliary care fosters empowerment through providing the truly person-centred, flexible model of care that </w:t>
      </w:r>
      <w:r w:rsidR="00B44231" w:rsidRPr="00412869">
        <w:t>considers individual preferences, varies with the changing needs,</w:t>
      </w:r>
      <w:r w:rsidR="00412869" w:rsidRPr="00412869">
        <w:t xml:space="preserve"> and respects the dignity and identity of older adults - which again correlates directly with the Person-Centred Care framework by Kitwood and the principles of wellbeing of the Care Act 2014.</w:t>
      </w:r>
    </w:p>
    <w:p w14:paraId="29410B45" w14:textId="77777777" w:rsidR="00F4764C" w:rsidRPr="00C211EC" w:rsidRDefault="00992E5F" w:rsidP="00C211EC">
      <w:pPr>
        <w:pStyle w:val="Heading2"/>
        <w:spacing w:line="360" w:lineRule="auto"/>
        <w:rPr>
          <w:color w:val="auto"/>
          <w:sz w:val="22"/>
          <w:szCs w:val="22"/>
        </w:rPr>
      </w:pPr>
      <w:r>
        <w:rPr>
          <w:color w:val="auto"/>
          <w:sz w:val="22"/>
          <w:szCs w:val="22"/>
        </w:rPr>
        <w:t>Argument 5: Technological Innovation Further Strengthens Domiciliary Care</w:t>
      </w:r>
    </w:p>
    <w:p w14:paraId="1A9E579D" w14:textId="43E16652" w:rsidR="0052138D" w:rsidRPr="0052138D" w:rsidRDefault="0052138D" w:rsidP="00C211EC">
      <w:pPr>
        <w:spacing w:after="200" w:line="360" w:lineRule="auto"/>
        <w:rPr>
          <w:b/>
          <w:bCs/>
        </w:rPr>
      </w:pPr>
      <w:r>
        <w:rPr>
          <w:b/>
          <w:bCs/>
        </w:rPr>
        <w:t>Argument 5 – Key Points</w:t>
      </w:r>
    </w:p>
    <w:p w14:paraId="43065741" w14:textId="50CC115D" w:rsidR="00CB55BE" w:rsidRDefault="00CB55BE" w:rsidP="00CB55BE">
      <w:pPr>
        <w:spacing w:after="160" w:line="360" w:lineRule="auto"/>
      </w:pPr>
      <w:r>
        <w:t>Main argument: Due to the developments in assistive technology and smart home systems, domiciliary care is now in a position to safely deliver more and more complex care needs, eliminating the rationale that high-dependency individuals need residential care.</w:t>
      </w:r>
    </w:p>
    <w:p w14:paraId="058A8B74" w14:textId="23644946" w:rsidR="00CB55BE" w:rsidRDefault="000A2F94" w:rsidP="00CB55BE">
      <w:pPr>
        <w:spacing w:after="160" w:line="360" w:lineRule="auto"/>
      </w:pPr>
      <w:r w:rsidRPr="000A2F94">
        <w:t>A systematic review on wearable technology, smart home</w:t>
      </w:r>
      <w:r w:rsidR="00B831CF">
        <w:t>,</w:t>
      </w:r>
      <w:r w:rsidRPr="000A2F94">
        <w:t xml:space="preserve"> and mobile applications in dementia care by Cornelius et al. (2025) indicated strong evidence of the use of these technologies to support safe and person-centred care at home</w:t>
      </w:r>
      <w:r w:rsidR="00B831CF">
        <w:t>,</w:t>
      </w:r>
      <w:r w:rsidRPr="000A2F94">
        <w:t xml:space="preserve"> even in patients who experience a significant cognitive impairment.</w:t>
      </w:r>
      <w:r w:rsidR="00CB55BE">
        <w:t xml:space="preserve"> [Cornelius et al., 2025]</w:t>
      </w:r>
    </w:p>
    <w:p w14:paraId="420F54A9" w14:textId="430529A7" w:rsidR="00CB55BE" w:rsidRDefault="00CB55BE" w:rsidP="00CB55BE">
      <w:pPr>
        <w:spacing w:after="160" w:line="360" w:lineRule="auto"/>
      </w:pPr>
      <w:r>
        <w:t>Walsh et al. (2025) have shown that longitudinal in-home assessment data w</w:t>
      </w:r>
      <w:r w:rsidR="0052765F">
        <w:t>ere</w:t>
      </w:r>
      <w:r>
        <w:t xml:space="preserve"> able to effectively dictate and respond to changes in care requirements over time, </w:t>
      </w:r>
      <w:r w:rsidR="0052765F">
        <w:t xml:space="preserve">resulting in </w:t>
      </w:r>
      <w:r>
        <w:t xml:space="preserve">responsive and proactive domiciliary care that led to </w:t>
      </w:r>
      <w:r w:rsidR="0052765F">
        <w:t>fewer</w:t>
      </w:r>
      <w:r>
        <w:t xml:space="preserve"> residential admission</w:t>
      </w:r>
      <w:r w:rsidR="0052765F">
        <w:t>s</w:t>
      </w:r>
      <w:r>
        <w:t>. [Walsh et al., 2025]</w:t>
      </w:r>
    </w:p>
    <w:p w14:paraId="0A2E7931" w14:textId="173E1054" w:rsidR="00F4764C" w:rsidRPr="00C211EC" w:rsidRDefault="00CB55BE" w:rsidP="00CB55BE">
      <w:pPr>
        <w:spacing w:after="160" w:line="360" w:lineRule="auto"/>
      </w:pPr>
      <w:r>
        <w:t>Integrated care systems were established as mandated by the Health and Care Act 2022 to come up with innovative models that were more community</w:t>
      </w:r>
      <w:r w:rsidR="0052765F">
        <w:t>-</w:t>
      </w:r>
      <w:r>
        <w:t xml:space="preserve">based. The technological enrichment of domiciliary care is exactly something that was the aim of such legislation. </w:t>
      </w:r>
      <w:r w:rsidR="0048730E" w:rsidRPr="0048730E">
        <w:t>The NHS Hospital-at-Home services and the Integrated Care Systems community models can be discussed as the real-life models of how assistive technology and smart home systems can be used to provide safe and person-centred care even to people with complicated needs. All of this adds up to show that domiciliary care encourages empowerment by leveraging innovation to broaden the care and care complexity that could be provided safely and effectively at home, and the perceived safety benefit of residential care is becoming less and less significant.</w:t>
      </w:r>
    </w:p>
    <w:p w14:paraId="7F40DC0F" w14:textId="46E29146" w:rsidR="00F4764C" w:rsidRPr="00C211EC" w:rsidRDefault="00992E5F" w:rsidP="0052138D">
      <w:pPr>
        <w:pStyle w:val="Heading1"/>
        <w:pBdr>
          <w:bottom w:val="none" w:sz="0" w:space="0" w:color="auto"/>
        </w:pBdr>
        <w:spacing w:line="360" w:lineRule="auto"/>
        <w:rPr>
          <w:color w:val="auto"/>
          <w:sz w:val="22"/>
          <w:szCs w:val="22"/>
        </w:rPr>
      </w:pPr>
      <w:r>
        <w:rPr>
          <w:color w:val="auto"/>
          <w:sz w:val="22"/>
          <w:szCs w:val="22"/>
        </w:rPr>
        <w:t>Step 4: Rebuttals — Anticipated Counter-Arguments and</w:t>
      </w:r>
      <w:r>
        <w:rPr>
          <w:color w:val="auto"/>
          <w:sz w:val="22"/>
          <w:szCs w:val="22"/>
        </w:rPr>
        <w:t xml:space="preserve"> Responses</w:t>
      </w:r>
    </w:p>
    <w:p w14:paraId="76471731" w14:textId="053ACB83" w:rsidR="00F4764C" w:rsidRPr="00C211EC" w:rsidRDefault="00992E5F" w:rsidP="00C211EC">
      <w:pPr>
        <w:spacing w:after="160" w:line="360" w:lineRule="auto"/>
      </w:pPr>
      <w:r>
        <w:t>.</w:t>
      </w:r>
    </w:p>
    <w:tbl>
      <w:tblPr>
        <w:tblStyle w:val="TableGrid"/>
        <w:tblW w:w="9026" w:type="dxa"/>
        <w:tblLook w:val="0000" w:firstRow="0" w:lastRow="0" w:firstColumn="0" w:lastColumn="0" w:noHBand="0" w:noVBand="0"/>
      </w:tblPr>
      <w:tblGrid>
        <w:gridCol w:w="4000"/>
        <w:gridCol w:w="5026"/>
      </w:tblGrid>
      <w:tr w:rsidR="00C211EC" w:rsidRPr="00C211EC" w14:paraId="26B881C0" w14:textId="77777777" w:rsidTr="00177D10">
        <w:tc>
          <w:tcPr>
            <w:tcW w:w="4000" w:type="dxa"/>
          </w:tcPr>
          <w:p w14:paraId="7A77F1A8" w14:textId="77777777" w:rsidR="00F4764C" w:rsidRPr="00C211EC" w:rsidRDefault="00992E5F" w:rsidP="00C211EC">
            <w:pPr>
              <w:spacing w:line="360" w:lineRule="auto"/>
            </w:pPr>
            <w:r>
              <w:rPr>
                <w:b/>
                <w:bCs/>
              </w:rPr>
              <w:t>Likely Counter-Argument (Residential Care)</w:t>
            </w:r>
          </w:p>
        </w:tc>
        <w:tc>
          <w:tcPr>
            <w:tcW w:w="5026" w:type="dxa"/>
          </w:tcPr>
          <w:p w14:paraId="667EBA28" w14:textId="77777777" w:rsidR="00F4764C" w:rsidRPr="00C211EC" w:rsidRDefault="00992E5F" w:rsidP="00C211EC">
            <w:pPr>
              <w:spacing w:line="360" w:lineRule="auto"/>
            </w:pPr>
            <w:r>
              <w:rPr>
                <w:b/>
                <w:bCs/>
              </w:rPr>
              <w:t>Your Evidence-Based Rebuttal</w:t>
            </w:r>
          </w:p>
        </w:tc>
      </w:tr>
      <w:tr w:rsidR="00C211EC" w:rsidRPr="00C211EC" w14:paraId="503046B8" w14:textId="77777777" w:rsidTr="00177D10">
        <w:tc>
          <w:tcPr>
            <w:tcW w:w="4000" w:type="dxa"/>
          </w:tcPr>
          <w:p w14:paraId="0F5667D6" w14:textId="1D32EB9A" w:rsidR="00F4764C" w:rsidRPr="00C211EC" w:rsidRDefault="002C24FD" w:rsidP="00C211EC">
            <w:pPr>
              <w:spacing w:after="80" w:line="360" w:lineRule="auto"/>
            </w:pPr>
            <w:r w:rsidRPr="002C24FD">
              <w:rPr>
                <w:b/>
                <w:bCs/>
              </w:rPr>
              <w:t xml:space="preserve">Residential care provides 24/7 professional assistance and is safe </w:t>
            </w:r>
            <w:r w:rsidR="00B831CF">
              <w:rPr>
                <w:b/>
                <w:bCs/>
              </w:rPr>
              <w:t>for</w:t>
            </w:r>
            <w:r w:rsidRPr="002C24FD">
              <w:rPr>
                <w:b/>
                <w:bCs/>
              </w:rPr>
              <w:t xml:space="preserve"> high-dependency people.</w:t>
            </w:r>
          </w:p>
        </w:tc>
        <w:tc>
          <w:tcPr>
            <w:tcW w:w="5026" w:type="dxa"/>
          </w:tcPr>
          <w:p w14:paraId="00DA425B" w14:textId="2627C56F" w:rsidR="00F4764C" w:rsidRPr="00C211EC" w:rsidRDefault="008951BA" w:rsidP="00C211EC">
            <w:pPr>
              <w:spacing w:after="80" w:line="360" w:lineRule="auto"/>
            </w:pPr>
            <w:r>
              <w:t>Accept the fact, re-frame it: Cornelius et al. (2025) show that now technology — smart sensors, wearables, remote monitoring, etc.</w:t>
            </w:r>
            <w:r w:rsidR="0052765F">
              <w:t>,</w:t>
            </w:r>
            <w:r>
              <w:t xml:space="preserve"> can ensure the same amount of safety in domiciliary premises. </w:t>
            </w:r>
            <w:r w:rsidR="000A2F94" w:rsidRPr="000A2F94">
              <w:t xml:space="preserve">As Walsh et al. (2025) show, the data </w:t>
            </w:r>
            <w:r w:rsidR="00B831CF">
              <w:t>from</w:t>
            </w:r>
            <w:r w:rsidR="000A2F94" w:rsidRPr="000A2F94">
              <w:t xml:space="preserve"> in-home assessment</w:t>
            </w:r>
            <w:r w:rsidR="00B831CF">
              <w:t>s</w:t>
            </w:r>
            <w:r w:rsidR="000A2F94" w:rsidRPr="000A2F94">
              <w:t xml:space="preserve"> can be received longitudinally, and it can be proactively used to identify and mitigate the needs that become worse. Mutual dependence does not exist between safety and empowerment in the case of domiciliary care.</w:t>
            </w:r>
          </w:p>
        </w:tc>
      </w:tr>
      <w:tr w:rsidR="00C211EC" w:rsidRPr="00C211EC" w14:paraId="449F97ED" w14:textId="77777777" w:rsidTr="00177D10">
        <w:tc>
          <w:tcPr>
            <w:tcW w:w="4000" w:type="dxa"/>
          </w:tcPr>
          <w:p w14:paraId="6715DA62" w14:textId="3E154AD0" w:rsidR="00F4764C" w:rsidRPr="00C211EC" w:rsidRDefault="002C24FD" w:rsidP="00C211EC">
            <w:pPr>
              <w:spacing w:after="80" w:line="360" w:lineRule="auto"/>
            </w:pPr>
            <w:r w:rsidRPr="002C24FD">
              <w:rPr>
                <w:b/>
                <w:bCs/>
              </w:rPr>
              <w:t>The residential care offers social interactions, activities</w:t>
            </w:r>
            <w:r w:rsidR="00B831CF">
              <w:rPr>
                <w:b/>
                <w:bCs/>
              </w:rPr>
              <w:t>,</w:t>
            </w:r>
            <w:r w:rsidRPr="002C24FD">
              <w:rPr>
                <w:b/>
                <w:bCs/>
              </w:rPr>
              <w:t xml:space="preserve"> and peer support - lessening loneliness.</w:t>
            </w:r>
          </w:p>
        </w:tc>
        <w:tc>
          <w:tcPr>
            <w:tcW w:w="5026" w:type="dxa"/>
          </w:tcPr>
          <w:p w14:paraId="4C67C93A" w14:textId="612CDE52" w:rsidR="00F4764C" w:rsidRPr="00C211EC" w:rsidRDefault="008951BA" w:rsidP="00C211EC">
            <w:pPr>
              <w:spacing w:after="80" w:line="360" w:lineRule="auto"/>
            </w:pPr>
            <w:r>
              <w:t>This is a strong argument</w:t>
            </w:r>
            <w:r w:rsidR="0052765F">
              <w:t>,</w:t>
            </w:r>
            <w:r>
              <w:t xml:space="preserve"> yet the circumstances depict that the opposite usually happens. Loss of identity and familiar relationships were factors that contributed to loneliness that was endemic in nursing homes (Zhang et al., 2023). Hajek et al. (2024) reported </w:t>
            </w:r>
            <w:r w:rsidR="0052765F">
              <w:t xml:space="preserve">a </w:t>
            </w:r>
            <w:r>
              <w:t>much higher prevalence of chronic loneliness in the care facilities compared to the community-based older adults. Organic social networks could not be substituted by manufactured social activities.</w:t>
            </w:r>
          </w:p>
        </w:tc>
      </w:tr>
      <w:tr w:rsidR="00C211EC" w:rsidRPr="00C211EC" w14:paraId="3FA998D9" w14:textId="77777777" w:rsidTr="00177D10">
        <w:tc>
          <w:tcPr>
            <w:tcW w:w="4000" w:type="dxa"/>
          </w:tcPr>
          <w:p w14:paraId="3994417B" w14:textId="2ACAB883" w:rsidR="00F4764C" w:rsidRPr="00C211EC" w:rsidRDefault="002C24FD" w:rsidP="00C211EC">
            <w:pPr>
              <w:spacing w:after="80" w:line="360" w:lineRule="auto"/>
            </w:pPr>
            <w:r w:rsidRPr="002C24FD">
              <w:rPr>
                <w:b/>
                <w:bCs/>
              </w:rPr>
              <w:t xml:space="preserve">The residential care promotes autonomy </w:t>
            </w:r>
            <w:r w:rsidR="00B831CF">
              <w:rPr>
                <w:b/>
                <w:bCs/>
              </w:rPr>
              <w:t>through</w:t>
            </w:r>
            <w:r w:rsidRPr="002C24FD">
              <w:rPr>
                <w:b/>
                <w:bCs/>
              </w:rPr>
              <w:t xml:space="preserve"> resident choice and person-centred care planning.</w:t>
            </w:r>
          </w:p>
        </w:tc>
        <w:tc>
          <w:tcPr>
            <w:tcW w:w="5026" w:type="dxa"/>
          </w:tcPr>
          <w:p w14:paraId="07A0D21F" w14:textId="1159C8A8" w:rsidR="00F4764C" w:rsidRPr="00C211EC" w:rsidRDefault="00657018" w:rsidP="00C211EC">
            <w:pPr>
              <w:spacing w:after="80" w:line="360" w:lineRule="auto"/>
            </w:pPr>
            <w:r>
              <w:t>In an integrative review, Moilanen, Suhonen</w:t>
            </w:r>
            <w:r w:rsidR="0052765F">
              <w:t>,</w:t>
            </w:r>
            <w:r>
              <w:t xml:space="preserve"> and Kangasniemi (2022) discovered that institutional configurations typically define variability in nursing support of autonomy in residential care. As Van Loon et al. (2024) discovered, residents have to actively fight systemic constraints by working to remain autonomous. This is not empowerment but resistance.</w:t>
            </w:r>
          </w:p>
        </w:tc>
      </w:tr>
      <w:tr w:rsidR="00C211EC" w:rsidRPr="00C211EC" w14:paraId="660EB686" w14:textId="77777777" w:rsidTr="00177D10">
        <w:tc>
          <w:tcPr>
            <w:tcW w:w="4000" w:type="dxa"/>
          </w:tcPr>
          <w:p w14:paraId="68598F67" w14:textId="372A767D" w:rsidR="00F4764C" w:rsidRPr="00C211EC" w:rsidRDefault="002C24FD" w:rsidP="00C211EC">
            <w:pPr>
              <w:spacing w:after="80" w:line="360" w:lineRule="auto"/>
            </w:pPr>
            <w:r w:rsidRPr="002C24FD">
              <w:rPr>
                <w:b/>
                <w:bCs/>
              </w:rPr>
              <w:t>The quality of care may be affected in domiciliary settings as family carers are usually overworked.</w:t>
            </w:r>
          </w:p>
        </w:tc>
        <w:tc>
          <w:tcPr>
            <w:tcW w:w="5026" w:type="dxa"/>
          </w:tcPr>
          <w:p w14:paraId="4EDF42B3" w14:textId="3136C258" w:rsidR="00F4764C" w:rsidRPr="00C211EC" w:rsidRDefault="00657018" w:rsidP="00C211EC">
            <w:pPr>
              <w:spacing w:after="80" w:line="360" w:lineRule="auto"/>
            </w:pPr>
            <w:r>
              <w:t>Mobasseri et al. (2024) do not claim carer burden is a non-existent issue, yet they discovered that with sufficient professional support, family carers and paid home care workers provide mutual high-quality personalised care. In their study, Healey, Hignett</w:t>
            </w:r>
            <w:r w:rsidR="0052765F">
              <w:t>,</w:t>
            </w:r>
            <w:r>
              <w:t xml:space="preserve"> and Gyi (2024) studied the role of home care workers through the prism of human factors and found that systemic changes would more favourably assist in home care provision. This can be solved by superiorly resourced domiciliary care, rather than residential placement.</w:t>
            </w:r>
          </w:p>
        </w:tc>
      </w:tr>
      <w:tr w:rsidR="00C211EC" w:rsidRPr="00C211EC" w14:paraId="691B6850" w14:textId="77777777" w:rsidTr="00177D10">
        <w:tc>
          <w:tcPr>
            <w:tcW w:w="4000" w:type="dxa"/>
          </w:tcPr>
          <w:p w14:paraId="5D7D294A" w14:textId="487CF340" w:rsidR="00F4764C" w:rsidRPr="00C211EC" w:rsidRDefault="002C24FD" w:rsidP="00C211EC">
            <w:pPr>
              <w:spacing w:after="80" w:line="360" w:lineRule="auto"/>
            </w:pPr>
            <w:r w:rsidRPr="002C24FD">
              <w:rPr>
                <w:b/>
                <w:bCs/>
              </w:rPr>
              <w:t>Residential care also offers specialist environments that domiciliary care is unable to match in the case of individuals with dementia.</w:t>
            </w:r>
          </w:p>
        </w:tc>
        <w:tc>
          <w:tcPr>
            <w:tcW w:w="5026" w:type="dxa"/>
          </w:tcPr>
          <w:p w14:paraId="25A5EA54" w14:textId="1CCA7546" w:rsidR="00F4764C" w:rsidRPr="00C211EC" w:rsidRDefault="00A76240" w:rsidP="00C211EC">
            <w:pPr>
              <w:spacing w:after="80" w:line="360" w:lineRule="auto"/>
            </w:pPr>
            <w:r>
              <w:t>Yin et al. (2025) discovered that home-based end-of-life care among individuals with dementia had always maintained person-centred outcomes and personal desires compared to residential</w:t>
            </w:r>
            <w:r w:rsidR="0052765F">
              <w:t xml:space="preserve"> care</w:t>
            </w:r>
            <w:r>
              <w:t>. Walsh et al. (2025) show that in-home longitudinal assessment allows providing people with dementia with highly responsive care. According to Stokes et al. (2025), even mental capacity legislation is not perfectly implemented in care homes. Distress among dementia patients can indeed be alleviated by familiar home settings.</w:t>
            </w:r>
          </w:p>
        </w:tc>
      </w:tr>
      <w:tr w:rsidR="00177D10" w:rsidRPr="00C211EC" w14:paraId="201C9436" w14:textId="77777777" w:rsidTr="00177D10">
        <w:tc>
          <w:tcPr>
            <w:tcW w:w="4000" w:type="dxa"/>
          </w:tcPr>
          <w:p w14:paraId="5B7DB00F" w14:textId="55F4F33B" w:rsidR="00F4764C" w:rsidRPr="00C211EC" w:rsidRDefault="002C24FD" w:rsidP="00C211EC">
            <w:pPr>
              <w:spacing w:after="80" w:line="360" w:lineRule="auto"/>
            </w:pPr>
            <w:r w:rsidRPr="002C24FD">
              <w:rPr>
                <w:b/>
                <w:bCs/>
              </w:rPr>
              <w:t>Multiple workers may render inconsistent care that is fragmented due to domiciliary care.</w:t>
            </w:r>
          </w:p>
        </w:tc>
        <w:tc>
          <w:tcPr>
            <w:tcW w:w="5026" w:type="dxa"/>
          </w:tcPr>
          <w:p w14:paraId="7FD817F8" w14:textId="0379FF97" w:rsidR="00F4764C" w:rsidRPr="00C211EC" w:rsidRDefault="00382B9C" w:rsidP="00C211EC">
            <w:pPr>
              <w:spacing w:after="80" w:line="360" w:lineRule="auto"/>
            </w:pPr>
            <w:r>
              <w:t>A valid concern is that poorly resourced systems cause a poor-quality experience for clients and their families; this is more of a result of policy and commissioning failures rather than proving that domiciliary care as a whole is inadequate. Aujla et al</w:t>
            </w:r>
            <w:r w:rsidR="0052765F">
              <w:t>. (</w:t>
            </w:r>
            <w:r>
              <w:t>2023 identified that both England and Scotland have systemic barriers in the provision of older people</w:t>
            </w:r>
            <w:r w:rsidR="0052765F">
              <w:t>;</w:t>
            </w:r>
            <w:r>
              <w:t xml:space="preserve"> these barriers also apply to residents in residential homes. </w:t>
            </w:r>
            <w:r w:rsidR="000A2F94" w:rsidRPr="000A2F94">
              <w:t>The Health and Care Act 2022 requires the creation of integrated care systems to specifically cover the issue of the fragmentation of care.</w:t>
            </w:r>
            <w:r>
              <w:t xml:space="preserve"> Together, these factors make it clear that when appropriate commissioning models are implemented</w:t>
            </w:r>
            <w:r w:rsidR="0052765F">
              <w:t>,</w:t>
            </w:r>
            <w:r>
              <w:t xml:space="preserve"> they can produce consistency in the provision of home-based services.</w:t>
            </w:r>
          </w:p>
        </w:tc>
      </w:tr>
    </w:tbl>
    <w:p w14:paraId="036E8CB3" w14:textId="77777777" w:rsidR="00F4764C" w:rsidRPr="00C211EC" w:rsidRDefault="00F4764C" w:rsidP="00C211EC">
      <w:pPr>
        <w:spacing w:after="200" w:line="360" w:lineRule="auto"/>
      </w:pPr>
    </w:p>
    <w:p w14:paraId="19626238" w14:textId="26F3D52E" w:rsidR="00F4764C" w:rsidRPr="00C211EC" w:rsidRDefault="00992E5F" w:rsidP="00177D10">
      <w:pPr>
        <w:pStyle w:val="Heading1"/>
        <w:pBdr>
          <w:bottom w:val="none" w:sz="0" w:space="0" w:color="auto"/>
        </w:pBdr>
        <w:spacing w:line="360" w:lineRule="auto"/>
        <w:rPr>
          <w:color w:val="auto"/>
          <w:sz w:val="22"/>
          <w:szCs w:val="22"/>
        </w:rPr>
      </w:pPr>
      <w:r>
        <w:rPr>
          <w:color w:val="auto"/>
          <w:sz w:val="22"/>
          <w:szCs w:val="22"/>
        </w:rPr>
        <w:t>Step 5:</w:t>
      </w:r>
      <w:r>
        <w:rPr>
          <w:color w:val="auto"/>
          <w:sz w:val="22"/>
          <w:szCs w:val="22"/>
        </w:rPr>
        <w:t>Closing Statement (approx. 2–3 minutes)</w:t>
      </w:r>
    </w:p>
    <w:p w14:paraId="1ABD4CB8" w14:textId="01B4A109" w:rsidR="00177D10" w:rsidRPr="00177D10" w:rsidRDefault="00177D10" w:rsidP="00C211EC">
      <w:pPr>
        <w:spacing w:after="200" w:line="360" w:lineRule="auto"/>
        <w:rPr>
          <w:b/>
          <w:bCs/>
        </w:rPr>
      </w:pPr>
      <w:r>
        <w:rPr>
          <w:b/>
          <w:bCs/>
        </w:rPr>
        <w:t>Closing Statement</w:t>
      </w:r>
    </w:p>
    <w:p w14:paraId="3779DE90" w14:textId="77777777" w:rsidR="00563275" w:rsidRDefault="00563275" w:rsidP="00563275">
      <w:pPr>
        <w:spacing w:after="160" w:line="360" w:lineRule="auto"/>
      </w:pPr>
      <w:r>
        <w:t>In conclusion, I have presented a robust body of peer-reviewed evidence in support of the position that domiciliary care more effectively promotes empowerment among older adults.</w:t>
      </w:r>
    </w:p>
    <w:p w14:paraId="595C01CB" w14:textId="597B7D08" w:rsidR="00563275" w:rsidRDefault="00563275" w:rsidP="00563275">
      <w:pPr>
        <w:spacing w:after="160" w:line="360" w:lineRule="auto"/>
      </w:pPr>
      <w:r>
        <w:t>I have proved three fundamental points. First, residential settings can never structurally preserve autonomy and self-determination, which is the case with domiciliary care</w:t>
      </w:r>
      <w:r w:rsidR="0052765F">
        <w:t>,</w:t>
      </w:r>
      <w:r>
        <w:t xml:space="preserve"> as evidenced by Lyu and Fan (2024), Norvilaite et al. (2024), and the Care Act 2014. Second, it is clear that domiciliary care facilitates the operationalisation of the Mental Capacity Act 2005, which is confirmed by Aspinwall-Roberts and Fleming (2022), Stokes et al. (2025)</w:t>
      </w:r>
      <w:r w:rsidR="0052765F">
        <w:t>,</w:t>
      </w:r>
      <w:r>
        <w:t xml:space="preserve"> and Zhang et al. (2025). And third, social connectedness is actively maintained by domiciliary care, whereas residential care is reported to be a causative factor of loneliness and social isolation</w:t>
      </w:r>
      <w:r w:rsidR="0052765F">
        <w:t>,</w:t>
      </w:r>
      <w:r>
        <w:t xml:space="preserve"> as demonstrated by Hajek et al. (2024) and Zhang et al. (2023).</w:t>
      </w:r>
    </w:p>
    <w:p w14:paraId="39BDAD86" w14:textId="71787BE3" w:rsidR="00563275" w:rsidRDefault="00563275" w:rsidP="00563275">
      <w:pPr>
        <w:spacing w:after="160" w:line="360" w:lineRule="auto"/>
      </w:pPr>
      <w:r>
        <w:t>My opponent has expressed valid issues regarding the safety and specialist care requirements. Nevertheless, the experience of Cornelius et al. (2025), Walsh et al. (2025)</w:t>
      </w:r>
      <w:r w:rsidR="0052765F">
        <w:t>,</w:t>
      </w:r>
      <w:r>
        <w:t xml:space="preserve"> and Yin et al. (2025) proves that even challenging demands can be addressed safely and effectively with the help of technological innovations and the home care service that is well-resourced.</w:t>
      </w:r>
    </w:p>
    <w:p w14:paraId="3CB6D348" w14:textId="0BB0FE85" w:rsidR="00563275" w:rsidRDefault="000A2F94" w:rsidP="00563275">
      <w:pPr>
        <w:spacing w:after="160" w:line="360" w:lineRule="auto"/>
      </w:pPr>
      <w:r w:rsidRPr="000A2F94">
        <w:t>The main issue under consideration is not which environment is safer but which one best facilitates empowerment. When empowerment is construed as referring to independence, self-determination, social connectedness</w:t>
      </w:r>
      <w:r w:rsidR="00B831CF">
        <w:t>,</w:t>
      </w:r>
      <w:r w:rsidRPr="000A2F94">
        <w:t xml:space="preserve"> and dignity, the pointers all appear to point to domiciliary care as the environment most suited to provide the care.</w:t>
      </w:r>
    </w:p>
    <w:p w14:paraId="3B81B006" w14:textId="4512B906" w:rsidR="00F4764C" w:rsidRDefault="0020091C" w:rsidP="00563275">
      <w:pPr>
        <w:spacing w:after="160" w:line="360" w:lineRule="auto"/>
      </w:pPr>
      <w:r w:rsidRPr="0020091C">
        <w:t>As empowerment is construed to mean independence, dignity</w:t>
      </w:r>
      <w:r w:rsidR="0052765F">
        <w:t>,</w:t>
      </w:r>
      <w:r w:rsidRPr="0020091C">
        <w:t xml:space="preserve"> and decision-making</w:t>
      </w:r>
      <w:r w:rsidR="0052765F">
        <w:t>,</w:t>
      </w:r>
      <w:r w:rsidRPr="0020091C">
        <w:t xml:space="preserve"> the reflection is that there is a clear indication that the best place where the elderly can receive is well-resourced domiciliary care</w:t>
      </w:r>
      <w:r w:rsidR="0052765F">
        <w:t>,</w:t>
      </w:r>
      <w:r w:rsidRPr="0020091C">
        <w:t xml:space="preserve"> which offers the best environment </w:t>
      </w:r>
      <w:r w:rsidR="0052765F">
        <w:t>that</w:t>
      </w:r>
      <w:r w:rsidRPr="0020091C">
        <w:t xml:space="preserve"> is supportive. Elderly individuals not only need to be taken care of, but </w:t>
      </w:r>
      <w:r w:rsidR="0052765F">
        <w:t>also truly empowered</w:t>
      </w:r>
      <w:r w:rsidRPr="0020091C">
        <w:t>, and it is the people who can do so best in the place they call home.</w:t>
      </w:r>
    </w:p>
    <w:p w14:paraId="423B36E2" w14:textId="2D1BFD76" w:rsidR="00F4764C" w:rsidRPr="00C211EC" w:rsidRDefault="00992E5F" w:rsidP="00177D10">
      <w:pPr>
        <w:pStyle w:val="Heading1"/>
        <w:pBdr>
          <w:bottom w:val="none" w:sz="0" w:space="0" w:color="auto"/>
        </w:pBdr>
        <w:spacing w:line="360" w:lineRule="auto"/>
        <w:rPr>
          <w:color w:val="auto"/>
          <w:sz w:val="22"/>
          <w:szCs w:val="22"/>
        </w:rPr>
      </w:pPr>
      <w:r>
        <w:rPr>
          <w:color w:val="auto"/>
          <w:sz w:val="22"/>
          <w:szCs w:val="22"/>
        </w:rPr>
        <w:t>Step 6: Overall Conclusion (approx. 2.5 minutes —</w:t>
      </w:r>
      <w:r>
        <w:rPr>
          <w:color w:val="auto"/>
          <w:sz w:val="22"/>
          <w:szCs w:val="22"/>
        </w:rPr>
        <w:t xml:space="preserve"> partner may deliver this</w:t>
      </w:r>
    </w:p>
    <w:p w14:paraId="39D392A5" w14:textId="7B1172C5" w:rsidR="00177D10" w:rsidRPr="00177D10" w:rsidRDefault="00177D10" w:rsidP="00563275">
      <w:pPr>
        <w:spacing w:after="160" w:line="360" w:lineRule="auto"/>
        <w:rPr>
          <w:b/>
          <w:bCs/>
        </w:rPr>
      </w:pPr>
      <w:r>
        <w:rPr>
          <w:b/>
          <w:bCs/>
        </w:rPr>
        <w:t>Overall Conclusion</w:t>
      </w:r>
    </w:p>
    <w:p w14:paraId="637CE785" w14:textId="77777777" w:rsidR="00A4286D" w:rsidRDefault="00A4286D" w:rsidP="00A4286D">
      <w:pPr>
        <w:spacing w:after="160" w:line="360" w:lineRule="auto"/>
      </w:pPr>
      <w:r>
        <w:t>This discussion has examined one of the core questions of modern health and social care: what environment is more conducive to empowerment among older people?</w:t>
      </w:r>
    </w:p>
    <w:p w14:paraId="49CAD672" w14:textId="0DA44175" w:rsidR="00A4286D" w:rsidRDefault="00A4286D" w:rsidP="00A4286D">
      <w:pPr>
        <w:spacing w:after="160" w:line="360" w:lineRule="auto"/>
      </w:pPr>
      <w:r>
        <w:t>Both sides have presented some strong arguments. Autonomy, rights to make decisions, social connectedness, safety, and the impact of technology have all been discussed in the context of some of the most important laws</w:t>
      </w:r>
      <w:r w:rsidR="0052765F">
        <w:t>,</w:t>
      </w:r>
      <w:r>
        <w:t xml:space="preserve"> like the Care Act 2014, the Mental Capacity Act 2005, and the Health and Care Act 2022.</w:t>
      </w:r>
    </w:p>
    <w:p w14:paraId="0591BA4B" w14:textId="004DE6DF" w:rsidR="00A4286D" w:rsidRDefault="00A4286D" w:rsidP="00A4286D">
      <w:pPr>
        <w:spacing w:after="160" w:line="360" w:lineRule="auto"/>
      </w:pPr>
      <w:r>
        <w:t xml:space="preserve">It has turned out that empowerment can no longer be viewed in a limited way. It does not revolve around physical security or availing of services. </w:t>
      </w:r>
      <w:r w:rsidR="000A2F94" w:rsidRPr="000A2F94">
        <w:t>It is full of dignity, identity, choice, and connection - the fundamentally human relations of a life well lived.</w:t>
      </w:r>
    </w:p>
    <w:p w14:paraId="42A491C8" w14:textId="77777777" w:rsidR="00A4286D" w:rsidRDefault="00A4286D" w:rsidP="00A4286D">
      <w:pPr>
        <w:spacing w:after="160" w:line="360" w:lineRule="auto"/>
      </w:pPr>
      <w:r>
        <w:t>There is evidence today that domiciliary care, when it is appropriately resourced, technologically empowered, and entrenched within an integrated care model, provides the most robust basis of empowerment. It sustains the things that the older people value the most: their residence, their habits, their associations, and their voice.</w:t>
      </w:r>
    </w:p>
    <w:p w14:paraId="3E798AE3" w14:textId="13FF7CC9" w:rsidR="00A4286D" w:rsidRDefault="00A4286D" w:rsidP="00A4286D">
      <w:pPr>
        <w:spacing w:after="160" w:line="360" w:lineRule="auto"/>
      </w:pPr>
      <w:r>
        <w:t xml:space="preserve">Nonetheless, we also need to note that the quality of care is what has more to do with than the environment in which it is provided. This can be achieved by ensuring that an older person is empowered by a well-resourced residential environment as opposed to a poorly resourced domiciliary service. Policy should not therefore be concerned with one setting and not the other, but assuring that, wherever older adults are looked after, empowerment is truly </w:t>
      </w:r>
      <w:r w:rsidR="0052765F">
        <w:t>at</w:t>
      </w:r>
      <w:r>
        <w:t xml:space="preserve"> its core. </w:t>
      </w:r>
      <w:r w:rsidR="0020091C" w:rsidRPr="0020091C">
        <w:t>In the event that empowerment is formulated to mean independence, dignity, and inclusion in the decision-making process, it is evident that well-resourced domiciliary care is the best place where the elderly can live a good life, on their own terms.</w:t>
      </w:r>
    </w:p>
    <w:p w14:paraId="1C49494C" w14:textId="2AEA49F9" w:rsidR="00F4764C" w:rsidRDefault="00A4286D" w:rsidP="00A4286D">
      <w:pPr>
        <w:spacing w:after="160" w:line="360" w:lineRule="auto"/>
      </w:pPr>
      <w:r>
        <w:t>I would like to thank the two contributors to an evidence-based and thoughtful debate.</w:t>
      </w:r>
    </w:p>
    <w:p w14:paraId="6EF1CB3D" w14:textId="77777777" w:rsidR="00F25387" w:rsidRDefault="00F25387" w:rsidP="00A4286D">
      <w:pPr>
        <w:spacing w:after="160" w:line="360" w:lineRule="auto"/>
      </w:pPr>
    </w:p>
    <w:p w14:paraId="4C77D816" w14:textId="77777777" w:rsidR="00F25387" w:rsidRDefault="00F25387" w:rsidP="00A4286D">
      <w:pPr>
        <w:spacing w:after="160" w:line="360" w:lineRule="auto"/>
      </w:pPr>
    </w:p>
    <w:p w14:paraId="04494CD6" w14:textId="77777777" w:rsidR="00F25387" w:rsidRDefault="00F25387" w:rsidP="00A4286D">
      <w:pPr>
        <w:spacing w:after="160" w:line="360" w:lineRule="auto"/>
      </w:pPr>
    </w:p>
    <w:p w14:paraId="4E7BD04D" w14:textId="77777777" w:rsidR="00F25387" w:rsidRDefault="00F25387" w:rsidP="00A4286D">
      <w:pPr>
        <w:spacing w:after="160" w:line="360" w:lineRule="auto"/>
      </w:pPr>
    </w:p>
    <w:p w14:paraId="47F675F4" w14:textId="77777777" w:rsidR="00F25387" w:rsidRDefault="00F25387" w:rsidP="00A4286D">
      <w:pPr>
        <w:spacing w:after="160" w:line="360" w:lineRule="auto"/>
      </w:pPr>
    </w:p>
    <w:p w14:paraId="100272C2" w14:textId="77777777" w:rsidR="00F25387" w:rsidRDefault="00F25387" w:rsidP="00A4286D">
      <w:pPr>
        <w:spacing w:after="160" w:line="360" w:lineRule="auto"/>
      </w:pPr>
    </w:p>
    <w:p w14:paraId="1B46EE97" w14:textId="77777777" w:rsidR="00F25387" w:rsidRDefault="00F25387" w:rsidP="00A4286D">
      <w:pPr>
        <w:spacing w:after="160" w:line="360" w:lineRule="auto"/>
      </w:pPr>
    </w:p>
    <w:p w14:paraId="121E15EA" w14:textId="77777777" w:rsidR="00F25387" w:rsidRDefault="00F25387" w:rsidP="00A4286D">
      <w:pPr>
        <w:spacing w:after="160" w:line="360" w:lineRule="auto"/>
      </w:pPr>
    </w:p>
    <w:p w14:paraId="2BE22108" w14:textId="77777777" w:rsidR="00F25387" w:rsidRDefault="00F25387" w:rsidP="00A4286D">
      <w:pPr>
        <w:spacing w:after="160" w:line="360" w:lineRule="auto"/>
      </w:pPr>
    </w:p>
    <w:p w14:paraId="095C886D" w14:textId="77777777" w:rsidR="00F25387" w:rsidRDefault="00F25387" w:rsidP="00A4286D">
      <w:pPr>
        <w:spacing w:after="160" w:line="360" w:lineRule="auto"/>
      </w:pPr>
    </w:p>
    <w:p w14:paraId="67652789" w14:textId="77777777" w:rsidR="00F25387" w:rsidRDefault="00F25387" w:rsidP="00A4286D">
      <w:pPr>
        <w:spacing w:after="160" w:line="360" w:lineRule="auto"/>
      </w:pPr>
    </w:p>
    <w:p w14:paraId="63B8221D" w14:textId="77777777" w:rsidR="00F25387" w:rsidRDefault="00F25387" w:rsidP="00A4286D">
      <w:pPr>
        <w:spacing w:after="160" w:line="360" w:lineRule="auto"/>
      </w:pPr>
    </w:p>
    <w:p w14:paraId="19E2FFFF" w14:textId="77777777" w:rsidR="00F25387" w:rsidRDefault="00F25387" w:rsidP="00A4286D">
      <w:pPr>
        <w:spacing w:after="160" w:line="360" w:lineRule="auto"/>
      </w:pPr>
    </w:p>
    <w:p w14:paraId="3728136E" w14:textId="77777777" w:rsidR="00F25387" w:rsidRDefault="00F25387" w:rsidP="00A4286D">
      <w:pPr>
        <w:spacing w:after="160" w:line="360" w:lineRule="auto"/>
      </w:pPr>
    </w:p>
    <w:p w14:paraId="6042DDE7" w14:textId="77777777" w:rsidR="00F25387" w:rsidRDefault="00F25387" w:rsidP="00A4286D">
      <w:pPr>
        <w:spacing w:after="160" w:line="360" w:lineRule="auto"/>
      </w:pPr>
    </w:p>
    <w:p w14:paraId="5E38C770" w14:textId="77777777" w:rsidR="00F25387" w:rsidRDefault="00F25387" w:rsidP="00A4286D">
      <w:pPr>
        <w:spacing w:after="160" w:line="360" w:lineRule="auto"/>
      </w:pPr>
    </w:p>
    <w:p w14:paraId="3A3F2ACA" w14:textId="77777777" w:rsidR="00F25387" w:rsidRDefault="00F25387" w:rsidP="00A4286D">
      <w:pPr>
        <w:spacing w:after="160" w:line="360" w:lineRule="auto"/>
      </w:pPr>
    </w:p>
    <w:p w14:paraId="14B150D9" w14:textId="77777777" w:rsidR="00F25387" w:rsidRDefault="00F25387" w:rsidP="00A4286D">
      <w:pPr>
        <w:spacing w:after="160" w:line="360" w:lineRule="auto"/>
      </w:pPr>
    </w:p>
    <w:p w14:paraId="0788571A" w14:textId="77777777" w:rsidR="00F25387" w:rsidRDefault="00F25387" w:rsidP="00A4286D">
      <w:pPr>
        <w:spacing w:after="160" w:line="360" w:lineRule="auto"/>
      </w:pPr>
    </w:p>
    <w:p w14:paraId="5FA1D257" w14:textId="77777777" w:rsidR="00F25387" w:rsidRDefault="00F25387" w:rsidP="00A4286D">
      <w:pPr>
        <w:spacing w:after="160" w:line="360" w:lineRule="auto"/>
      </w:pPr>
    </w:p>
    <w:p w14:paraId="7C5924A1" w14:textId="417A3191" w:rsidR="00F4764C" w:rsidRPr="00C211EC" w:rsidRDefault="00992E5F" w:rsidP="006A3516">
      <w:pPr>
        <w:pStyle w:val="Heading1"/>
        <w:pBdr>
          <w:bottom w:val="none" w:sz="0" w:space="0" w:color="auto"/>
        </w:pBdr>
        <w:spacing w:line="360" w:lineRule="auto"/>
        <w:rPr>
          <w:color w:val="auto"/>
          <w:sz w:val="22"/>
          <w:szCs w:val="22"/>
        </w:rPr>
      </w:pPr>
      <w:r>
        <w:rPr>
          <w:color w:val="auto"/>
          <w:sz w:val="22"/>
          <w:szCs w:val="22"/>
        </w:rPr>
        <w:t>References</w:t>
      </w:r>
    </w:p>
    <w:p w14:paraId="14B3A0CD" w14:textId="390D28B0" w:rsidR="00C015AE" w:rsidRPr="00C211EC" w:rsidRDefault="00C015AE" w:rsidP="00C211EC">
      <w:pPr>
        <w:spacing w:after="120" w:line="360" w:lineRule="auto"/>
        <w:ind w:left="720" w:hanging="720"/>
      </w:pPr>
      <w:r>
        <w:t>Aspinwall-Roberts, E. and Fleming, V. (2022) 'They don't want them to have capacity: Multi-agency operationalisation of the Mental Capacity Act 2005 in England with adults who self-neglect', Health and Social Care in the Community, 30(6), pp. e4395–e4404.</w:t>
      </w:r>
    </w:p>
    <w:p w14:paraId="4A2C8222" w14:textId="7A50EB80" w:rsidR="00C015AE" w:rsidRDefault="00C015AE" w:rsidP="00F45DBF">
      <w:pPr>
        <w:spacing w:after="120" w:line="360" w:lineRule="auto"/>
        <w:ind w:left="720" w:hanging="720"/>
      </w:pPr>
      <w:r>
        <w:t>Aujla, N., Frost, H., Guthrie, B., Hanratty, B., Kaner, E., O’Donnell, A., Ogden, M.E., Pain, H.G., Shenkin, S.D.</w:t>
      </w:r>
      <w:r w:rsidR="0052765F">
        <w:t>,</w:t>
      </w:r>
      <w:r>
        <w:t xml:space="preserve"> and Mercer, S.W. (2023). A comparative overview of health and social care policy for older people in England and Scotland, United Kingdom (UK). </w:t>
      </w:r>
      <w:r>
        <w:rPr>
          <w:i/>
          <w:iCs/>
        </w:rPr>
        <w:t>Health Policy</w:t>
      </w:r>
      <w:r>
        <w:t xml:space="preserve"> 132, p.104814.</w:t>
      </w:r>
    </w:p>
    <w:p w14:paraId="28892BE5" w14:textId="77777777" w:rsidR="00C015AE" w:rsidRPr="00C211EC" w:rsidRDefault="00C015AE" w:rsidP="00C211EC">
      <w:pPr>
        <w:spacing w:after="120" w:line="360" w:lineRule="auto"/>
        <w:ind w:left="720" w:hanging="720"/>
      </w:pPr>
      <w:r>
        <w:t>Beogo, I. et al. (2023) 'Strengthening social capital to address isolation and loneliness in long-term care facilities during the COVID-19 pandemic: Systematic review of research on information and communication technologies', JMIR Aging, 6, p. e46753.</w:t>
      </w:r>
    </w:p>
    <w:p w14:paraId="3165A5FE" w14:textId="77777777" w:rsidR="00C015AE" w:rsidRPr="00C211EC" w:rsidRDefault="00C015AE" w:rsidP="00C211EC">
      <w:pPr>
        <w:spacing w:after="120" w:line="360" w:lineRule="auto"/>
        <w:ind w:left="720" w:hanging="720"/>
      </w:pPr>
      <w:r>
        <w:t>Braun, K.L. et al. (2024) 'Interventions for loneliness in older adults: A systematic review of reviews', Frontiers in Public Health, 12, p. 1427605.</w:t>
      </w:r>
    </w:p>
    <w:p w14:paraId="239DC4C9" w14:textId="77777777" w:rsidR="00C015AE" w:rsidRPr="00C211EC" w:rsidRDefault="00C015AE" w:rsidP="00C211EC">
      <w:pPr>
        <w:spacing w:after="120" w:line="360" w:lineRule="auto"/>
        <w:ind w:left="720" w:hanging="720"/>
      </w:pPr>
      <w:r>
        <w:t>Cornelius, G., Hodgson, W., Maguire, R. and Egan, K. (2025) 'Wearable technology, smart home systems, and mobile apps for the self-management of patient outcomes in dementia care: Systematic review', Journal of Medical Internet Research, 27, p. e65385.</w:t>
      </w:r>
    </w:p>
    <w:p w14:paraId="76931FBE" w14:textId="77777777" w:rsidR="00C015AE" w:rsidRPr="00C211EC" w:rsidRDefault="00C015AE" w:rsidP="00C211EC">
      <w:pPr>
        <w:spacing w:after="120" w:line="360" w:lineRule="auto"/>
        <w:ind w:left="720" w:hanging="720"/>
      </w:pPr>
      <w:r>
        <w:t>Department of Health (2005) Mental Capacity Act 2005. London: The Stationery Office.</w:t>
      </w:r>
    </w:p>
    <w:p w14:paraId="0535BC3B" w14:textId="77777777" w:rsidR="00C015AE" w:rsidRPr="00C211EC" w:rsidRDefault="00C015AE" w:rsidP="00C211EC">
      <w:pPr>
        <w:spacing w:after="120" w:line="360" w:lineRule="auto"/>
        <w:ind w:left="720" w:hanging="720"/>
      </w:pPr>
      <w:r>
        <w:t>Department of Health and Social Care (2014) Care Act 2014. London: The Stationery Office.</w:t>
      </w:r>
    </w:p>
    <w:p w14:paraId="7982CED0" w14:textId="057402D2" w:rsidR="00C015AE" w:rsidRPr="00C211EC" w:rsidRDefault="00C015AE" w:rsidP="00C211EC">
      <w:pPr>
        <w:spacing w:after="120" w:line="360" w:lineRule="auto"/>
        <w:ind w:left="720" w:hanging="720"/>
      </w:pPr>
      <w:r>
        <w:t>Frost, H., Tooman, T.R., Aujla, N., Guthrie, B., Hanratty, B., Kaner, E., O’Donnell, A., Ogden, M.E., Pain, H.G., Shenkin, S.D.</w:t>
      </w:r>
      <w:r w:rsidR="0052765F">
        <w:t>,</w:t>
      </w:r>
      <w:r>
        <w:t xml:space="preserve"> and Mercer, S.W., 2024. New models of health and social care for people in later life: mapping of innovation in services in two regions of the United Kingdom using a mixed method approach. </w:t>
      </w:r>
      <w:r>
        <w:rPr>
          <w:i/>
          <w:iCs/>
        </w:rPr>
        <w:t xml:space="preserve">BMC </w:t>
      </w:r>
      <w:r w:rsidR="0052765F">
        <w:rPr>
          <w:i/>
          <w:iCs/>
        </w:rPr>
        <w:t>Health Services R</w:t>
      </w:r>
      <w:r>
        <w:rPr>
          <w:i/>
          <w:iCs/>
        </w:rPr>
        <w:t>esearch</w:t>
      </w:r>
      <w:r>
        <w:t>, </w:t>
      </w:r>
      <w:r>
        <w:rPr>
          <w:i/>
          <w:iCs/>
        </w:rPr>
        <w:t>24</w:t>
      </w:r>
      <w:r>
        <w:t>(1), p.812.</w:t>
      </w:r>
    </w:p>
    <w:p w14:paraId="2A450849" w14:textId="4E9CECCF" w:rsidR="00C015AE" w:rsidRPr="00C211EC" w:rsidRDefault="00C015AE" w:rsidP="00C211EC">
      <w:pPr>
        <w:spacing w:after="120" w:line="360" w:lineRule="auto"/>
        <w:ind w:left="720" w:hanging="720"/>
      </w:pPr>
      <w:r>
        <w:t>Hajek, A., Sutin, A.R., Posi, G., Stephan, Y., Peltzer, K., Terracciano, A., Luchetti, M. and König, H.H., 2025. Chronic loneliness and chronic social isolation among older adults. A systematic review, meta-analysis</w:t>
      </w:r>
      <w:r w:rsidR="0052765F">
        <w:t>,</w:t>
      </w:r>
      <w:r>
        <w:t xml:space="preserve"> and meta-regression. </w:t>
      </w:r>
      <w:r>
        <w:rPr>
          <w:i/>
          <w:iCs/>
        </w:rPr>
        <w:t>Aging &amp; Mental Health</w:t>
      </w:r>
      <w:r>
        <w:t>, </w:t>
      </w:r>
      <w:r>
        <w:rPr>
          <w:i/>
          <w:iCs/>
        </w:rPr>
        <w:t>29</w:t>
      </w:r>
      <w:r>
        <w:t>(2), pp.185-200.</w:t>
      </w:r>
    </w:p>
    <w:p w14:paraId="355BA2C6" w14:textId="1BE44EE1" w:rsidR="00C015AE" w:rsidRPr="00316180" w:rsidRDefault="00C015AE" w:rsidP="00316180">
      <w:pPr>
        <w:spacing w:after="120" w:line="360" w:lineRule="auto"/>
        <w:ind w:left="720" w:hanging="720"/>
      </w:pPr>
      <w:r>
        <w:t>Halamová, L., Locock, L., Maclaren, A., Makin, S. and Phillips, L. (2025). Involvement of older adults in shared decision-making on care transitions in the UK: an interpretative qualitative systematic review. </w:t>
      </w:r>
      <w:r>
        <w:rPr>
          <w:i/>
          <w:iCs/>
        </w:rPr>
        <w:t>Ageing and Society</w:t>
      </w:r>
      <w:r>
        <w:t>, [online] 45(11), pp.2500–2525.</w:t>
      </w:r>
    </w:p>
    <w:p w14:paraId="17805FFF" w14:textId="77777777" w:rsidR="00C015AE" w:rsidRPr="00C211EC" w:rsidRDefault="00C015AE" w:rsidP="00C211EC">
      <w:pPr>
        <w:spacing w:after="120" w:line="360" w:lineRule="auto"/>
        <w:ind w:left="720" w:hanging="720"/>
      </w:pPr>
      <w:r>
        <w:t>‌Healey, J., Hignett, S. and Gyi, D. (2024) 'A day in the life of a home care worker in England: A human factors systems perspective', Applied Ergonomics, 115, p. 104151.</w:t>
      </w:r>
    </w:p>
    <w:p w14:paraId="32EF79DA" w14:textId="77777777" w:rsidR="00C015AE" w:rsidRPr="00C211EC" w:rsidRDefault="00C015AE" w:rsidP="00C211EC">
      <w:pPr>
        <w:spacing w:after="120" w:line="360" w:lineRule="auto"/>
        <w:ind w:left="720" w:hanging="720"/>
      </w:pPr>
      <w:r>
        <w:t>HM Government (2022) Health and Care Act 2022. London: The Stationery Office.</w:t>
      </w:r>
    </w:p>
    <w:p w14:paraId="28226D39" w14:textId="77777777" w:rsidR="00C015AE" w:rsidRPr="00C211EC" w:rsidRDefault="00C015AE" w:rsidP="00C211EC">
      <w:pPr>
        <w:spacing w:after="120" w:line="360" w:lineRule="auto"/>
        <w:ind w:left="720" w:hanging="720"/>
      </w:pPr>
      <w:r>
        <w:t>Lyu, X. and Fan, Y. (2024) 'The impact of home- and community-based services on the health of older adults: A meta-analysis', Sage Open, 14(3).</w:t>
      </w:r>
    </w:p>
    <w:p w14:paraId="4BC4F30E" w14:textId="77777777" w:rsidR="00C015AE" w:rsidRPr="00C211EC" w:rsidRDefault="00C015AE" w:rsidP="00C211EC">
      <w:pPr>
        <w:spacing w:after="120" w:line="360" w:lineRule="auto"/>
        <w:ind w:left="720" w:hanging="720"/>
      </w:pPr>
      <w:r>
        <w:t>Mobasseri, M. et al. (2024) 'Experiences regarding home care for older adults from the viewpoint of family, paid caregivers, nurses, and experts: A qualitative study', Health and Social Care in the Community, 2024, p. 4591881.</w:t>
      </w:r>
    </w:p>
    <w:p w14:paraId="5DAD47A3" w14:textId="77777777" w:rsidR="00C015AE" w:rsidRPr="00C211EC" w:rsidRDefault="00C015AE" w:rsidP="00C211EC">
      <w:pPr>
        <w:spacing w:after="120" w:line="360" w:lineRule="auto"/>
        <w:ind w:left="720" w:hanging="720"/>
      </w:pPr>
      <w:r>
        <w:t>Moilanen, T., Suhonen, R. and Kangasniemi, M. (2022) 'Nursing support for older people's autonomy in residential care: An integrative review', International Journal of Older People Nursing, 17(2), p. e12428.</w:t>
      </w:r>
    </w:p>
    <w:p w14:paraId="5BA2131A" w14:textId="77777777" w:rsidR="00C015AE" w:rsidRPr="00C211EC" w:rsidRDefault="00C015AE" w:rsidP="00C211EC">
      <w:pPr>
        <w:spacing w:after="120" w:line="360" w:lineRule="auto"/>
        <w:ind w:left="720" w:hanging="720"/>
      </w:pPr>
      <w:r>
        <w:t>Mortensen, A.H. et al. (2024) 'A qualitative study of family members' perspectives regarding decision-making for nursing home residents' care', International Journal of Qualitative Studies on Health and Well-being, 19(1), p. 2370545.</w:t>
      </w:r>
    </w:p>
    <w:p w14:paraId="73C3B2F2" w14:textId="77777777" w:rsidR="00C015AE" w:rsidRPr="00C211EC" w:rsidRDefault="00C015AE" w:rsidP="00C211EC">
      <w:pPr>
        <w:spacing w:after="120" w:line="360" w:lineRule="auto"/>
        <w:ind w:left="720" w:hanging="720"/>
      </w:pPr>
      <w:r>
        <w:t>Norvilaite, A., Newland, J.A. and Blazeviciene, A. (2024) 'Older people's experience and related factors while receiving home-based long-term care services: A qualitative study', BMC Nursing, 23(1), p. 580.</w:t>
      </w:r>
    </w:p>
    <w:p w14:paraId="35B4DA56" w14:textId="753595B7" w:rsidR="00C015AE" w:rsidRPr="00C211EC" w:rsidRDefault="00C015AE" w:rsidP="00C211EC">
      <w:pPr>
        <w:spacing w:after="120" w:line="360" w:lineRule="auto"/>
        <w:ind w:left="720" w:hanging="720"/>
      </w:pPr>
      <w:r>
        <w:t>Stokes, L., Maden, M., Williams, N., Jacob, N., Scott, S., Shepherd, V., Gates, C., Jones, L., Barker, S., Hunter, M.C.</w:t>
      </w:r>
      <w:r w:rsidR="0052765F">
        <w:t>,</w:t>
      </w:r>
      <w:r>
        <w:t xml:space="preserve"> and Smith, G., 2025. Barriers and facilitators to implementation of mental capacity legislation in care homes for older adults in the United Kingdom: a mixed-methods systematic review. </w:t>
      </w:r>
      <w:r>
        <w:rPr>
          <w:i/>
          <w:iCs/>
        </w:rPr>
        <w:t>Age and ageing</w:t>
      </w:r>
      <w:r>
        <w:t>, </w:t>
      </w:r>
      <w:r>
        <w:rPr>
          <w:i/>
          <w:iCs/>
        </w:rPr>
        <w:t>54</w:t>
      </w:r>
      <w:r>
        <w:t>(5), p.afaf119.</w:t>
      </w:r>
    </w:p>
    <w:p w14:paraId="7628E8C9" w14:textId="77777777" w:rsidR="00C015AE" w:rsidRPr="00C211EC" w:rsidRDefault="00C015AE" w:rsidP="00C211EC">
      <w:pPr>
        <w:spacing w:after="120" w:line="360" w:lineRule="auto"/>
        <w:ind w:left="720" w:hanging="720"/>
      </w:pPr>
      <w:r>
        <w:t>van Loon, J. et al. (2024) 'How older adults with physical impairments maintain their autonomy in nursing homes', Ageing and Society, 44(11), pp. 2397–2420.</w:t>
      </w:r>
    </w:p>
    <w:p w14:paraId="1A77552B" w14:textId="77777777" w:rsidR="00C015AE" w:rsidRPr="00C211EC" w:rsidRDefault="00C015AE" w:rsidP="00C211EC">
      <w:pPr>
        <w:spacing w:after="120" w:line="360" w:lineRule="auto"/>
        <w:ind w:left="720" w:hanging="720"/>
      </w:pPr>
      <w:r>
        <w:t>Walsh, R. et al. (2025) 'Longitudinal study of care needs and behavioural changes in people living with dementia using in-home assessment data', Communications Medicine, 5(1).</w:t>
      </w:r>
    </w:p>
    <w:p w14:paraId="6F0B06B2" w14:textId="77777777" w:rsidR="00C015AE" w:rsidRPr="00C211EC" w:rsidRDefault="00C015AE" w:rsidP="00C211EC">
      <w:pPr>
        <w:spacing w:after="120" w:line="360" w:lineRule="auto"/>
        <w:ind w:left="720" w:hanging="720"/>
      </w:pPr>
      <w:r>
        <w:t>Wong, A. et al. (2025) 'Supporting older people through Hospital at Home care: a systematic review of patient, carer and healthcare professionals' perspectives', Age and Ageing, 54(2), p. afaf033.</w:t>
      </w:r>
    </w:p>
    <w:p w14:paraId="150CBDB9" w14:textId="23BD897D" w:rsidR="00C015AE" w:rsidRPr="00C211EC" w:rsidRDefault="00C015AE" w:rsidP="00C211EC">
      <w:pPr>
        <w:spacing w:after="120" w:line="360" w:lineRule="auto"/>
        <w:ind w:left="720" w:hanging="720"/>
      </w:pPr>
      <w:r>
        <w:t>Yin, G., Macaden, L., Sivaramakrishnan, D., Wang, Y., Zhu, L.</w:t>
      </w:r>
      <w:r w:rsidR="0052765F">
        <w:t>,</w:t>
      </w:r>
      <w:r>
        <w:t xml:space="preserve"> and Chong, H., 2025. Home-based end-of-life care for people with dementia: A systematic review of quantitative and qualitative evidence. </w:t>
      </w:r>
      <w:r>
        <w:rPr>
          <w:i/>
          <w:iCs/>
        </w:rPr>
        <w:t>Dementia</w:t>
      </w:r>
      <w:r>
        <w:t>, </w:t>
      </w:r>
      <w:r>
        <w:rPr>
          <w:i/>
          <w:iCs/>
        </w:rPr>
        <w:t>24</w:t>
      </w:r>
      <w:r>
        <w:t>(4), pp.794-831.</w:t>
      </w:r>
    </w:p>
    <w:p w14:paraId="24D71AC8" w14:textId="39504B90" w:rsidR="00C015AE" w:rsidRPr="00C211EC" w:rsidRDefault="00C015AE" w:rsidP="00C211EC">
      <w:pPr>
        <w:spacing w:after="120" w:line="360" w:lineRule="auto"/>
        <w:ind w:left="720" w:hanging="720"/>
      </w:pPr>
      <w:r>
        <w:t>Zhang, D., Lu, Q., Li, L., Wang, X., Yan, H.</w:t>
      </w:r>
      <w:r w:rsidR="0052765F">
        <w:t>,</w:t>
      </w:r>
      <w:r>
        <w:t xml:space="preserve"> and Sun, Z., 2023. Loneliness in nursing homes: A qualitative meta</w:t>
      </w:r>
      <w:r>
        <w:rPr>
          <w:rFonts w:ascii="Cambria Math" w:hAnsi="Cambria Math" w:cs="Cambria Math"/>
        </w:rPr>
        <w:t>‐</w:t>
      </w:r>
      <w:r>
        <w:t>synthesis of older people's experiences. </w:t>
      </w:r>
      <w:r>
        <w:rPr>
          <w:i/>
          <w:iCs/>
        </w:rPr>
        <w:t>Journal of Clinical Nursing</w:t>
      </w:r>
      <w:r>
        <w:t>, </w:t>
      </w:r>
      <w:r>
        <w:rPr>
          <w:i/>
          <w:iCs/>
        </w:rPr>
        <w:t>32</w:t>
      </w:r>
      <w:r>
        <w:t>(19-20), pp.7062-7075.</w:t>
      </w:r>
    </w:p>
    <w:p w14:paraId="6B2B2373" w14:textId="77777777" w:rsidR="00C015AE" w:rsidRPr="00C211EC" w:rsidRDefault="00C015AE" w:rsidP="00C211EC">
      <w:pPr>
        <w:spacing w:after="120" w:line="360" w:lineRule="auto"/>
        <w:ind w:left="720" w:hanging="720"/>
      </w:pPr>
      <w:r>
        <w:t>Zhang, W., Greig, J., Towers, A.M., Saloniki, E.C. and Darton, R., 2025. Supporting care transitions for older people: A practice-based qualitative study in England. </w:t>
      </w:r>
      <w:r>
        <w:rPr>
          <w:i/>
          <w:iCs/>
        </w:rPr>
        <w:t>The British Journal of Social Work</w:t>
      </w:r>
      <w:r>
        <w:t>, </w:t>
      </w:r>
      <w:r>
        <w:rPr>
          <w:i/>
          <w:iCs/>
        </w:rPr>
        <w:t>55</w:t>
      </w:r>
      <w:r>
        <w:t>(5), pp.2217-2235.</w:t>
      </w:r>
    </w:p>
    <w:p w14:paraId="7BD1F951" w14:textId="77777777" w:rsidR="00F4764C" w:rsidRPr="00C211EC" w:rsidRDefault="00F4764C" w:rsidP="00C211EC">
      <w:pPr>
        <w:spacing w:after="200" w:line="360" w:lineRule="auto"/>
      </w:pPr>
    </w:p>
    <w:sectPr w:rsidR="00F4764C" w:rsidRPr="00C211EC">
      <w:headerReference w:type="default" r:id="rId7"/>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DE02F" w14:textId="77777777" w:rsidR="0045672A" w:rsidRDefault="0045672A">
      <w:r>
        <w:separator/>
      </w:r>
    </w:p>
  </w:endnote>
  <w:endnote w:type="continuationSeparator" w:id="0">
    <w:p w14:paraId="4BF5CF95" w14:textId="77777777" w:rsidR="0045672A" w:rsidRDefault="0045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57B34" w14:textId="77777777" w:rsidR="0045672A" w:rsidRDefault="0045672A">
      <w:r>
        <w:separator/>
      </w:r>
    </w:p>
  </w:footnote>
  <w:footnote w:type="continuationSeparator" w:id="0">
    <w:p w14:paraId="42132A3F" w14:textId="77777777" w:rsidR="0045672A" w:rsidRDefault="00456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158912"/>
      <w:docPartObj>
        <w:docPartGallery w:val="Page Numbers (Top of Page)"/>
        <w:docPartUnique/>
      </w:docPartObj>
    </w:sdtPr>
    <w:sdtEndPr>
      <w:rPr>
        <w:noProof/>
      </w:rPr>
    </w:sdtEndPr>
    <w:sdtContent>
      <w:p w14:paraId="42FD2CBC" w14:textId="59FB71B1" w:rsidR="00C211EC" w:rsidRDefault="00C211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DC33920" w14:textId="77777777" w:rsidR="00C211EC" w:rsidRDefault="00C21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32A1"/>
    <w:multiLevelType w:val="hybridMultilevel"/>
    <w:tmpl w:val="06648C9C"/>
    <w:lvl w:ilvl="0" w:tplc="E4E24B58">
      <w:start w:val="1"/>
      <w:numFmt w:val="bullet"/>
      <w:lvlText w:val="●"/>
      <w:lvlJc w:val="left"/>
      <w:pPr>
        <w:ind w:left="720" w:hanging="360"/>
      </w:pPr>
    </w:lvl>
    <w:lvl w:ilvl="1" w:tplc="EEB401AA">
      <w:start w:val="1"/>
      <w:numFmt w:val="bullet"/>
      <w:lvlText w:val="○"/>
      <w:lvlJc w:val="left"/>
      <w:pPr>
        <w:ind w:left="1440" w:hanging="360"/>
      </w:pPr>
    </w:lvl>
    <w:lvl w:ilvl="2" w:tplc="0F6E692C">
      <w:start w:val="1"/>
      <w:numFmt w:val="bullet"/>
      <w:lvlText w:val="■"/>
      <w:lvlJc w:val="left"/>
      <w:pPr>
        <w:ind w:left="2160" w:hanging="360"/>
      </w:pPr>
    </w:lvl>
    <w:lvl w:ilvl="3" w:tplc="2AF41FAA">
      <w:start w:val="1"/>
      <w:numFmt w:val="bullet"/>
      <w:lvlText w:val="●"/>
      <w:lvlJc w:val="left"/>
      <w:pPr>
        <w:ind w:left="2880" w:hanging="360"/>
      </w:pPr>
    </w:lvl>
    <w:lvl w:ilvl="4" w:tplc="44BAFAA4">
      <w:start w:val="1"/>
      <w:numFmt w:val="bullet"/>
      <w:lvlText w:val="○"/>
      <w:lvlJc w:val="left"/>
      <w:pPr>
        <w:ind w:left="3600" w:hanging="360"/>
      </w:pPr>
    </w:lvl>
    <w:lvl w:ilvl="5" w:tplc="17DEF9A6">
      <w:start w:val="1"/>
      <w:numFmt w:val="bullet"/>
      <w:lvlText w:val="■"/>
      <w:lvlJc w:val="left"/>
      <w:pPr>
        <w:ind w:left="4320" w:hanging="360"/>
      </w:pPr>
    </w:lvl>
    <w:lvl w:ilvl="6" w:tplc="FA60FE1C">
      <w:start w:val="1"/>
      <w:numFmt w:val="bullet"/>
      <w:lvlText w:val="●"/>
      <w:lvlJc w:val="left"/>
      <w:pPr>
        <w:ind w:left="5040" w:hanging="360"/>
      </w:pPr>
    </w:lvl>
    <w:lvl w:ilvl="7" w:tplc="2C202CB2">
      <w:start w:val="1"/>
      <w:numFmt w:val="bullet"/>
      <w:lvlText w:val="●"/>
      <w:lvlJc w:val="left"/>
      <w:pPr>
        <w:ind w:left="5760" w:hanging="360"/>
      </w:pPr>
    </w:lvl>
    <w:lvl w:ilvl="8" w:tplc="04F8FFE2">
      <w:start w:val="1"/>
      <w:numFmt w:val="bullet"/>
      <w:lvlText w:val="●"/>
      <w:lvlJc w:val="left"/>
      <w:pPr>
        <w:ind w:left="6480" w:hanging="360"/>
      </w:pPr>
    </w:lvl>
  </w:abstractNum>
  <w:abstractNum w:abstractNumId="1" w15:restartNumberingAfterBreak="0">
    <w:nsid w:val="396D556C"/>
    <w:multiLevelType w:val="hybridMultilevel"/>
    <w:tmpl w:val="985EF43E"/>
    <w:lvl w:ilvl="0" w:tplc="A2200D58">
      <w:start w:val="1"/>
      <w:numFmt w:val="bullet"/>
      <w:lvlText w:val="•"/>
      <w:lvlJc w:val="left"/>
      <w:pPr>
        <w:ind w:left="720" w:hanging="360"/>
      </w:pPr>
    </w:lvl>
    <w:lvl w:ilvl="1" w:tplc="575604F6">
      <w:numFmt w:val="decimal"/>
      <w:lvlText w:val=""/>
      <w:lvlJc w:val="left"/>
    </w:lvl>
    <w:lvl w:ilvl="2" w:tplc="9EF21C8C">
      <w:numFmt w:val="decimal"/>
      <w:lvlText w:val=""/>
      <w:lvlJc w:val="left"/>
    </w:lvl>
    <w:lvl w:ilvl="3" w:tplc="841A4DB8">
      <w:numFmt w:val="decimal"/>
      <w:lvlText w:val=""/>
      <w:lvlJc w:val="left"/>
    </w:lvl>
    <w:lvl w:ilvl="4" w:tplc="2020E6A6">
      <w:numFmt w:val="decimal"/>
      <w:lvlText w:val=""/>
      <w:lvlJc w:val="left"/>
    </w:lvl>
    <w:lvl w:ilvl="5" w:tplc="FF9A5CB6">
      <w:numFmt w:val="decimal"/>
      <w:lvlText w:val=""/>
      <w:lvlJc w:val="left"/>
    </w:lvl>
    <w:lvl w:ilvl="6" w:tplc="4C8C163C">
      <w:numFmt w:val="decimal"/>
      <w:lvlText w:val=""/>
      <w:lvlJc w:val="left"/>
    </w:lvl>
    <w:lvl w:ilvl="7" w:tplc="56EC21FE">
      <w:numFmt w:val="decimal"/>
      <w:lvlText w:val=""/>
      <w:lvlJc w:val="left"/>
    </w:lvl>
    <w:lvl w:ilvl="8" w:tplc="821E1E24">
      <w:numFmt w:val="decimal"/>
      <w:lvlText w:val=""/>
      <w:lvlJc w:val="left"/>
    </w:lvl>
  </w:abstractNum>
  <w:abstractNum w:abstractNumId="2" w15:restartNumberingAfterBreak="0">
    <w:nsid w:val="74454CC0"/>
    <w:multiLevelType w:val="hybridMultilevel"/>
    <w:tmpl w:val="54EEBDC4"/>
    <w:lvl w:ilvl="0" w:tplc="9BF6BFC8">
      <w:start w:val="1"/>
      <w:numFmt w:val="decimal"/>
      <w:lvlText w:val="%1."/>
      <w:lvlJc w:val="left"/>
      <w:pPr>
        <w:ind w:left="720" w:hanging="360"/>
      </w:pPr>
    </w:lvl>
    <w:lvl w:ilvl="1" w:tplc="07466932">
      <w:numFmt w:val="decimal"/>
      <w:lvlText w:val=""/>
      <w:lvlJc w:val="left"/>
    </w:lvl>
    <w:lvl w:ilvl="2" w:tplc="37BECCCE">
      <w:numFmt w:val="decimal"/>
      <w:lvlText w:val=""/>
      <w:lvlJc w:val="left"/>
    </w:lvl>
    <w:lvl w:ilvl="3" w:tplc="86F4DD0A">
      <w:numFmt w:val="decimal"/>
      <w:lvlText w:val=""/>
      <w:lvlJc w:val="left"/>
    </w:lvl>
    <w:lvl w:ilvl="4" w:tplc="76449264">
      <w:numFmt w:val="decimal"/>
      <w:lvlText w:val=""/>
      <w:lvlJc w:val="left"/>
    </w:lvl>
    <w:lvl w:ilvl="5" w:tplc="A704CF5E">
      <w:numFmt w:val="decimal"/>
      <w:lvlText w:val=""/>
      <w:lvlJc w:val="left"/>
    </w:lvl>
    <w:lvl w:ilvl="6" w:tplc="E4F407AA">
      <w:numFmt w:val="decimal"/>
      <w:lvlText w:val=""/>
      <w:lvlJc w:val="left"/>
    </w:lvl>
    <w:lvl w:ilvl="7" w:tplc="50622012">
      <w:numFmt w:val="decimal"/>
      <w:lvlText w:val=""/>
      <w:lvlJc w:val="left"/>
    </w:lvl>
    <w:lvl w:ilvl="8" w:tplc="9F16B148">
      <w:numFmt w:val="decimal"/>
      <w:lvlText w:val=""/>
      <w:lvlJc w:val="left"/>
    </w:lvl>
  </w:abstractNum>
  <w:num w:numId="1" w16cid:durableId="6350687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1NDYytLAwMDC1NDZS0lEKTi0uzszPAykwrgUAn8KxJCwAAAA="/>
  </w:docVars>
  <w:rsids>
    <w:rsidRoot w:val="00F4764C"/>
    <w:rsid w:val="00002067"/>
    <w:rsid w:val="00027240"/>
    <w:rsid w:val="000A2F94"/>
    <w:rsid w:val="000B1E79"/>
    <w:rsid w:val="000C253F"/>
    <w:rsid w:val="000D1C5D"/>
    <w:rsid w:val="00135916"/>
    <w:rsid w:val="00156672"/>
    <w:rsid w:val="00167B0E"/>
    <w:rsid w:val="00177D10"/>
    <w:rsid w:val="001877D1"/>
    <w:rsid w:val="001C29FA"/>
    <w:rsid w:val="001D3EE6"/>
    <w:rsid w:val="001D5482"/>
    <w:rsid w:val="0020091C"/>
    <w:rsid w:val="00203699"/>
    <w:rsid w:val="00232D80"/>
    <w:rsid w:val="002905BD"/>
    <w:rsid w:val="002C24FD"/>
    <w:rsid w:val="00314D2E"/>
    <w:rsid w:val="00316180"/>
    <w:rsid w:val="00341BD3"/>
    <w:rsid w:val="00382B9C"/>
    <w:rsid w:val="003E2FC9"/>
    <w:rsid w:val="00403D5D"/>
    <w:rsid w:val="00410DC1"/>
    <w:rsid w:val="00412869"/>
    <w:rsid w:val="00432936"/>
    <w:rsid w:val="0045672A"/>
    <w:rsid w:val="0048730E"/>
    <w:rsid w:val="00490B8E"/>
    <w:rsid w:val="004A6685"/>
    <w:rsid w:val="004A7683"/>
    <w:rsid w:val="004B7E8B"/>
    <w:rsid w:val="0050453E"/>
    <w:rsid w:val="0052138D"/>
    <w:rsid w:val="0052765F"/>
    <w:rsid w:val="005608FD"/>
    <w:rsid w:val="00563275"/>
    <w:rsid w:val="005D1119"/>
    <w:rsid w:val="00657018"/>
    <w:rsid w:val="00672939"/>
    <w:rsid w:val="006771C5"/>
    <w:rsid w:val="006A3516"/>
    <w:rsid w:val="006D65D0"/>
    <w:rsid w:val="006D727D"/>
    <w:rsid w:val="00735AA7"/>
    <w:rsid w:val="00756850"/>
    <w:rsid w:val="007F3364"/>
    <w:rsid w:val="00806885"/>
    <w:rsid w:val="00823CCD"/>
    <w:rsid w:val="00832606"/>
    <w:rsid w:val="0087141B"/>
    <w:rsid w:val="008951BA"/>
    <w:rsid w:val="008B1E5E"/>
    <w:rsid w:val="009C59B8"/>
    <w:rsid w:val="009E6632"/>
    <w:rsid w:val="00A14E0F"/>
    <w:rsid w:val="00A4286D"/>
    <w:rsid w:val="00A7622D"/>
    <w:rsid w:val="00A76240"/>
    <w:rsid w:val="00B2065C"/>
    <w:rsid w:val="00B44231"/>
    <w:rsid w:val="00B831CF"/>
    <w:rsid w:val="00B86BC0"/>
    <w:rsid w:val="00B97041"/>
    <w:rsid w:val="00BE70E9"/>
    <w:rsid w:val="00C015AE"/>
    <w:rsid w:val="00C211EC"/>
    <w:rsid w:val="00C409AD"/>
    <w:rsid w:val="00CB55BE"/>
    <w:rsid w:val="00CE1E62"/>
    <w:rsid w:val="00DE2297"/>
    <w:rsid w:val="00E24730"/>
    <w:rsid w:val="00E6488B"/>
    <w:rsid w:val="00E70EC0"/>
    <w:rsid w:val="00EB27B0"/>
    <w:rsid w:val="00F25387"/>
    <w:rsid w:val="00F3316B"/>
    <w:rsid w:val="00F44F02"/>
    <w:rsid w:val="00F45DBF"/>
    <w:rsid w:val="00F4764C"/>
    <w:rsid w:val="00F52A40"/>
    <w:rsid w:val="00FD0121"/>
    <w:rsid w:val="00FD59DD"/>
    <w:rsid w:val="00FF3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5F5"/>
  <w15:docId w15:val="{33BF4922-654F-4475-9C63-C19F60FDE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4" w:space="4" w:color="1F4E79"/>
      </w:pBdr>
      <w:spacing w:before="320" w:after="200"/>
      <w:outlineLvl w:val="0"/>
    </w:pPr>
    <w:rPr>
      <w:b/>
      <w:bCs/>
      <w:color w:val="1F4E79"/>
      <w:sz w:val="28"/>
      <w:szCs w:val="28"/>
    </w:rPr>
  </w:style>
  <w:style w:type="paragraph" w:styleId="Heading2">
    <w:name w:val="heading 2"/>
    <w:uiPriority w:val="9"/>
    <w:unhideWhenUsed/>
    <w:qFormat/>
    <w:pPr>
      <w:spacing w:before="240" w:after="160"/>
      <w:outlineLvl w:val="1"/>
    </w:pPr>
    <w:rPr>
      <w:b/>
      <w:bCs/>
      <w:color w:val="2E74B5"/>
      <w:sz w:val="24"/>
      <w:szCs w:val="24"/>
    </w:rPr>
  </w:style>
  <w:style w:type="paragraph" w:styleId="Heading3">
    <w:name w:val="heading 3"/>
    <w:uiPriority w:val="9"/>
    <w:semiHidden/>
    <w:unhideWhenUsed/>
    <w:qFormat/>
    <w:pPr>
      <w:spacing w:before="200" w:after="120"/>
      <w:outlineLvl w:val="2"/>
    </w:pPr>
    <w:rPr>
      <w:b/>
      <w:bCs/>
      <w:i/>
      <w:iCs/>
      <w:color w:val="2E74B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C211EC"/>
    <w:pPr>
      <w:tabs>
        <w:tab w:val="center" w:pos="4513"/>
        <w:tab w:val="right" w:pos="9026"/>
      </w:tabs>
    </w:pPr>
  </w:style>
  <w:style w:type="character" w:customStyle="1" w:styleId="HeaderChar">
    <w:name w:val="Header Char"/>
    <w:basedOn w:val="DefaultParagraphFont"/>
    <w:link w:val="Header"/>
    <w:uiPriority w:val="99"/>
    <w:rsid w:val="00C211EC"/>
  </w:style>
  <w:style w:type="paragraph" w:styleId="Footer">
    <w:name w:val="footer"/>
    <w:basedOn w:val="Normal"/>
    <w:link w:val="FooterChar"/>
    <w:uiPriority w:val="99"/>
    <w:unhideWhenUsed/>
    <w:rsid w:val="00C211EC"/>
    <w:pPr>
      <w:tabs>
        <w:tab w:val="center" w:pos="4513"/>
        <w:tab w:val="right" w:pos="9026"/>
      </w:tabs>
    </w:pPr>
  </w:style>
  <w:style w:type="character" w:customStyle="1" w:styleId="FooterChar">
    <w:name w:val="Footer Char"/>
    <w:basedOn w:val="DefaultParagraphFont"/>
    <w:link w:val="Footer"/>
    <w:uiPriority w:val="99"/>
    <w:rsid w:val="00C211EC"/>
  </w:style>
  <w:style w:type="table" w:styleId="TableGrid">
    <w:name w:val="Table Grid"/>
    <w:basedOn w:val="TableNormal"/>
    <w:uiPriority w:val="39"/>
    <w:rsid w:val="00C21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4505</Words>
  <Characters>25681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mustafa ali</cp:lastModifiedBy>
  <cp:revision>2</cp:revision>
  <dcterms:created xsi:type="dcterms:W3CDTF">2026-03-12T09:16:00Z</dcterms:created>
  <dcterms:modified xsi:type="dcterms:W3CDTF">2026-03-12T09:16:00Z</dcterms:modified>
</cp:coreProperties>
</file>