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16ADB" w14:textId="1F8296FF" w:rsidR="00871C64" w:rsidRDefault="00CB5945">
      <w:r>
        <w:t xml:space="preserve">Part 1- </w:t>
      </w:r>
    </w:p>
    <w:p w14:paraId="6FE7723A" w14:textId="1D1600C0" w:rsidR="00CB5945" w:rsidRDefault="00CB5945"/>
    <w:p w14:paraId="37D94568" w14:textId="77777777" w:rsidR="00CB5945" w:rsidRDefault="00CB5945" w:rsidP="00CB594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FA5BDBF" w14:textId="77777777" w:rsidR="00E562A7" w:rsidRDefault="00CB5945" w:rsidP="00CB5945">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In Iceland, the importance of children playing outdoors is a common ideology. Multiple authors have commented on government papers which sates the benefits the outdoors can have on children. There is a huge emphasis on the outdoor environment being a great place for learning and allows children to consider surrounding nature. </w:t>
      </w:r>
      <w:r w:rsidR="004440D9">
        <w:rPr>
          <w:rStyle w:val="normaltextrun"/>
          <w:rFonts w:ascii="Calibri" w:hAnsi="Calibri" w:cs="Calibri"/>
          <w:sz w:val="22"/>
          <w:szCs w:val="22"/>
        </w:rPr>
        <w:t>The o</w:t>
      </w:r>
      <w:r>
        <w:rPr>
          <w:rStyle w:val="normaltextrun"/>
          <w:rFonts w:ascii="Calibri" w:hAnsi="Calibri" w:cs="Calibri"/>
          <w:sz w:val="22"/>
          <w:szCs w:val="22"/>
        </w:rPr>
        <w:t xml:space="preserve">utdoors is also considered to be great for exercising and maintaining a healthy lifestyle </w:t>
      </w:r>
      <w:sdt>
        <w:sdtPr>
          <w:rPr>
            <w:rStyle w:val="normaltextrun"/>
            <w:rFonts w:ascii="Calibri" w:hAnsi="Calibri" w:cs="Calibri"/>
            <w:sz w:val="22"/>
            <w:szCs w:val="22"/>
          </w:rPr>
          <w:id w:val="218109497"/>
          <w:citation/>
        </w:sdtPr>
        <w:sdtContent>
          <w:r>
            <w:rPr>
              <w:rStyle w:val="normaltextrun"/>
              <w:rFonts w:ascii="Calibri" w:hAnsi="Calibri" w:cs="Calibri"/>
              <w:sz w:val="22"/>
              <w:szCs w:val="22"/>
            </w:rPr>
            <w:fldChar w:fldCharType="begin"/>
          </w:r>
          <w:r>
            <w:rPr>
              <w:rStyle w:val="normaltextrun"/>
              <w:rFonts w:ascii="Calibri" w:hAnsi="Calibri" w:cs="Calibri"/>
              <w:sz w:val="22"/>
              <w:szCs w:val="22"/>
            </w:rPr>
            <w:instrText xml:space="preserve"> CITATION Nor14 \l 2057 </w:instrText>
          </w:r>
          <w:r>
            <w:rPr>
              <w:rStyle w:val="normaltextrun"/>
              <w:rFonts w:ascii="Calibri" w:hAnsi="Calibri" w:cs="Calibri"/>
              <w:sz w:val="22"/>
              <w:szCs w:val="22"/>
            </w:rPr>
            <w:fldChar w:fldCharType="separate"/>
          </w:r>
          <w:r w:rsidRPr="00CB5945">
            <w:rPr>
              <w:rFonts w:ascii="Calibri" w:hAnsi="Calibri" w:cs="Calibri"/>
              <w:noProof/>
              <w:sz w:val="22"/>
              <w:szCs w:val="22"/>
            </w:rPr>
            <w:t>(Noradahl &amp; Johannesson, 2014)</w:t>
          </w:r>
          <w:r>
            <w:rPr>
              <w:rStyle w:val="normaltextrun"/>
              <w:rFonts w:ascii="Calibri" w:hAnsi="Calibri" w:cs="Calibri"/>
              <w:sz w:val="22"/>
              <w:szCs w:val="22"/>
            </w:rPr>
            <w:fldChar w:fldCharType="end"/>
          </w:r>
        </w:sdtContent>
      </w:sdt>
      <w:r>
        <w:rPr>
          <w:rStyle w:val="normaltextrun"/>
          <w:rFonts w:ascii="Calibri" w:hAnsi="Calibri" w:cs="Calibri"/>
          <w:sz w:val="22"/>
          <w:szCs w:val="22"/>
        </w:rPr>
        <w:t xml:space="preserve">. The emphasis of children experiencing the outdoor environment has been communicated across Iceland for a long period of time. Children ages 1 to 6 have multiple opportunities to play outdoors most days. However, that is different for children ages 6 to 16. Due to this age group being in full time education, the only opportunity they get to go outdoors and experience this environment with friends is during playtime. There is little information on what exactly teachers </w:t>
      </w:r>
      <w:r w:rsidR="004440D9">
        <w:rPr>
          <w:rStyle w:val="normaltextrun"/>
          <w:rFonts w:ascii="Calibri" w:hAnsi="Calibri" w:cs="Calibri"/>
          <w:sz w:val="22"/>
          <w:szCs w:val="22"/>
        </w:rPr>
        <w:t xml:space="preserve">do to encouraging learning in the outdoors. It is clear outdoor learning will differ depending on what method of teaching is practiced by professionals and the aims of a school a child attends. Although there is little evidence on outdoor learning in Iceland, a survey carried out in Reykjavik stated 70% of schools within the capital do say they do encourage and practice outdoor learning </w:t>
      </w:r>
      <w:sdt>
        <w:sdtPr>
          <w:rPr>
            <w:rStyle w:val="normaltextrun"/>
            <w:rFonts w:ascii="Calibri" w:hAnsi="Calibri" w:cs="Calibri"/>
            <w:sz w:val="22"/>
            <w:szCs w:val="22"/>
          </w:rPr>
          <w:id w:val="-1524155374"/>
          <w:citation/>
        </w:sdtPr>
        <w:sdtContent>
          <w:r w:rsidR="00E562A7">
            <w:rPr>
              <w:rStyle w:val="normaltextrun"/>
              <w:rFonts w:ascii="Calibri" w:hAnsi="Calibri" w:cs="Calibri"/>
              <w:sz w:val="22"/>
              <w:szCs w:val="22"/>
            </w:rPr>
            <w:fldChar w:fldCharType="begin"/>
          </w:r>
          <w:r w:rsidR="00E562A7">
            <w:rPr>
              <w:rStyle w:val="normaltextrun"/>
              <w:rFonts w:ascii="Calibri" w:hAnsi="Calibri" w:cs="Calibri"/>
              <w:sz w:val="22"/>
              <w:szCs w:val="22"/>
            </w:rPr>
            <w:instrText xml:space="preserve"> CITATION Ola08 \l 2057 </w:instrText>
          </w:r>
          <w:r w:rsidR="00E562A7">
            <w:rPr>
              <w:rStyle w:val="normaltextrun"/>
              <w:rFonts w:ascii="Calibri" w:hAnsi="Calibri" w:cs="Calibri"/>
              <w:sz w:val="22"/>
              <w:szCs w:val="22"/>
            </w:rPr>
            <w:fldChar w:fldCharType="separate"/>
          </w:r>
          <w:r w:rsidR="00E562A7" w:rsidRPr="00E562A7">
            <w:rPr>
              <w:rFonts w:ascii="Calibri" w:hAnsi="Calibri" w:cs="Calibri"/>
              <w:noProof/>
              <w:sz w:val="22"/>
              <w:szCs w:val="22"/>
            </w:rPr>
            <w:t>(Oladottir, 2008)</w:t>
          </w:r>
          <w:r w:rsidR="00E562A7">
            <w:rPr>
              <w:rStyle w:val="normaltextrun"/>
              <w:rFonts w:ascii="Calibri" w:hAnsi="Calibri" w:cs="Calibri"/>
              <w:sz w:val="22"/>
              <w:szCs w:val="22"/>
            </w:rPr>
            <w:fldChar w:fldCharType="end"/>
          </w:r>
        </w:sdtContent>
      </w:sdt>
      <w:r w:rsidR="00E562A7">
        <w:rPr>
          <w:rStyle w:val="normaltextrun"/>
          <w:rFonts w:ascii="Calibri" w:hAnsi="Calibri" w:cs="Calibri"/>
          <w:sz w:val="22"/>
          <w:szCs w:val="22"/>
        </w:rPr>
        <w:t xml:space="preserve">. </w:t>
      </w:r>
    </w:p>
    <w:p w14:paraId="40C5AC53" w14:textId="77777777" w:rsidR="00E562A7" w:rsidRDefault="00E562A7" w:rsidP="00CB5945">
      <w:pPr>
        <w:pStyle w:val="paragraph"/>
        <w:spacing w:before="0" w:beforeAutospacing="0" w:after="0" w:afterAutospacing="0"/>
        <w:textAlignment w:val="baseline"/>
        <w:rPr>
          <w:rStyle w:val="normaltextrun"/>
          <w:rFonts w:ascii="Calibri" w:hAnsi="Calibri" w:cs="Calibri"/>
          <w:sz w:val="22"/>
          <w:szCs w:val="22"/>
        </w:rPr>
      </w:pPr>
    </w:p>
    <w:sdt>
      <w:sdtPr>
        <w:rPr>
          <w:rFonts w:asciiTheme="minorHAnsi" w:eastAsiaTheme="minorHAnsi" w:hAnsiTheme="minorHAnsi" w:cstheme="minorBidi"/>
          <w:b w:val="0"/>
          <w:bCs w:val="0"/>
          <w:color w:val="auto"/>
          <w:sz w:val="24"/>
          <w:szCs w:val="24"/>
          <w:lang w:val="en-GB" w:bidi="ar-SA"/>
        </w:rPr>
        <w:id w:val="-1873763597"/>
        <w:docPartObj>
          <w:docPartGallery w:val="Bibliographies"/>
          <w:docPartUnique/>
        </w:docPartObj>
      </w:sdtPr>
      <w:sdtContent>
        <w:p w14:paraId="6BC59427" w14:textId="68EF875A" w:rsidR="00E562A7" w:rsidRDefault="00E562A7">
          <w:pPr>
            <w:pStyle w:val="Heading1"/>
          </w:pPr>
          <w:r>
            <w:t>Works Cited</w:t>
          </w:r>
        </w:p>
        <w:p w14:paraId="4F5B1BEF" w14:textId="77777777" w:rsidR="00E562A7" w:rsidRDefault="00E562A7" w:rsidP="00E562A7">
          <w:pPr>
            <w:pStyle w:val="Bibliography"/>
            <w:rPr>
              <w:noProof/>
              <w:lang w:val="en-US"/>
            </w:rPr>
          </w:pPr>
          <w:r>
            <w:fldChar w:fldCharType="begin"/>
          </w:r>
          <w:r>
            <w:instrText xml:space="preserve"> BIBLIOGRAPHY </w:instrText>
          </w:r>
          <w:r>
            <w:fldChar w:fldCharType="separate"/>
          </w:r>
          <w:r>
            <w:rPr>
              <w:noProof/>
              <w:lang w:val="en-US"/>
            </w:rPr>
            <w:t xml:space="preserve">Noradahl, K. &amp; Johannesson, I., 2014. Icelandic teachers' views of using the outdoors. </w:t>
          </w:r>
          <w:r>
            <w:rPr>
              <w:i/>
              <w:iCs/>
              <w:noProof/>
              <w:lang w:val="en-US"/>
            </w:rPr>
            <w:t xml:space="preserve">International Journal of Primary, Elementary and Early Years Education, </w:t>
          </w:r>
          <w:r>
            <w:rPr>
              <w:noProof/>
              <w:lang w:val="en-US"/>
            </w:rPr>
            <w:t>44(4), pp. 391-406.</w:t>
          </w:r>
        </w:p>
        <w:p w14:paraId="754B916A" w14:textId="77777777" w:rsidR="00E562A7" w:rsidRDefault="00E562A7" w:rsidP="00E562A7">
          <w:pPr>
            <w:pStyle w:val="Bibliography"/>
            <w:rPr>
              <w:noProof/>
              <w:lang w:val="en-US"/>
            </w:rPr>
          </w:pPr>
          <w:r>
            <w:rPr>
              <w:noProof/>
              <w:lang w:val="en-US"/>
            </w:rPr>
            <w:t xml:space="preserve">Oladottir, H., 2008. </w:t>
          </w:r>
          <w:r>
            <w:rPr>
              <w:i/>
              <w:iCs/>
              <w:noProof/>
              <w:lang w:val="en-US"/>
            </w:rPr>
            <w:t xml:space="preserve">Annual report 2008, </w:t>
          </w:r>
          <w:r>
            <w:rPr>
              <w:noProof/>
              <w:lang w:val="en-US"/>
            </w:rPr>
            <w:t>s.l.: Reykjavik: Nattoruskoli Reykjavikur.</w:t>
          </w:r>
        </w:p>
        <w:p w14:paraId="15D196AE" w14:textId="5466058B" w:rsidR="00E562A7" w:rsidRDefault="00E562A7" w:rsidP="00E562A7">
          <w:r>
            <w:rPr>
              <w:b/>
              <w:bCs/>
            </w:rPr>
            <w:fldChar w:fldCharType="end"/>
          </w:r>
        </w:p>
      </w:sdtContent>
    </w:sdt>
    <w:p w14:paraId="2548789B" w14:textId="09C9F69D" w:rsidR="00CB5945" w:rsidRDefault="004440D9" w:rsidP="00CB5945">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 </w:t>
      </w:r>
    </w:p>
    <w:p w14:paraId="2406A82C" w14:textId="0E7BEFAF" w:rsidR="00E562A7" w:rsidRDefault="00E562A7" w:rsidP="00CB5945">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Part 2</w:t>
      </w:r>
      <w:r w:rsidR="009F0D3C">
        <w:rPr>
          <w:rStyle w:val="normaltextrun"/>
          <w:rFonts w:ascii="Calibri" w:hAnsi="Calibri" w:cs="Calibri"/>
          <w:sz w:val="22"/>
          <w:szCs w:val="22"/>
        </w:rPr>
        <w:t xml:space="preserve"> a-</w:t>
      </w:r>
    </w:p>
    <w:p w14:paraId="43A6BC3B" w14:textId="6E8FEAFD" w:rsidR="009F0D3C" w:rsidRDefault="009F0D3C" w:rsidP="00CB5945">
      <w:pPr>
        <w:pStyle w:val="paragraph"/>
        <w:spacing w:before="0" w:beforeAutospacing="0" w:after="0" w:afterAutospacing="0"/>
        <w:textAlignment w:val="baseline"/>
        <w:rPr>
          <w:rStyle w:val="normaltextrun"/>
          <w:rFonts w:ascii="Calibri" w:hAnsi="Calibri" w:cs="Calibri"/>
          <w:sz w:val="22"/>
          <w:szCs w:val="22"/>
        </w:rPr>
      </w:pPr>
    </w:p>
    <w:p w14:paraId="363BD9D9" w14:textId="2A916FA9" w:rsidR="009F0D3C" w:rsidRDefault="009F0D3C" w:rsidP="00541B4A">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xml:space="preserve">The following essay will discuss the benefits of forest schools. The Forest school network has created the following definition defining forest schools as ‘an inspirational process that offers children, young people and adults’ regular opportunities to achieve and develop confidence and self-esteem through hands on learning experiences in woodland environment’ </w:t>
      </w:r>
      <w:sdt>
        <w:sdtPr>
          <w:rPr>
            <w:rStyle w:val="normaltextrun"/>
            <w:rFonts w:ascii="Calibri" w:eastAsiaTheme="majorEastAsia" w:hAnsi="Calibri" w:cs="Calibri"/>
            <w:sz w:val="22"/>
            <w:szCs w:val="22"/>
          </w:rPr>
          <w:id w:val="-1807151604"/>
          <w:citation/>
        </w:sdtPr>
        <w:sdtContent>
          <w:r>
            <w:rPr>
              <w:rStyle w:val="normaltextrun"/>
              <w:rFonts w:ascii="Calibri" w:eastAsiaTheme="majorEastAsia" w:hAnsi="Calibri" w:cs="Calibri"/>
              <w:sz w:val="22"/>
              <w:szCs w:val="22"/>
            </w:rPr>
            <w:fldChar w:fldCharType="begin"/>
          </w:r>
          <w:r>
            <w:rPr>
              <w:rStyle w:val="normaltextrun"/>
              <w:rFonts w:ascii="Calibri" w:eastAsiaTheme="majorEastAsia" w:hAnsi="Calibri" w:cs="Calibri"/>
              <w:sz w:val="22"/>
              <w:szCs w:val="22"/>
            </w:rPr>
            <w:instrText xml:space="preserve"> CITATION OBr06 \l 2057 </w:instrText>
          </w:r>
          <w:r>
            <w:rPr>
              <w:rStyle w:val="normaltextrun"/>
              <w:rFonts w:ascii="Calibri" w:eastAsiaTheme="majorEastAsia" w:hAnsi="Calibri" w:cs="Calibri"/>
              <w:sz w:val="22"/>
              <w:szCs w:val="22"/>
            </w:rPr>
            <w:fldChar w:fldCharType="separate"/>
          </w:r>
          <w:r w:rsidRPr="009F0D3C">
            <w:rPr>
              <w:rFonts w:ascii="Calibri" w:eastAsiaTheme="majorEastAsia" w:hAnsi="Calibri" w:cs="Calibri"/>
              <w:noProof/>
              <w:sz w:val="22"/>
              <w:szCs w:val="22"/>
            </w:rPr>
            <w:t>(O'Brien &amp; Murray, 2006)</w:t>
          </w:r>
          <w:r>
            <w:rPr>
              <w:rStyle w:val="normaltextrun"/>
              <w:rFonts w:ascii="Calibri" w:eastAsiaTheme="majorEastAsia" w:hAnsi="Calibri" w:cs="Calibri"/>
              <w:sz w:val="22"/>
              <w:szCs w:val="22"/>
            </w:rPr>
            <w:fldChar w:fldCharType="end"/>
          </w:r>
        </w:sdtContent>
      </w:sdt>
      <w:r>
        <w:rPr>
          <w:rStyle w:val="normaltextrun"/>
          <w:rFonts w:ascii="Calibri" w:eastAsiaTheme="majorEastAsia" w:hAnsi="Calibri" w:cs="Calibri"/>
          <w:sz w:val="22"/>
          <w:szCs w:val="22"/>
        </w:rPr>
        <w:t xml:space="preserve">. Murray and </w:t>
      </w:r>
      <w:r w:rsidR="00541B4A">
        <w:rPr>
          <w:rStyle w:val="normaltextrun"/>
          <w:rFonts w:ascii="Calibri" w:eastAsiaTheme="majorEastAsia" w:hAnsi="Calibri" w:cs="Calibri"/>
          <w:sz w:val="22"/>
          <w:szCs w:val="22"/>
        </w:rPr>
        <w:t>O’Brien</w:t>
      </w:r>
      <w:r>
        <w:rPr>
          <w:rStyle w:val="normaltextrun"/>
          <w:rFonts w:ascii="Calibri" w:eastAsiaTheme="majorEastAsia" w:hAnsi="Calibri" w:cs="Calibri"/>
          <w:sz w:val="22"/>
          <w:szCs w:val="22"/>
        </w:rPr>
        <w:t xml:space="preserve"> suggested there is a slight worry that young children in schools are not receiving the same opportunities their parents did when it comes to outdoor learning and woodland environments. They stated this is due to health and safety worries and the common ideology within society that there </w:t>
      </w:r>
      <w:r w:rsidR="00541B4A">
        <w:rPr>
          <w:rStyle w:val="normaltextrun"/>
          <w:rFonts w:ascii="Calibri" w:eastAsiaTheme="majorEastAsia" w:hAnsi="Calibri" w:cs="Calibri"/>
          <w:sz w:val="22"/>
          <w:szCs w:val="22"/>
        </w:rPr>
        <w:t>are</w:t>
      </w:r>
      <w:r>
        <w:rPr>
          <w:rStyle w:val="normaltextrun"/>
          <w:rFonts w:ascii="Calibri" w:eastAsiaTheme="majorEastAsia" w:hAnsi="Calibri" w:cs="Calibri"/>
          <w:sz w:val="22"/>
          <w:szCs w:val="22"/>
        </w:rPr>
        <w:t xml:space="preserve"> equal and safer opportunities for children within the classroom environment (O’Brien and Murray, 2006). Research has also suggested that if children don’t experience the woodland environment whilst they are </w:t>
      </w:r>
      <w:r w:rsidR="00541B4A">
        <w:rPr>
          <w:rStyle w:val="normaltextrun"/>
          <w:rFonts w:ascii="Calibri" w:eastAsiaTheme="majorEastAsia" w:hAnsi="Calibri" w:cs="Calibri"/>
          <w:sz w:val="22"/>
          <w:szCs w:val="22"/>
        </w:rPr>
        <w:t>young,</w:t>
      </w:r>
      <w:r>
        <w:rPr>
          <w:rStyle w:val="normaltextrun"/>
          <w:rFonts w:ascii="Calibri" w:eastAsiaTheme="majorEastAsia" w:hAnsi="Calibri" w:cs="Calibri"/>
          <w:sz w:val="22"/>
          <w:szCs w:val="22"/>
        </w:rPr>
        <w:t xml:space="preserve"> they won’t have the desire to experience this type of environment when they are older. This means they will miss out on the physical and emotional benefits woodland environments provide </w:t>
      </w:r>
      <w:sdt>
        <w:sdtPr>
          <w:rPr>
            <w:rStyle w:val="normaltextrun"/>
            <w:rFonts w:ascii="Calibri" w:eastAsiaTheme="majorEastAsia" w:hAnsi="Calibri" w:cs="Calibri"/>
            <w:sz w:val="22"/>
            <w:szCs w:val="22"/>
          </w:rPr>
          <w:id w:val="776680701"/>
          <w:citation/>
        </w:sdtPr>
        <w:sdtContent>
          <w:r w:rsidR="00541B4A">
            <w:rPr>
              <w:rStyle w:val="normaltextrun"/>
              <w:rFonts w:ascii="Calibri" w:eastAsiaTheme="majorEastAsia" w:hAnsi="Calibri" w:cs="Calibri"/>
              <w:sz w:val="22"/>
              <w:szCs w:val="22"/>
            </w:rPr>
            <w:fldChar w:fldCharType="begin"/>
          </w:r>
          <w:r w:rsidR="00541B4A">
            <w:rPr>
              <w:rStyle w:val="normaltextrun"/>
              <w:rFonts w:ascii="Calibri" w:eastAsiaTheme="majorEastAsia" w:hAnsi="Calibri" w:cs="Calibri"/>
              <w:sz w:val="22"/>
              <w:szCs w:val="22"/>
            </w:rPr>
            <w:instrText xml:space="preserve"> CITATION Tho04 \l 2057 </w:instrText>
          </w:r>
          <w:r w:rsidR="00541B4A">
            <w:rPr>
              <w:rStyle w:val="normaltextrun"/>
              <w:rFonts w:ascii="Calibri" w:eastAsiaTheme="majorEastAsia" w:hAnsi="Calibri" w:cs="Calibri"/>
              <w:sz w:val="22"/>
              <w:szCs w:val="22"/>
            </w:rPr>
            <w:fldChar w:fldCharType="separate"/>
          </w:r>
          <w:r w:rsidR="00541B4A" w:rsidRPr="00541B4A">
            <w:rPr>
              <w:rFonts w:ascii="Calibri" w:eastAsiaTheme="majorEastAsia" w:hAnsi="Calibri" w:cs="Calibri"/>
              <w:noProof/>
              <w:sz w:val="22"/>
              <w:szCs w:val="22"/>
            </w:rPr>
            <w:t>(Thompson, et al., 2004)</w:t>
          </w:r>
          <w:r w:rsidR="00541B4A">
            <w:rPr>
              <w:rStyle w:val="normaltextrun"/>
              <w:rFonts w:ascii="Calibri" w:eastAsiaTheme="majorEastAsia" w:hAnsi="Calibri" w:cs="Calibri"/>
              <w:sz w:val="22"/>
              <w:szCs w:val="22"/>
            </w:rPr>
            <w:fldChar w:fldCharType="end"/>
          </w:r>
        </w:sdtContent>
      </w:sdt>
      <w:r>
        <w:rPr>
          <w:rStyle w:val="normaltextrun"/>
          <w:rFonts w:ascii="Calibri" w:eastAsiaTheme="majorEastAsia" w:hAnsi="Calibri" w:cs="Calibri"/>
          <w:sz w:val="22"/>
          <w:szCs w:val="22"/>
        </w:rPr>
        <w:t xml:space="preserve">. The Welsh government are promoting the idea that learning outdoors is extremely different to learning in the classroom. They are especially encouraging foundation phase teachers to incorporate forest schools into their everyday teaching practices </w:t>
      </w:r>
      <w:sdt>
        <w:sdtPr>
          <w:rPr>
            <w:rStyle w:val="normaltextrun"/>
            <w:rFonts w:ascii="Calibri" w:eastAsiaTheme="majorEastAsia" w:hAnsi="Calibri" w:cs="Calibri"/>
            <w:sz w:val="22"/>
            <w:szCs w:val="22"/>
          </w:rPr>
          <w:id w:val="-711492821"/>
          <w:citation/>
        </w:sdtPr>
        <w:sdtContent>
          <w:r w:rsidR="00541B4A">
            <w:rPr>
              <w:rStyle w:val="normaltextrun"/>
              <w:rFonts w:ascii="Calibri" w:eastAsiaTheme="majorEastAsia" w:hAnsi="Calibri" w:cs="Calibri"/>
              <w:sz w:val="22"/>
              <w:szCs w:val="22"/>
            </w:rPr>
            <w:fldChar w:fldCharType="begin"/>
          </w:r>
          <w:r w:rsidR="00541B4A">
            <w:rPr>
              <w:rStyle w:val="normaltextrun"/>
              <w:rFonts w:ascii="Calibri" w:eastAsiaTheme="majorEastAsia" w:hAnsi="Calibri" w:cs="Calibri"/>
              <w:sz w:val="22"/>
              <w:szCs w:val="22"/>
            </w:rPr>
            <w:instrText xml:space="preserve"> CITATION Wel09 \l 2057 </w:instrText>
          </w:r>
          <w:r w:rsidR="00541B4A">
            <w:rPr>
              <w:rStyle w:val="normaltextrun"/>
              <w:rFonts w:ascii="Calibri" w:eastAsiaTheme="majorEastAsia" w:hAnsi="Calibri" w:cs="Calibri"/>
              <w:sz w:val="22"/>
              <w:szCs w:val="22"/>
            </w:rPr>
            <w:fldChar w:fldCharType="separate"/>
          </w:r>
          <w:r w:rsidR="00541B4A" w:rsidRPr="00541B4A">
            <w:rPr>
              <w:rFonts w:ascii="Calibri" w:eastAsiaTheme="majorEastAsia" w:hAnsi="Calibri" w:cs="Calibri"/>
              <w:noProof/>
              <w:sz w:val="22"/>
              <w:szCs w:val="22"/>
            </w:rPr>
            <w:t>(Government, 2009)</w:t>
          </w:r>
          <w:r w:rsidR="00541B4A">
            <w:rPr>
              <w:rStyle w:val="normaltextrun"/>
              <w:rFonts w:ascii="Calibri" w:eastAsiaTheme="majorEastAsia" w:hAnsi="Calibri" w:cs="Calibri"/>
              <w:sz w:val="22"/>
              <w:szCs w:val="22"/>
            </w:rPr>
            <w:fldChar w:fldCharType="end"/>
          </w:r>
        </w:sdtContent>
      </w:sdt>
      <w:r w:rsidR="00541B4A">
        <w:rPr>
          <w:rStyle w:val="normaltextrun"/>
          <w:rFonts w:ascii="Calibri" w:eastAsiaTheme="majorEastAsia" w:hAnsi="Calibri" w:cs="Calibri"/>
          <w:sz w:val="22"/>
          <w:szCs w:val="22"/>
        </w:rPr>
        <w:t>.</w:t>
      </w:r>
    </w:p>
    <w:p w14:paraId="31211F97" w14:textId="7FB79DDB" w:rsidR="009F0D3C" w:rsidRDefault="009F0D3C" w:rsidP="009F0D3C">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422FE4A7" w14:textId="77777777" w:rsidR="00541B4A" w:rsidRDefault="00541B4A" w:rsidP="009F0D3C">
      <w:pPr>
        <w:pStyle w:val="paragraph"/>
        <w:spacing w:before="0" w:beforeAutospacing="0" w:after="0" w:afterAutospacing="0"/>
        <w:textAlignment w:val="baseline"/>
        <w:rPr>
          <w:rStyle w:val="eop"/>
          <w:rFonts w:ascii="Calibri" w:hAnsi="Calibri" w:cs="Calibri"/>
          <w:sz w:val="22"/>
          <w:szCs w:val="22"/>
        </w:rPr>
      </w:pPr>
    </w:p>
    <w:sdt>
      <w:sdtPr>
        <w:rPr>
          <w:rFonts w:asciiTheme="minorHAnsi" w:eastAsiaTheme="minorHAnsi" w:hAnsiTheme="minorHAnsi" w:cstheme="minorBidi"/>
          <w:b w:val="0"/>
          <w:bCs w:val="0"/>
          <w:color w:val="auto"/>
          <w:sz w:val="24"/>
          <w:szCs w:val="24"/>
          <w:lang w:val="en-GB" w:bidi="ar-SA"/>
        </w:rPr>
        <w:id w:val="2041626982"/>
        <w:docPartObj>
          <w:docPartGallery w:val="Bibliographies"/>
          <w:docPartUnique/>
        </w:docPartObj>
      </w:sdtPr>
      <w:sdtContent>
        <w:p w14:paraId="4595119F" w14:textId="77777777" w:rsidR="00437555" w:rsidRDefault="00437555" w:rsidP="00437555">
          <w:pPr>
            <w:pStyle w:val="Heading1"/>
          </w:pPr>
          <w:r>
            <w:t>Works Cited</w:t>
          </w:r>
        </w:p>
        <w:p w14:paraId="02D1DD9A" w14:textId="77777777" w:rsidR="00437555" w:rsidRDefault="00437555" w:rsidP="00437555">
          <w:pPr>
            <w:pStyle w:val="Bibliography"/>
            <w:rPr>
              <w:noProof/>
              <w:lang w:val="en-US"/>
            </w:rPr>
          </w:pPr>
          <w:r>
            <w:fldChar w:fldCharType="begin"/>
          </w:r>
          <w:r>
            <w:instrText xml:space="preserve"> BIBLIOGRAPHY </w:instrText>
          </w:r>
          <w:r>
            <w:fldChar w:fldCharType="separate"/>
          </w:r>
          <w:r>
            <w:rPr>
              <w:noProof/>
              <w:lang w:val="en-US"/>
            </w:rPr>
            <w:t xml:space="preserve">Government, W. A., 2009. </w:t>
          </w:r>
          <w:r>
            <w:rPr>
              <w:i/>
              <w:iCs/>
              <w:noProof/>
              <w:lang w:val="en-US"/>
            </w:rPr>
            <w:t xml:space="preserve">Outdoor Learning Handbook. </w:t>
          </w:r>
          <w:r>
            <w:rPr>
              <w:noProof/>
              <w:lang w:val="en-US"/>
            </w:rPr>
            <w:t>Cardiff: WAG.</w:t>
          </w:r>
        </w:p>
        <w:p w14:paraId="482F1272" w14:textId="77777777" w:rsidR="00437555" w:rsidRDefault="00437555" w:rsidP="00437555">
          <w:pPr>
            <w:pStyle w:val="Bibliography"/>
            <w:rPr>
              <w:noProof/>
              <w:lang w:val="en-US"/>
            </w:rPr>
          </w:pPr>
          <w:r>
            <w:rPr>
              <w:noProof/>
              <w:lang w:val="en-US"/>
            </w:rPr>
            <w:lastRenderedPageBreak/>
            <w:t xml:space="preserve">O'Brien, E. &amp; Murray, R., 2006. </w:t>
          </w:r>
          <w:r>
            <w:rPr>
              <w:i/>
              <w:iCs/>
              <w:noProof/>
              <w:lang w:val="en-US"/>
            </w:rPr>
            <w:t xml:space="preserve">A marvellous opportunity for children to learn: A participatory evaluation of Forest school in England and Wales, </w:t>
          </w:r>
          <w:r>
            <w:rPr>
              <w:noProof/>
              <w:lang w:val="en-US"/>
            </w:rPr>
            <w:t>s.l.: Farnham: forest research.</w:t>
          </w:r>
        </w:p>
        <w:p w14:paraId="50E36D6B" w14:textId="77777777" w:rsidR="00437555" w:rsidRDefault="00437555" w:rsidP="00437555">
          <w:pPr>
            <w:pStyle w:val="Bibliography"/>
            <w:rPr>
              <w:noProof/>
              <w:lang w:val="en-US"/>
            </w:rPr>
          </w:pPr>
          <w:r>
            <w:rPr>
              <w:noProof/>
              <w:lang w:val="en-US"/>
            </w:rPr>
            <w:t xml:space="preserve">Thompson, C. et al., 2004. </w:t>
          </w:r>
          <w:r>
            <w:rPr>
              <w:i/>
              <w:iCs/>
              <w:noProof/>
              <w:lang w:val="en-US"/>
            </w:rPr>
            <w:t xml:space="preserve">Open space and social inclusion: Local woodland use in central Scotland, </w:t>
          </w:r>
          <w:r>
            <w:rPr>
              <w:noProof/>
              <w:lang w:val="en-US"/>
            </w:rPr>
            <w:t>Edinburugh: Report to the Forestry Commission.</w:t>
          </w:r>
        </w:p>
        <w:p w14:paraId="3FE96FB9" w14:textId="77777777" w:rsidR="00437555" w:rsidRDefault="00437555" w:rsidP="00437555">
          <w:pPr>
            <w:rPr>
              <w:b/>
              <w:bCs/>
            </w:rPr>
          </w:pPr>
          <w:r>
            <w:rPr>
              <w:b/>
              <w:bCs/>
            </w:rPr>
            <w:fldChar w:fldCharType="end"/>
          </w:r>
        </w:p>
      </w:sdtContent>
    </w:sdt>
    <w:p w14:paraId="70278BF5" w14:textId="796FDB7A" w:rsidR="00CB5945" w:rsidRDefault="00CB5945" w:rsidP="00437555">
      <w:pPr>
        <w:pStyle w:val="paragraph"/>
        <w:spacing w:before="0" w:beforeAutospacing="0" w:after="0" w:afterAutospacing="0"/>
        <w:textAlignment w:val="baseline"/>
        <w:rPr>
          <w:rFonts w:ascii="Segoe UI" w:hAnsi="Segoe UI" w:cs="Segoe UI"/>
          <w:sz w:val="18"/>
          <w:szCs w:val="18"/>
        </w:rPr>
      </w:pPr>
    </w:p>
    <w:p w14:paraId="5343DE44" w14:textId="1CAA793F" w:rsidR="00437555" w:rsidRDefault="00437555" w:rsidP="00437555">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Part 2b- </w:t>
      </w:r>
    </w:p>
    <w:p w14:paraId="52FA2EB7" w14:textId="62DF1199" w:rsidR="00437555" w:rsidRDefault="00437555" w:rsidP="00437555">
      <w:pPr>
        <w:pStyle w:val="paragraph"/>
        <w:spacing w:before="0" w:beforeAutospacing="0" w:after="0" w:afterAutospacing="0"/>
        <w:textAlignment w:val="baseline"/>
        <w:rPr>
          <w:rFonts w:ascii="Segoe UI" w:hAnsi="Segoe UI" w:cs="Segoe UI"/>
          <w:sz w:val="18"/>
          <w:szCs w:val="18"/>
        </w:rPr>
      </w:pPr>
    </w:p>
    <w:p w14:paraId="22B302BC" w14:textId="1796B95F" w:rsidR="00437555" w:rsidRDefault="00437555" w:rsidP="00437555">
      <w:pPr>
        <w:pStyle w:val="paragraph"/>
        <w:numPr>
          <w:ilvl w:val="0"/>
          <w:numId w:val="1"/>
        </w:numPr>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If you fail to acknowledge the source of your information in academic writing, you could be accused of </w:t>
      </w:r>
      <w:r w:rsidR="00B51410">
        <w:rPr>
          <w:rFonts w:ascii="Segoe UI" w:hAnsi="Segoe UI" w:cs="Segoe UI"/>
          <w:sz w:val="18"/>
          <w:szCs w:val="18"/>
        </w:rPr>
        <w:t>plagiarism. Why is it important that students avoid this?</w:t>
      </w:r>
    </w:p>
    <w:p w14:paraId="65415227" w14:textId="0C523879" w:rsidR="00B51410" w:rsidRDefault="00B51410" w:rsidP="00B51410">
      <w:pPr>
        <w:pStyle w:val="paragraph"/>
        <w:spacing w:before="0" w:beforeAutospacing="0" w:after="0" w:afterAutospacing="0"/>
        <w:textAlignment w:val="baseline"/>
        <w:rPr>
          <w:rFonts w:ascii="Segoe UI" w:hAnsi="Segoe UI" w:cs="Segoe UI"/>
          <w:sz w:val="18"/>
          <w:szCs w:val="18"/>
        </w:rPr>
      </w:pPr>
    </w:p>
    <w:p w14:paraId="494D2DF5" w14:textId="304C81A0" w:rsidR="00B51410" w:rsidRDefault="00B51410" w:rsidP="00B51410">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Referencing is a key skill a student must have in order to avoid plagiarism within their academic writing.  This skill ensures that a student is recognising and acknowledging resources written and produced by other people and it is not passed off as their own work </w:t>
      </w:r>
      <w:r w:rsidR="00D7594B">
        <w:rPr>
          <w:rFonts w:ascii="Segoe UI" w:hAnsi="Segoe UI" w:cs="Segoe UI"/>
          <w:sz w:val="18"/>
          <w:szCs w:val="18"/>
        </w:rPr>
        <w:t>(</w:t>
      </w:r>
      <w:r w:rsidR="00F82EF5">
        <w:rPr>
          <w:rFonts w:ascii="Segoe UI" w:hAnsi="Segoe UI" w:cs="Segoe UI"/>
          <w:sz w:val="18"/>
          <w:szCs w:val="18"/>
        </w:rPr>
        <w:t>UWSTD</w:t>
      </w:r>
      <w:r w:rsidR="00D7594B">
        <w:rPr>
          <w:rFonts w:ascii="Segoe UI" w:hAnsi="Segoe UI" w:cs="Segoe UI"/>
          <w:sz w:val="18"/>
          <w:szCs w:val="18"/>
        </w:rPr>
        <w:t xml:space="preserve">, p.4).  Plagiarism is considered a serious offence within academic writing and can be described and intentionally using others work within your own academic writing </w:t>
      </w:r>
      <w:sdt>
        <w:sdtPr>
          <w:rPr>
            <w:rFonts w:ascii="Segoe UI" w:hAnsi="Segoe UI" w:cs="Segoe UI"/>
            <w:sz w:val="18"/>
            <w:szCs w:val="18"/>
          </w:rPr>
          <w:id w:val="-364211194"/>
          <w:citation/>
        </w:sdtPr>
        <w:sdtContent>
          <w:r w:rsidR="00D7594B">
            <w:rPr>
              <w:rFonts w:ascii="Segoe UI" w:hAnsi="Segoe UI" w:cs="Segoe UI"/>
              <w:sz w:val="18"/>
              <w:szCs w:val="18"/>
            </w:rPr>
            <w:fldChar w:fldCharType="begin"/>
          </w:r>
          <w:r w:rsidR="00D7594B">
            <w:rPr>
              <w:rFonts w:ascii="Segoe UI" w:hAnsi="Segoe UI" w:cs="Segoe UI"/>
              <w:sz w:val="18"/>
              <w:szCs w:val="18"/>
            </w:rPr>
            <w:instrText xml:space="preserve"> CITATION Nev10 \l 2057 </w:instrText>
          </w:r>
          <w:r w:rsidR="00D7594B">
            <w:rPr>
              <w:rFonts w:ascii="Segoe UI" w:hAnsi="Segoe UI" w:cs="Segoe UI"/>
              <w:sz w:val="18"/>
              <w:szCs w:val="18"/>
            </w:rPr>
            <w:fldChar w:fldCharType="separate"/>
          </w:r>
          <w:r w:rsidR="00D7594B" w:rsidRPr="00D7594B">
            <w:rPr>
              <w:rFonts w:ascii="Segoe UI" w:hAnsi="Segoe UI" w:cs="Segoe UI"/>
              <w:noProof/>
              <w:sz w:val="18"/>
              <w:szCs w:val="18"/>
            </w:rPr>
            <w:t>(Neville, 2010)</w:t>
          </w:r>
          <w:r w:rsidR="00D7594B">
            <w:rPr>
              <w:rFonts w:ascii="Segoe UI" w:hAnsi="Segoe UI" w:cs="Segoe UI"/>
              <w:sz w:val="18"/>
              <w:szCs w:val="18"/>
            </w:rPr>
            <w:fldChar w:fldCharType="end"/>
          </w:r>
        </w:sdtContent>
      </w:sdt>
      <w:r w:rsidR="00D7594B">
        <w:rPr>
          <w:rFonts w:ascii="Segoe UI" w:hAnsi="Segoe UI" w:cs="Segoe UI"/>
          <w:sz w:val="18"/>
          <w:szCs w:val="18"/>
        </w:rPr>
        <w:t xml:space="preserve">.  Plagiarism can be performed at many different levels and under many different circumstances however, it is important that all students avoid this. This is </w:t>
      </w:r>
      <w:proofErr w:type="gramStart"/>
      <w:r w:rsidR="00D7594B">
        <w:rPr>
          <w:rFonts w:ascii="Segoe UI" w:hAnsi="Segoe UI" w:cs="Segoe UI"/>
          <w:sz w:val="18"/>
          <w:szCs w:val="18"/>
        </w:rPr>
        <w:t>due to the fact that</w:t>
      </w:r>
      <w:proofErr w:type="gramEnd"/>
      <w:r w:rsidR="00D7594B">
        <w:rPr>
          <w:rFonts w:ascii="Segoe UI" w:hAnsi="Segoe UI" w:cs="Segoe UI"/>
          <w:sz w:val="18"/>
          <w:szCs w:val="18"/>
        </w:rPr>
        <w:t xml:space="preserve"> plagiarism is unethical</w:t>
      </w:r>
      <w:r w:rsidR="001A3A92">
        <w:rPr>
          <w:rFonts w:ascii="Segoe UI" w:hAnsi="Segoe UI" w:cs="Segoe UI"/>
          <w:sz w:val="18"/>
          <w:szCs w:val="18"/>
        </w:rPr>
        <w:t xml:space="preserve"> </w:t>
      </w:r>
      <w:r w:rsidR="00440222">
        <w:rPr>
          <w:rFonts w:ascii="Segoe UI" w:hAnsi="Segoe UI" w:cs="Segoe UI"/>
          <w:sz w:val="18"/>
          <w:szCs w:val="18"/>
        </w:rPr>
        <w:t>towards</w:t>
      </w:r>
      <w:r w:rsidR="001A3A92">
        <w:rPr>
          <w:rFonts w:ascii="Segoe UI" w:hAnsi="Segoe UI" w:cs="Segoe UI"/>
          <w:sz w:val="18"/>
          <w:szCs w:val="18"/>
        </w:rPr>
        <w:t xml:space="preserve"> the writer whose work is being plagiarised </w:t>
      </w:r>
      <w:sdt>
        <w:sdtPr>
          <w:rPr>
            <w:rFonts w:ascii="Segoe UI" w:hAnsi="Segoe UI" w:cs="Segoe UI"/>
            <w:sz w:val="18"/>
            <w:szCs w:val="18"/>
          </w:rPr>
          <w:id w:val="-1890726518"/>
          <w:citation/>
        </w:sdtPr>
        <w:sdtContent>
          <w:r w:rsidR="001A3A92">
            <w:rPr>
              <w:rFonts w:ascii="Segoe UI" w:hAnsi="Segoe UI" w:cs="Segoe UI"/>
              <w:sz w:val="18"/>
              <w:szCs w:val="18"/>
            </w:rPr>
            <w:fldChar w:fldCharType="begin"/>
          </w:r>
          <w:r w:rsidR="001A3A92">
            <w:rPr>
              <w:rFonts w:ascii="Segoe UI" w:hAnsi="Segoe UI" w:cs="Segoe UI"/>
              <w:sz w:val="18"/>
              <w:szCs w:val="18"/>
            </w:rPr>
            <w:instrText xml:space="preserve"> CITATION Sto03 \l 2057 </w:instrText>
          </w:r>
          <w:r w:rsidR="001A3A92">
            <w:rPr>
              <w:rFonts w:ascii="Segoe UI" w:hAnsi="Segoe UI" w:cs="Segoe UI"/>
              <w:sz w:val="18"/>
              <w:szCs w:val="18"/>
            </w:rPr>
            <w:fldChar w:fldCharType="separate"/>
          </w:r>
          <w:r w:rsidR="001A3A92" w:rsidRPr="001A3A92">
            <w:rPr>
              <w:rFonts w:ascii="Segoe UI" w:hAnsi="Segoe UI" w:cs="Segoe UI"/>
              <w:noProof/>
              <w:sz w:val="18"/>
              <w:szCs w:val="18"/>
            </w:rPr>
            <w:t>(Stoner, 2003)</w:t>
          </w:r>
          <w:r w:rsidR="001A3A92">
            <w:rPr>
              <w:rFonts w:ascii="Segoe UI" w:hAnsi="Segoe UI" w:cs="Segoe UI"/>
              <w:sz w:val="18"/>
              <w:szCs w:val="18"/>
            </w:rPr>
            <w:fldChar w:fldCharType="end"/>
          </w:r>
        </w:sdtContent>
      </w:sdt>
      <w:r w:rsidR="00440222">
        <w:rPr>
          <w:rFonts w:ascii="Segoe UI" w:hAnsi="Segoe UI" w:cs="Segoe UI"/>
          <w:sz w:val="18"/>
          <w:szCs w:val="18"/>
        </w:rPr>
        <w:t xml:space="preserve">. </w:t>
      </w:r>
      <w:r w:rsidR="001A3A92">
        <w:rPr>
          <w:rFonts w:ascii="Segoe UI" w:hAnsi="Segoe UI" w:cs="Segoe UI"/>
          <w:sz w:val="18"/>
          <w:szCs w:val="18"/>
        </w:rPr>
        <w:t xml:space="preserve">By taking credit for someone else’s work student will </w:t>
      </w:r>
      <w:r w:rsidR="00440222">
        <w:rPr>
          <w:rFonts w:ascii="Segoe UI" w:hAnsi="Segoe UI" w:cs="Segoe UI"/>
          <w:sz w:val="18"/>
          <w:szCs w:val="18"/>
        </w:rPr>
        <w:t xml:space="preserve">also </w:t>
      </w:r>
      <w:r w:rsidR="001A3A92">
        <w:rPr>
          <w:rFonts w:ascii="Segoe UI" w:hAnsi="Segoe UI" w:cs="Segoe UI"/>
          <w:sz w:val="18"/>
          <w:szCs w:val="18"/>
        </w:rPr>
        <w:t xml:space="preserve">not learn how to develop crucial skills </w:t>
      </w:r>
      <w:r w:rsidR="00440222">
        <w:rPr>
          <w:rFonts w:ascii="Segoe UI" w:hAnsi="Segoe UI" w:cs="Segoe UI"/>
          <w:sz w:val="18"/>
          <w:szCs w:val="18"/>
        </w:rPr>
        <w:t xml:space="preserve">and come up with their own ideas, which will affect future careers as they have not allowed themselves to learn skills and develop them throughout their degree </w:t>
      </w:r>
      <w:sdt>
        <w:sdtPr>
          <w:rPr>
            <w:rFonts w:ascii="Segoe UI" w:hAnsi="Segoe UI" w:cs="Segoe UI"/>
            <w:sz w:val="18"/>
            <w:szCs w:val="18"/>
          </w:rPr>
          <w:id w:val="-1712637191"/>
          <w:citation/>
        </w:sdtPr>
        <w:sdtContent>
          <w:r w:rsidR="00440222">
            <w:rPr>
              <w:rFonts w:ascii="Segoe UI" w:hAnsi="Segoe UI" w:cs="Segoe UI"/>
              <w:sz w:val="18"/>
              <w:szCs w:val="18"/>
            </w:rPr>
            <w:fldChar w:fldCharType="begin"/>
          </w:r>
          <w:r w:rsidR="00440222">
            <w:rPr>
              <w:rFonts w:ascii="Segoe UI" w:hAnsi="Segoe UI" w:cs="Segoe UI"/>
              <w:sz w:val="18"/>
              <w:szCs w:val="18"/>
            </w:rPr>
            <w:instrText xml:space="preserve"> CITATION Nev101 \l 2057 </w:instrText>
          </w:r>
          <w:r w:rsidR="00440222">
            <w:rPr>
              <w:rFonts w:ascii="Segoe UI" w:hAnsi="Segoe UI" w:cs="Segoe UI"/>
              <w:sz w:val="18"/>
              <w:szCs w:val="18"/>
            </w:rPr>
            <w:fldChar w:fldCharType="separate"/>
          </w:r>
          <w:r w:rsidR="00440222" w:rsidRPr="00440222">
            <w:rPr>
              <w:rFonts w:ascii="Segoe UI" w:hAnsi="Segoe UI" w:cs="Segoe UI"/>
              <w:noProof/>
              <w:sz w:val="18"/>
              <w:szCs w:val="18"/>
            </w:rPr>
            <w:t>(Neville, 2010)</w:t>
          </w:r>
          <w:r w:rsidR="00440222">
            <w:rPr>
              <w:rFonts w:ascii="Segoe UI" w:hAnsi="Segoe UI" w:cs="Segoe UI"/>
              <w:sz w:val="18"/>
              <w:szCs w:val="18"/>
            </w:rPr>
            <w:fldChar w:fldCharType="end"/>
          </w:r>
        </w:sdtContent>
      </w:sdt>
      <w:r w:rsidR="00440222">
        <w:rPr>
          <w:rFonts w:ascii="Segoe UI" w:hAnsi="Segoe UI" w:cs="Segoe UI"/>
          <w:sz w:val="18"/>
          <w:szCs w:val="18"/>
        </w:rPr>
        <w:t xml:space="preserve">. Unintentional or not, plagiarism is a serious misconduct of the universities </w:t>
      </w:r>
      <w:proofErr w:type="gramStart"/>
      <w:r w:rsidR="00440222">
        <w:rPr>
          <w:rFonts w:ascii="Segoe UI" w:hAnsi="Segoe UI" w:cs="Segoe UI"/>
          <w:sz w:val="18"/>
          <w:szCs w:val="18"/>
        </w:rPr>
        <w:t>policies</w:t>
      </w:r>
      <w:proofErr w:type="gramEnd"/>
      <w:r w:rsidR="00440222">
        <w:rPr>
          <w:rFonts w:ascii="Segoe UI" w:hAnsi="Segoe UI" w:cs="Segoe UI"/>
          <w:sz w:val="18"/>
          <w:szCs w:val="18"/>
        </w:rPr>
        <w:t xml:space="preserve"> and it is crucial that students ensure they reference all sources of information they use within their academic writing, in order to avoid this offence. </w:t>
      </w:r>
    </w:p>
    <w:p w14:paraId="2DB3B44B" w14:textId="62187C95" w:rsidR="00440222" w:rsidRDefault="00440222" w:rsidP="00B51410">
      <w:pPr>
        <w:pStyle w:val="paragraph"/>
        <w:spacing w:before="0" w:beforeAutospacing="0" w:after="0" w:afterAutospacing="0"/>
        <w:textAlignment w:val="baseline"/>
        <w:rPr>
          <w:rFonts w:ascii="Segoe UI" w:hAnsi="Segoe UI" w:cs="Segoe UI"/>
          <w:sz w:val="18"/>
          <w:szCs w:val="18"/>
        </w:rPr>
      </w:pPr>
    </w:p>
    <w:p w14:paraId="60704A13" w14:textId="0848B9D1" w:rsidR="00440222" w:rsidRDefault="00440222" w:rsidP="00440222">
      <w:pPr>
        <w:pStyle w:val="paragraph"/>
        <w:numPr>
          <w:ilvl w:val="0"/>
          <w:numId w:val="1"/>
        </w:numPr>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You only </w:t>
      </w:r>
      <w:proofErr w:type="gramStart"/>
      <w:r>
        <w:rPr>
          <w:rFonts w:ascii="Segoe UI" w:hAnsi="Segoe UI" w:cs="Segoe UI"/>
          <w:sz w:val="18"/>
          <w:szCs w:val="18"/>
        </w:rPr>
        <w:t>have to</w:t>
      </w:r>
      <w:proofErr w:type="gramEnd"/>
      <w:r>
        <w:rPr>
          <w:rFonts w:ascii="Segoe UI" w:hAnsi="Segoe UI" w:cs="Segoe UI"/>
          <w:sz w:val="18"/>
          <w:szCs w:val="18"/>
        </w:rPr>
        <w:t xml:space="preserve"> reference when you use a direct quotation. Is this true or false? Explain your answer. </w:t>
      </w:r>
    </w:p>
    <w:p w14:paraId="690D2F03" w14:textId="39D166BF" w:rsidR="00440222" w:rsidRDefault="00440222" w:rsidP="00440222">
      <w:pPr>
        <w:pStyle w:val="paragraph"/>
        <w:spacing w:before="0" w:beforeAutospacing="0" w:after="0" w:afterAutospacing="0"/>
        <w:textAlignment w:val="baseline"/>
        <w:rPr>
          <w:rFonts w:ascii="Segoe UI" w:hAnsi="Segoe UI" w:cs="Segoe UI"/>
          <w:sz w:val="18"/>
          <w:szCs w:val="18"/>
        </w:rPr>
      </w:pPr>
    </w:p>
    <w:p w14:paraId="315F935E" w14:textId="1E543662" w:rsidR="00440222" w:rsidRDefault="00440222" w:rsidP="00440222">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This statement is false. Students must ensure that they reference any source of information they are using within their academic writing which is not their own work </w:t>
      </w:r>
      <w:sdt>
        <w:sdtPr>
          <w:rPr>
            <w:rFonts w:ascii="Segoe UI" w:hAnsi="Segoe UI" w:cs="Segoe UI"/>
            <w:sz w:val="18"/>
            <w:szCs w:val="18"/>
          </w:rPr>
          <w:id w:val="1073465549"/>
          <w:citation/>
        </w:sdtPr>
        <w:sdtContent>
          <w:r>
            <w:rPr>
              <w:rFonts w:ascii="Segoe UI" w:hAnsi="Segoe UI" w:cs="Segoe UI"/>
              <w:sz w:val="18"/>
              <w:szCs w:val="18"/>
            </w:rPr>
            <w:fldChar w:fldCharType="begin"/>
          </w:r>
          <w:r>
            <w:rPr>
              <w:rFonts w:ascii="Segoe UI" w:hAnsi="Segoe UI" w:cs="Segoe UI"/>
              <w:sz w:val="18"/>
              <w:szCs w:val="18"/>
            </w:rPr>
            <w:instrText xml:space="preserve"> CITATION Nev102 \l 2057 </w:instrText>
          </w:r>
          <w:r>
            <w:rPr>
              <w:rFonts w:ascii="Segoe UI" w:hAnsi="Segoe UI" w:cs="Segoe UI"/>
              <w:sz w:val="18"/>
              <w:szCs w:val="18"/>
            </w:rPr>
            <w:fldChar w:fldCharType="separate"/>
          </w:r>
          <w:r w:rsidRPr="00440222">
            <w:rPr>
              <w:rFonts w:ascii="Segoe UI" w:hAnsi="Segoe UI" w:cs="Segoe UI"/>
              <w:noProof/>
              <w:sz w:val="18"/>
              <w:szCs w:val="18"/>
            </w:rPr>
            <w:t>(Neville, 2010)</w:t>
          </w:r>
          <w:r>
            <w:rPr>
              <w:rFonts w:ascii="Segoe UI" w:hAnsi="Segoe UI" w:cs="Segoe UI"/>
              <w:sz w:val="18"/>
              <w:szCs w:val="18"/>
            </w:rPr>
            <w:fldChar w:fldCharType="end"/>
          </w:r>
        </w:sdtContent>
      </w:sdt>
      <w:r>
        <w:rPr>
          <w:rFonts w:ascii="Segoe UI" w:hAnsi="Segoe UI" w:cs="Segoe UI"/>
          <w:sz w:val="18"/>
          <w:szCs w:val="18"/>
        </w:rPr>
        <w:t xml:space="preserve">. </w:t>
      </w:r>
      <w:r w:rsidR="00295028">
        <w:rPr>
          <w:rFonts w:ascii="Segoe UI" w:hAnsi="Segoe UI" w:cs="Segoe UI"/>
          <w:sz w:val="18"/>
          <w:szCs w:val="18"/>
        </w:rPr>
        <w:t xml:space="preserve">By doing so students avoid plagiarism and acknowledge the wide range of sources they have used in order to build their ideas and responses for their academic writing. </w:t>
      </w:r>
    </w:p>
    <w:p w14:paraId="1FB7163F" w14:textId="4DDD2266" w:rsidR="00295028" w:rsidRDefault="00295028" w:rsidP="00440222">
      <w:pPr>
        <w:pStyle w:val="paragraph"/>
        <w:spacing w:before="0" w:beforeAutospacing="0" w:after="0" w:afterAutospacing="0"/>
        <w:textAlignment w:val="baseline"/>
        <w:rPr>
          <w:rFonts w:ascii="Segoe UI" w:hAnsi="Segoe UI" w:cs="Segoe UI"/>
          <w:sz w:val="18"/>
          <w:szCs w:val="18"/>
        </w:rPr>
      </w:pPr>
    </w:p>
    <w:p w14:paraId="377D8B65" w14:textId="28014CF4" w:rsidR="00295028" w:rsidRDefault="00295028" w:rsidP="00295028">
      <w:pPr>
        <w:pStyle w:val="paragraph"/>
        <w:numPr>
          <w:ilvl w:val="0"/>
          <w:numId w:val="1"/>
        </w:numPr>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Wikipedia is a good place to search for information for your academic assignments. Explain, with reasons and supporting literature whether you believe this statement is true or false. </w:t>
      </w:r>
    </w:p>
    <w:p w14:paraId="7D750C21" w14:textId="77777777" w:rsidR="00295028" w:rsidRDefault="00295028" w:rsidP="00295028">
      <w:pPr>
        <w:pStyle w:val="paragraph"/>
        <w:spacing w:before="0" w:beforeAutospacing="0" w:after="0" w:afterAutospacing="0"/>
        <w:textAlignment w:val="baseline"/>
        <w:rPr>
          <w:rFonts w:ascii="Segoe UI" w:hAnsi="Segoe UI" w:cs="Segoe UI"/>
          <w:sz w:val="18"/>
          <w:szCs w:val="18"/>
        </w:rPr>
      </w:pPr>
    </w:p>
    <w:p w14:paraId="54F202BB" w14:textId="2664AF62" w:rsidR="00295028" w:rsidRDefault="00295028" w:rsidP="00295028">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The previous statement is believed to be false. Wikipedia is an online information source that is generated by multiple users and information can be edited or written by anyone </w:t>
      </w:r>
      <w:sdt>
        <w:sdtPr>
          <w:rPr>
            <w:rFonts w:ascii="Segoe UI" w:hAnsi="Segoe UI" w:cs="Segoe UI"/>
            <w:sz w:val="18"/>
            <w:szCs w:val="18"/>
          </w:rPr>
          <w:id w:val="556750726"/>
          <w:citation/>
        </w:sdtPr>
        <w:sdtContent>
          <w:r>
            <w:rPr>
              <w:rFonts w:ascii="Segoe UI" w:hAnsi="Segoe UI" w:cs="Segoe UI"/>
              <w:sz w:val="18"/>
              <w:szCs w:val="18"/>
            </w:rPr>
            <w:fldChar w:fldCharType="begin"/>
          </w:r>
          <w:r>
            <w:rPr>
              <w:rFonts w:ascii="Segoe UI" w:hAnsi="Segoe UI" w:cs="Segoe UI"/>
              <w:sz w:val="18"/>
              <w:szCs w:val="18"/>
            </w:rPr>
            <w:instrText xml:space="preserve"> CITATION Tom12 \l 2057 </w:instrText>
          </w:r>
          <w:r>
            <w:rPr>
              <w:rFonts w:ascii="Segoe UI" w:hAnsi="Segoe UI" w:cs="Segoe UI"/>
              <w:sz w:val="18"/>
              <w:szCs w:val="18"/>
            </w:rPr>
            <w:fldChar w:fldCharType="separate"/>
          </w:r>
          <w:r w:rsidRPr="00295028">
            <w:rPr>
              <w:rFonts w:ascii="Segoe UI" w:hAnsi="Segoe UI" w:cs="Segoe UI"/>
              <w:noProof/>
              <w:sz w:val="18"/>
              <w:szCs w:val="18"/>
            </w:rPr>
            <w:t>(Tomaszewski, 2012)</w:t>
          </w:r>
          <w:r>
            <w:rPr>
              <w:rFonts w:ascii="Segoe UI" w:hAnsi="Segoe UI" w:cs="Segoe UI"/>
              <w:sz w:val="18"/>
              <w:szCs w:val="18"/>
            </w:rPr>
            <w:fldChar w:fldCharType="end"/>
          </w:r>
        </w:sdtContent>
      </w:sdt>
      <w:r>
        <w:rPr>
          <w:rFonts w:ascii="Segoe UI" w:hAnsi="Segoe UI" w:cs="Segoe UI"/>
          <w:sz w:val="18"/>
          <w:szCs w:val="18"/>
        </w:rPr>
        <w:t>. Although this online platform can provide students with what seems, an extensive amount of information</w:t>
      </w:r>
      <w:r w:rsidR="00DA720A">
        <w:rPr>
          <w:rFonts w:ascii="Segoe UI" w:hAnsi="Segoe UI" w:cs="Segoe UI"/>
          <w:sz w:val="18"/>
          <w:szCs w:val="18"/>
        </w:rPr>
        <w:t>:</w:t>
      </w:r>
      <w:r>
        <w:rPr>
          <w:rFonts w:ascii="Segoe UI" w:hAnsi="Segoe UI" w:cs="Segoe UI"/>
          <w:sz w:val="18"/>
          <w:szCs w:val="18"/>
        </w:rPr>
        <w:t xml:space="preserve"> the</w:t>
      </w:r>
      <w:r w:rsidR="00DA720A">
        <w:rPr>
          <w:rFonts w:ascii="Segoe UI" w:hAnsi="Segoe UI" w:cs="Segoe UI"/>
          <w:sz w:val="18"/>
          <w:szCs w:val="18"/>
        </w:rPr>
        <w:t xml:space="preserve"> lack of reliability leads to this website not being a valued source for academic writing. Students are often encouraged to cite primary and secondary sources within their academic writing as this information is original and can be verified by the author. Wikipedia lacks many of these original attributions therefore information could be unreliable or wrong, impacting on a student’s academic assignment </w:t>
      </w:r>
      <w:sdt>
        <w:sdtPr>
          <w:rPr>
            <w:rFonts w:ascii="Segoe UI" w:hAnsi="Segoe UI" w:cs="Segoe UI"/>
            <w:sz w:val="18"/>
            <w:szCs w:val="18"/>
          </w:rPr>
          <w:id w:val="-1142879392"/>
          <w:citation/>
        </w:sdtPr>
        <w:sdtContent>
          <w:r w:rsidR="00DA720A">
            <w:rPr>
              <w:rFonts w:ascii="Segoe UI" w:hAnsi="Segoe UI" w:cs="Segoe UI"/>
              <w:sz w:val="18"/>
              <w:szCs w:val="18"/>
            </w:rPr>
            <w:fldChar w:fldCharType="begin"/>
          </w:r>
          <w:r w:rsidR="00DA720A">
            <w:rPr>
              <w:rFonts w:ascii="Segoe UI" w:hAnsi="Segoe UI" w:cs="Segoe UI"/>
              <w:sz w:val="18"/>
              <w:szCs w:val="18"/>
            </w:rPr>
            <w:instrText xml:space="preserve"> CITATION Cau22 \l 2057 </w:instrText>
          </w:r>
          <w:r w:rsidR="00DA720A">
            <w:rPr>
              <w:rFonts w:ascii="Segoe UI" w:hAnsi="Segoe UI" w:cs="Segoe UI"/>
              <w:sz w:val="18"/>
              <w:szCs w:val="18"/>
            </w:rPr>
            <w:fldChar w:fldCharType="separate"/>
          </w:r>
          <w:r w:rsidR="00DA720A" w:rsidRPr="00DA720A">
            <w:rPr>
              <w:rFonts w:ascii="Segoe UI" w:hAnsi="Segoe UI" w:cs="Segoe UI"/>
              <w:noProof/>
              <w:sz w:val="18"/>
              <w:szCs w:val="18"/>
            </w:rPr>
            <w:t>(Caulfield, 2022)</w:t>
          </w:r>
          <w:r w:rsidR="00DA720A">
            <w:rPr>
              <w:rFonts w:ascii="Segoe UI" w:hAnsi="Segoe UI" w:cs="Segoe UI"/>
              <w:sz w:val="18"/>
              <w:szCs w:val="18"/>
            </w:rPr>
            <w:fldChar w:fldCharType="end"/>
          </w:r>
        </w:sdtContent>
      </w:sdt>
      <w:r w:rsidR="00DA720A">
        <w:rPr>
          <w:rFonts w:ascii="Segoe UI" w:hAnsi="Segoe UI" w:cs="Segoe UI"/>
          <w:sz w:val="18"/>
          <w:szCs w:val="18"/>
        </w:rPr>
        <w:t xml:space="preserve">. Wikipedia can be a useful source for students to begin their research for assignments however, when it comes to producing reliable academic writing and using valid sources students are encouraged to carry out some extensive research and use original books, journals and reports. </w:t>
      </w:r>
    </w:p>
    <w:p w14:paraId="7FA91372" w14:textId="145BFC3F" w:rsidR="00BF6BC5" w:rsidRDefault="00BF6BC5" w:rsidP="00295028">
      <w:pPr>
        <w:pStyle w:val="paragraph"/>
        <w:spacing w:before="0" w:beforeAutospacing="0" w:after="0" w:afterAutospacing="0"/>
        <w:textAlignment w:val="baseline"/>
        <w:rPr>
          <w:rFonts w:ascii="Segoe UI" w:hAnsi="Segoe UI" w:cs="Segoe UI"/>
          <w:sz w:val="18"/>
          <w:szCs w:val="18"/>
        </w:rPr>
      </w:pPr>
    </w:p>
    <w:p w14:paraId="27E8ABDE" w14:textId="4D87CF20" w:rsidR="00BF6BC5" w:rsidRDefault="00BF6BC5" w:rsidP="00BF6BC5">
      <w:pPr>
        <w:pStyle w:val="paragraph"/>
        <w:numPr>
          <w:ilvl w:val="0"/>
          <w:numId w:val="1"/>
        </w:numPr>
        <w:spacing w:before="0" w:beforeAutospacing="0" w:after="0" w:afterAutospacing="0"/>
        <w:textAlignment w:val="baseline"/>
        <w:rPr>
          <w:rFonts w:ascii="Segoe UI" w:hAnsi="Segoe UI" w:cs="Segoe UI"/>
          <w:sz w:val="18"/>
          <w:szCs w:val="18"/>
        </w:rPr>
      </w:pPr>
      <w:r>
        <w:rPr>
          <w:rFonts w:ascii="Segoe UI" w:hAnsi="Segoe UI" w:cs="Segoe UI"/>
          <w:sz w:val="18"/>
          <w:szCs w:val="18"/>
        </w:rPr>
        <w:t>Write a set of instructions which could be included in a referencing guide which explains how to present a very long quotation.</w:t>
      </w:r>
    </w:p>
    <w:p w14:paraId="6E21E460" w14:textId="02707690" w:rsidR="00BF6BC5" w:rsidRDefault="00BF6BC5" w:rsidP="00BF6BC5">
      <w:pPr>
        <w:pStyle w:val="paragraph"/>
        <w:spacing w:before="0" w:beforeAutospacing="0" w:after="0" w:afterAutospacing="0"/>
        <w:ind w:left="360"/>
        <w:textAlignment w:val="baseline"/>
        <w:rPr>
          <w:rFonts w:ascii="Segoe UI" w:hAnsi="Segoe UI" w:cs="Segoe UI"/>
          <w:sz w:val="18"/>
          <w:szCs w:val="18"/>
        </w:rPr>
      </w:pPr>
    </w:p>
    <w:p w14:paraId="2F811215" w14:textId="45E96139" w:rsidR="00BF6BC5" w:rsidRDefault="00BF6BC5" w:rsidP="00BF6BC5">
      <w:pPr>
        <w:pStyle w:val="paragraph"/>
        <w:numPr>
          <w:ilvl w:val="0"/>
          <w:numId w:val="3"/>
        </w:numPr>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Firstly, create a separate paragraph for the following quotation </w:t>
      </w:r>
    </w:p>
    <w:p w14:paraId="25439842" w14:textId="73DD9C08" w:rsidR="00BF6BC5" w:rsidRDefault="00BF6BC5" w:rsidP="00BF6BC5">
      <w:pPr>
        <w:pStyle w:val="paragraph"/>
        <w:numPr>
          <w:ilvl w:val="0"/>
          <w:numId w:val="3"/>
        </w:numPr>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Ensure the paragraph is indented before writing the quotation </w:t>
      </w:r>
    </w:p>
    <w:p w14:paraId="70BBE629" w14:textId="7051757E" w:rsidR="00BF6BC5" w:rsidRDefault="00BF6BC5" w:rsidP="00BF6BC5">
      <w:pPr>
        <w:pStyle w:val="paragraph"/>
        <w:numPr>
          <w:ilvl w:val="0"/>
          <w:numId w:val="3"/>
        </w:numPr>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A long quotation is more than 30 words long or more than 2 lines long. These quotations do not need quotation marks </w:t>
      </w:r>
    </w:p>
    <w:p w14:paraId="17B7D0BA" w14:textId="0015483B" w:rsidR="00BF6BC5" w:rsidRDefault="00BF6BC5" w:rsidP="00BF6BC5">
      <w:pPr>
        <w:pStyle w:val="paragraph"/>
        <w:numPr>
          <w:ilvl w:val="0"/>
          <w:numId w:val="3"/>
        </w:numPr>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In round brackets note the author’s surname, year of publication and the page number or URL in which the quotation was found </w:t>
      </w:r>
    </w:p>
    <w:p w14:paraId="4B3168B8" w14:textId="77777777" w:rsidR="00BF6BC5" w:rsidRDefault="00BF6BC5" w:rsidP="00BF6BC5">
      <w:pPr>
        <w:pStyle w:val="paragraph"/>
        <w:spacing w:before="0" w:beforeAutospacing="0" w:after="0" w:afterAutospacing="0"/>
        <w:textAlignment w:val="baseline"/>
        <w:rPr>
          <w:rFonts w:ascii="Segoe UI" w:hAnsi="Segoe UI" w:cs="Segoe UI"/>
          <w:sz w:val="18"/>
          <w:szCs w:val="18"/>
        </w:rPr>
      </w:pPr>
    </w:p>
    <w:p w14:paraId="01F6D387" w14:textId="77777777" w:rsidR="00BF6BC5" w:rsidRDefault="00BF6BC5" w:rsidP="00BF6BC5">
      <w:pPr>
        <w:pStyle w:val="paragraph"/>
        <w:numPr>
          <w:ilvl w:val="0"/>
          <w:numId w:val="1"/>
        </w:numPr>
        <w:spacing w:before="0" w:beforeAutospacing="0" w:after="0" w:afterAutospacing="0"/>
        <w:textAlignment w:val="baseline"/>
        <w:rPr>
          <w:rFonts w:ascii="Segoe UI" w:hAnsi="Segoe UI" w:cs="Segoe UI"/>
          <w:sz w:val="18"/>
          <w:szCs w:val="18"/>
        </w:rPr>
      </w:pPr>
      <w:r>
        <w:rPr>
          <w:rFonts w:ascii="Segoe UI" w:hAnsi="Segoe UI" w:cs="Segoe UI"/>
          <w:sz w:val="18"/>
          <w:szCs w:val="18"/>
        </w:rPr>
        <w:lastRenderedPageBreak/>
        <w:t>Explain how you can begin to conduct research for an academic assignment. Identify five sources which would be acceptable for academic study.</w:t>
      </w:r>
    </w:p>
    <w:p w14:paraId="087FBDB4" w14:textId="77777777" w:rsidR="00BF6BC5" w:rsidRDefault="00BF6BC5" w:rsidP="00BF6BC5">
      <w:pPr>
        <w:pStyle w:val="paragraph"/>
        <w:spacing w:before="0" w:beforeAutospacing="0" w:after="0" w:afterAutospacing="0"/>
        <w:textAlignment w:val="baseline"/>
        <w:rPr>
          <w:rFonts w:ascii="Segoe UI" w:hAnsi="Segoe UI" w:cs="Segoe UI"/>
          <w:sz w:val="18"/>
          <w:szCs w:val="18"/>
        </w:rPr>
      </w:pPr>
    </w:p>
    <w:p w14:paraId="4B80B0D0" w14:textId="0AE87999" w:rsidR="00BF6BC5" w:rsidRDefault="00BF6BC5" w:rsidP="00BF6BC5">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Extensive research is vital for all academic assignments. It ensures a student has ideas to build their writing on and allows them to be critical throughout their response. Reading multiple resources is a valuable method when it comes to beginning academic assignments. This allows students to dive deeper into the information given during lectures leading up to the assignment. It is important that students use acceptable resources for their research to ensure the information is reliable and valid. Sources that are considered acceptable for academic writing consist </w:t>
      </w:r>
      <w:proofErr w:type="gramStart"/>
      <w:r>
        <w:rPr>
          <w:rFonts w:ascii="Segoe UI" w:hAnsi="Segoe UI" w:cs="Segoe UI"/>
          <w:sz w:val="18"/>
          <w:szCs w:val="18"/>
        </w:rPr>
        <w:t>of,</w:t>
      </w:r>
      <w:proofErr w:type="gramEnd"/>
      <w:r>
        <w:rPr>
          <w:rFonts w:ascii="Segoe UI" w:hAnsi="Segoe UI" w:cs="Segoe UI"/>
          <w:sz w:val="18"/>
          <w:szCs w:val="18"/>
        </w:rPr>
        <w:t xml:space="preserve"> books, journals, reports, encyclopaedias and websites containing .</w:t>
      </w:r>
      <w:proofErr w:type="spellStart"/>
      <w:r>
        <w:rPr>
          <w:rFonts w:ascii="Segoe UI" w:hAnsi="Segoe UI" w:cs="Segoe UI"/>
          <w:sz w:val="18"/>
          <w:szCs w:val="18"/>
        </w:rPr>
        <w:t>edu</w:t>
      </w:r>
      <w:proofErr w:type="spellEnd"/>
      <w:r>
        <w:rPr>
          <w:rFonts w:ascii="Segoe UI" w:hAnsi="Segoe UI" w:cs="Segoe UI"/>
          <w:sz w:val="18"/>
          <w:szCs w:val="18"/>
        </w:rPr>
        <w:t xml:space="preserve"> or org. within the URL</w:t>
      </w:r>
      <w:sdt>
        <w:sdtPr>
          <w:rPr>
            <w:rFonts w:ascii="Segoe UI" w:hAnsi="Segoe UI" w:cs="Segoe UI"/>
            <w:sz w:val="18"/>
            <w:szCs w:val="18"/>
          </w:rPr>
          <w:id w:val="499008448"/>
          <w:citation/>
        </w:sdtPr>
        <w:sdtContent>
          <w:r w:rsidR="00186131">
            <w:rPr>
              <w:rFonts w:ascii="Segoe UI" w:hAnsi="Segoe UI" w:cs="Segoe UI"/>
              <w:sz w:val="18"/>
              <w:szCs w:val="18"/>
            </w:rPr>
            <w:fldChar w:fldCharType="begin"/>
          </w:r>
          <w:r w:rsidR="00186131">
            <w:rPr>
              <w:rFonts w:ascii="Segoe UI" w:hAnsi="Segoe UI" w:cs="Segoe UI"/>
              <w:sz w:val="18"/>
              <w:szCs w:val="18"/>
            </w:rPr>
            <w:instrText xml:space="preserve"> CITATION Geo21 \l 2057 </w:instrText>
          </w:r>
          <w:r w:rsidR="00186131">
            <w:rPr>
              <w:rFonts w:ascii="Segoe UI" w:hAnsi="Segoe UI" w:cs="Segoe UI"/>
              <w:sz w:val="18"/>
              <w:szCs w:val="18"/>
            </w:rPr>
            <w:fldChar w:fldCharType="separate"/>
          </w:r>
          <w:r w:rsidR="00186131">
            <w:rPr>
              <w:rFonts w:ascii="Segoe UI" w:hAnsi="Segoe UI" w:cs="Segoe UI"/>
              <w:noProof/>
              <w:sz w:val="18"/>
              <w:szCs w:val="18"/>
            </w:rPr>
            <w:t xml:space="preserve"> </w:t>
          </w:r>
          <w:r w:rsidR="00186131" w:rsidRPr="00186131">
            <w:rPr>
              <w:rFonts w:ascii="Segoe UI" w:hAnsi="Segoe UI" w:cs="Segoe UI"/>
              <w:noProof/>
              <w:sz w:val="18"/>
              <w:szCs w:val="18"/>
            </w:rPr>
            <w:t>(George, 2021)</w:t>
          </w:r>
          <w:r w:rsidR="00186131">
            <w:rPr>
              <w:rFonts w:ascii="Segoe UI" w:hAnsi="Segoe UI" w:cs="Segoe UI"/>
              <w:sz w:val="18"/>
              <w:szCs w:val="18"/>
            </w:rPr>
            <w:fldChar w:fldCharType="end"/>
          </w:r>
        </w:sdtContent>
      </w:sdt>
      <w:r w:rsidR="00186131">
        <w:rPr>
          <w:rFonts w:ascii="Segoe UI" w:hAnsi="Segoe UI" w:cs="Segoe UI"/>
          <w:sz w:val="18"/>
          <w:szCs w:val="18"/>
        </w:rPr>
        <w:t xml:space="preserve">. These sources are considered to provide students with primary, reliable and specific information they can incorporate into their academic writing, allowing them to produce credible assignments </w:t>
      </w:r>
      <w:sdt>
        <w:sdtPr>
          <w:rPr>
            <w:rFonts w:ascii="Segoe UI" w:hAnsi="Segoe UI" w:cs="Segoe UI"/>
            <w:sz w:val="18"/>
            <w:szCs w:val="18"/>
          </w:rPr>
          <w:id w:val="1055669098"/>
          <w:citation/>
        </w:sdtPr>
        <w:sdtContent>
          <w:r w:rsidR="001D1697">
            <w:rPr>
              <w:rFonts w:ascii="Segoe UI" w:hAnsi="Segoe UI" w:cs="Segoe UI"/>
              <w:sz w:val="18"/>
              <w:szCs w:val="18"/>
            </w:rPr>
            <w:fldChar w:fldCharType="begin"/>
          </w:r>
          <w:r w:rsidR="001D1697">
            <w:rPr>
              <w:rFonts w:ascii="Segoe UI" w:hAnsi="Segoe UI" w:cs="Segoe UI"/>
              <w:sz w:val="18"/>
              <w:szCs w:val="18"/>
            </w:rPr>
            <w:instrText xml:space="preserve"> CITATION Day18 \l 2057 </w:instrText>
          </w:r>
          <w:r w:rsidR="001D1697">
            <w:rPr>
              <w:rFonts w:ascii="Segoe UI" w:hAnsi="Segoe UI" w:cs="Segoe UI"/>
              <w:sz w:val="18"/>
              <w:szCs w:val="18"/>
            </w:rPr>
            <w:fldChar w:fldCharType="separate"/>
          </w:r>
          <w:r w:rsidR="001D1697" w:rsidRPr="001D1697">
            <w:rPr>
              <w:rFonts w:ascii="Segoe UI" w:hAnsi="Segoe UI" w:cs="Segoe UI"/>
              <w:noProof/>
              <w:sz w:val="18"/>
              <w:szCs w:val="18"/>
            </w:rPr>
            <w:t>(Day, 2018)</w:t>
          </w:r>
          <w:r w:rsidR="001D1697">
            <w:rPr>
              <w:rFonts w:ascii="Segoe UI" w:hAnsi="Segoe UI" w:cs="Segoe UI"/>
              <w:sz w:val="18"/>
              <w:szCs w:val="18"/>
            </w:rPr>
            <w:fldChar w:fldCharType="end"/>
          </w:r>
        </w:sdtContent>
      </w:sdt>
      <w:r w:rsidR="001D1697">
        <w:rPr>
          <w:rFonts w:ascii="Segoe UI" w:hAnsi="Segoe UI" w:cs="Segoe UI"/>
          <w:sz w:val="18"/>
          <w:szCs w:val="18"/>
        </w:rPr>
        <w:t xml:space="preserve">. </w:t>
      </w:r>
    </w:p>
    <w:p w14:paraId="138DAB57" w14:textId="3CF2EA65" w:rsidR="001D1697" w:rsidRDefault="001D1697" w:rsidP="00BF6BC5">
      <w:pPr>
        <w:pStyle w:val="paragraph"/>
        <w:spacing w:before="0" w:beforeAutospacing="0" w:after="0" w:afterAutospacing="0"/>
        <w:textAlignment w:val="baseline"/>
        <w:rPr>
          <w:rFonts w:ascii="Segoe UI" w:hAnsi="Segoe UI" w:cs="Segoe UI"/>
          <w:sz w:val="18"/>
          <w:szCs w:val="18"/>
        </w:rPr>
      </w:pPr>
    </w:p>
    <w:sdt>
      <w:sdtPr>
        <w:rPr>
          <w:rFonts w:asciiTheme="minorHAnsi" w:eastAsiaTheme="minorHAnsi" w:hAnsiTheme="minorHAnsi" w:cstheme="minorBidi"/>
          <w:b w:val="0"/>
          <w:bCs w:val="0"/>
          <w:color w:val="auto"/>
          <w:sz w:val="24"/>
          <w:szCs w:val="24"/>
          <w:lang w:val="en-GB" w:bidi="ar-SA"/>
        </w:rPr>
        <w:id w:val="-731306472"/>
        <w:docPartObj>
          <w:docPartGallery w:val="Bibliographies"/>
          <w:docPartUnique/>
        </w:docPartObj>
      </w:sdtPr>
      <w:sdtEndPr/>
      <w:sdtContent>
        <w:p w14:paraId="6032DB7A" w14:textId="77777777" w:rsidR="001D1697" w:rsidRDefault="001D1697" w:rsidP="001D1697">
          <w:pPr>
            <w:pStyle w:val="Heading1"/>
          </w:pPr>
          <w:r>
            <w:t>Works Cited</w:t>
          </w:r>
        </w:p>
        <w:p w14:paraId="1A1AC6BE" w14:textId="77777777" w:rsidR="001D1697" w:rsidRDefault="001D1697" w:rsidP="001D1697">
          <w:pPr>
            <w:pStyle w:val="Bibliography"/>
            <w:rPr>
              <w:noProof/>
              <w:lang w:val="en-US"/>
            </w:rPr>
          </w:pPr>
          <w:r>
            <w:fldChar w:fldCharType="begin"/>
          </w:r>
          <w:r>
            <w:instrText xml:space="preserve"> BIBLIOGRAPHY </w:instrText>
          </w:r>
          <w:r>
            <w:fldChar w:fldCharType="separate"/>
          </w:r>
          <w:r>
            <w:rPr>
              <w:noProof/>
              <w:lang w:val="en-US"/>
            </w:rPr>
            <w:t xml:space="preserve">Caulfield, J., 2022. </w:t>
          </w:r>
          <w:r>
            <w:rPr>
              <w:i/>
              <w:iCs/>
              <w:noProof/>
              <w:lang w:val="en-US"/>
            </w:rPr>
            <w:t xml:space="preserve">Scribbr. </w:t>
          </w:r>
          <w:r>
            <w:rPr>
              <w:noProof/>
              <w:lang w:val="en-US"/>
            </w:rPr>
            <w:t xml:space="preserve">[Online] </w:t>
          </w:r>
          <w:r>
            <w:rPr>
              <w:noProof/>
              <w:lang w:val="en-US"/>
            </w:rPr>
            <w:br/>
            <w:t xml:space="preserve">Available at: </w:t>
          </w:r>
          <w:r>
            <w:rPr>
              <w:noProof/>
              <w:u w:val="single"/>
              <w:lang w:val="en-US"/>
            </w:rPr>
            <w:t>https://www.scribbr.com/citing-sources/how-to-cite-wikipedia/#reliable</w:t>
          </w:r>
          <w:r>
            <w:rPr>
              <w:noProof/>
              <w:lang w:val="en-US"/>
            </w:rPr>
            <w:br/>
            <w:t>[Accessed 28 June 2022].</w:t>
          </w:r>
        </w:p>
        <w:p w14:paraId="10471E53" w14:textId="77777777" w:rsidR="001D1697" w:rsidRDefault="001D1697" w:rsidP="001D1697">
          <w:pPr>
            <w:pStyle w:val="Bibliography"/>
            <w:rPr>
              <w:noProof/>
              <w:lang w:val="en-US"/>
            </w:rPr>
          </w:pPr>
          <w:r>
            <w:rPr>
              <w:noProof/>
              <w:lang w:val="en-US"/>
            </w:rPr>
            <w:t xml:space="preserve">Day, T., 2018. </w:t>
          </w:r>
          <w:r>
            <w:rPr>
              <w:i/>
              <w:iCs/>
              <w:noProof/>
              <w:lang w:val="en-US"/>
            </w:rPr>
            <w:t xml:space="preserve">Success in Academic Writing. </w:t>
          </w:r>
          <w:r>
            <w:rPr>
              <w:noProof/>
              <w:lang w:val="en-US"/>
            </w:rPr>
            <w:t>s.l.:Bloomsbury Publishing Plc.</w:t>
          </w:r>
        </w:p>
        <w:p w14:paraId="13630B94" w14:textId="77777777" w:rsidR="001D1697" w:rsidRDefault="001D1697" w:rsidP="001D1697">
          <w:pPr>
            <w:pStyle w:val="Bibliography"/>
            <w:rPr>
              <w:noProof/>
              <w:lang w:val="en-US"/>
            </w:rPr>
          </w:pPr>
          <w:r>
            <w:rPr>
              <w:noProof/>
              <w:lang w:val="en-US"/>
            </w:rPr>
            <w:t xml:space="preserve">George, T., 2021. </w:t>
          </w:r>
          <w:r>
            <w:rPr>
              <w:i/>
              <w:iCs/>
              <w:noProof/>
              <w:lang w:val="en-US"/>
            </w:rPr>
            <w:t xml:space="preserve">Scribbr. </w:t>
          </w:r>
          <w:r>
            <w:rPr>
              <w:noProof/>
              <w:lang w:val="en-US"/>
            </w:rPr>
            <w:t xml:space="preserve">[Online] </w:t>
          </w:r>
          <w:r>
            <w:rPr>
              <w:noProof/>
              <w:lang w:val="en-US"/>
            </w:rPr>
            <w:br/>
            <w:t xml:space="preserve">Available at: </w:t>
          </w:r>
          <w:r>
            <w:rPr>
              <w:noProof/>
              <w:u w:val="single"/>
              <w:lang w:val="en-US"/>
            </w:rPr>
            <w:t>https://www.scribbr.com/working-with-sources/credible-sources/</w:t>
          </w:r>
          <w:r>
            <w:rPr>
              <w:noProof/>
              <w:lang w:val="en-US"/>
            </w:rPr>
            <w:br/>
            <w:t>[Accessed 11 November 2022].</w:t>
          </w:r>
        </w:p>
        <w:p w14:paraId="59BFF3CC" w14:textId="2F54AEF3" w:rsidR="001D1697" w:rsidRDefault="001D1697" w:rsidP="001D1697">
          <w:pPr>
            <w:pStyle w:val="Bibliography"/>
            <w:rPr>
              <w:noProof/>
              <w:lang w:val="en-US"/>
            </w:rPr>
          </w:pPr>
          <w:r>
            <w:rPr>
              <w:noProof/>
              <w:lang w:val="en-US"/>
            </w:rPr>
            <w:t xml:space="preserve">Government, W. A., 2009. </w:t>
          </w:r>
          <w:r>
            <w:rPr>
              <w:i/>
              <w:iCs/>
              <w:noProof/>
              <w:lang w:val="en-US"/>
            </w:rPr>
            <w:t xml:space="preserve">Outdoor Learning Handbook. </w:t>
          </w:r>
          <w:r>
            <w:rPr>
              <w:noProof/>
              <w:lang w:val="en-US"/>
            </w:rPr>
            <w:t>Cardiff</w:t>
          </w:r>
          <w:r w:rsidR="00F82EF5">
            <w:rPr>
              <w:noProof/>
              <w:lang w:val="en-US"/>
            </w:rPr>
            <w:t>.</w:t>
          </w:r>
        </w:p>
        <w:p w14:paraId="33F8BA71" w14:textId="77777777" w:rsidR="001D1697" w:rsidRDefault="001D1697" w:rsidP="001D1697">
          <w:pPr>
            <w:pStyle w:val="Bibliography"/>
            <w:rPr>
              <w:noProof/>
              <w:lang w:val="en-US"/>
            </w:rPr>
          </w:pPr>
          <w:r>
            <w:rPr>
              <w:noProof/>
              <w:lang w:val="en-US"/>
            </w:rPr>
            <w:t xml:space="preserve">Neville, c., 2010. </w:t>
          </w:r>
          <w:r>
            <w:rPr>
              <w:i/>
              <w:iCs/>
              <w:noProof/>
              <w:lang w:val="en-US"/>
            </w:rPr>
            <w:t xml:space="preserve">The Complete Guide to Referencing and Avoiding Plagiarism. </w:t>
          </w:r>
          <w:r>
            <w:rPr>
              <w:noProof/>
              <w:lang w:val="en-US"/>
            </w:rPr>
            <w:t>2nd ed. s.l.:Open University Press.</w:t>
          </w:r>
        </w:p>
        <w:p w14:paraId="51EEE69F" w14:textId="77777777" w:rsidR="001D1697" w:rsidRDefault="001D1697" w:rsidP="001D1697">
          <w:pPr>
            <w:pStyle w:val="Bibliography"/>
            <w:rPr>
              <w:noProof/>
              <w:lang w:val="en-US"/>
            </w:rPr>
          </w:pPr>
          <w:r>
            <w:rPr>
              <w:noProof/>
              <w:lang w:val="en-US"/>
            </w:rPr>
            <w:t xml:space="preserve">O'Brien, E. &amp; Murray, R., 2006. </w:t>
          </w:r>
          <w:r>
            <w:rPr>
              <w:i/>
              <w:iCs/>
              <w:noProof/>
              <w:lang w:val="en-US"/>
            </w:rPr>
            <w:t xml:space="preserve">A marvellous opportunity for children to learn: A participatory evaluation of Forest school in England and Wales, </w:t>
          </w:r>
          <w:r>
            <w:rPr>
              <w:noProof/>
              <w:lang w:val="en-US"/>
            </w:rPr>
            <w:t>s.l.: Farnham: forest research.</w:t>
          </w:r>
        </w:p>
        <w:p w14:paraId="55124CFC" w14:textId="77777777" w:rsidR="001D1697" w:rsidRDefault="001D1697" w:rsidP="001D1697">
          <w:pPr>
            <w:pStyle w:val="Bibliography"/>
            <w:rPr>
              <w:noProof/>
              <w:lang w:val="en-US"/>
            </w:rPr>
          </w:pPr>
          <w:r>
            <w:rPr>
              <w:noProof/>
              <w:lang w:val="en-US"/>
            </w:rPr>
            <w:t xml:space="preserve">Stoner, D. M., 2003. </w:t>
          </w:r>
          <w:r>
            <w:rPr>
              <w:i/>
              <w:iCs/>
              <w:noProof/>
              <w:lang w:val="en-US"/>
            </w:rPr>
            <w:t xml:space="preserve">Why students should avoid plagiarism: What Students Say, </w:t>
          </w:r>
          <w:r>
            <w:rPr>
              <w:noProof/>
              <w:lang w:val="en-US"/>
            </w:rPr>
            <w:t>s.l.: s.n.</w:t>
          </w:r>
        </w:p>
        <w:p w14:paraId="3A20369D" w14:textId="77777777" w:rsidR="001D1697" w:rsidRDefault="001D1697" w:rsidP="001D1697">
          <w:pPr>
            <w:pStyle w:val="Bibliography"/>
            <w:rPr>
              <w:noProof/>
              <w:lang w:val="en-US"/>
            </w:rPr>
          </w:pPr>
          <w:r>
            <w:rPr>
              <w:noProof/>
              <w:lang w:val="en-US"/>
            </w:rPr>
            <w:t xml:space="preserve">Thompson, C. et al., 2004. </w:t>
          </w:r>
          <w:r>
            <w:rPr>
              <w:i/>
              <w:iCs/>
              <w:noProof/>
              <w:lang w:val="en-US"/>
            </w:rPr>
            <w:t xml:space="preserve">Open space and social inclusion: Local woodland use in central Scotland, </w:t>
          </w:r>
          <w:r>
            <w:rPr>
              <w:noProof/>
              <w:lang w:val="en-US"/>
            </w:rPr>
            <w:t>Edinburugh: Report to the Forestry Commission.</w:t>
          </w:r>
        </w:p>
        <w:p w14:paraId="00DC016D" w14:textId="77777777" w:rsidR="001D1697" w:rsidRDefault="001D1697" w:rsidP="001D1697">
          <w:pPr>
            <w:pStyle w:val="Bibliography"/>
            <w:rPr>
              <w:noProof/>
              <w:lang w:val="en-US"/>
            </w:rPr>
          </w:pPr>
          <w:r>
            <w:rPr>
              <w:noProof/>
              <w:lang w:val="en-US"/>
            </w:rPr>
            <w:t xml:space="preserve">Tomaszewski, J., 2012. </w:t>
          </w:r>
          <w:r>
            <w:rPr>
              <w:i/>
              <w:iCs/>
              <w:noProof/>
              <w:lang w:val="en-US"/>
            </w:rPr>
            <w:t xml:space="preserve">Education World. </w:t>
          </w:r>
          <w:r>
            <w:rPr>
              <w:noProof/>
              <w:lang w:val="en-US"/>
            </w:rPr>
            <w:t xml:space="preserve">[Online] </w:t>
          </w:r>
          <w:r>
            <w:rPr>
              <w:noProof/>
              <w:lang w:val="en-US"/>
            </w:rPr>
            <w:br/>
            <w:t xml:space="preserve">Available at: </w:t>
          </w:r>
          <w:r>
            <w:rPr>
              <w:noProof/>
              <w:u w:val="single"/>
              <w:lang w:val="en-US"/>
            </w:rPr>
            <w:t>https://www.educationworld.com/a_tech/how-to-use-wikipedia-for-academics.shtml</w:t>
          </w:r>
        </w:p>
        <w:p w14:paraId="132F64A7" w14:textId="150587AD" w:rsidR="001D1697" w:rsidRPr="00F82EF5" w:rsidRDefault="001D1697" w:rsidP="001D1697">
          <w:r>
            <w:rPr>
              <w:b/>
              <w:bCs/>
            </w:rPr>
            <w:fldChar w:fldCharType="end"/>
          </w:r>
          <w:r w:rsidR="00F82EF5" w:rsidRPr="00F82EF5">
            <w:t xml:space="preserve">UWTSD. </w:t>
          </w:r>
          <w:r w:rsidR="00F82EF5">
            <w:rPr>
              <w:i/>
              <w:iCs/>
            </w:rPr>
            <w:t xml:space="preserve">Referencing Handbook: Harvard. </w:t>
          </w:r>
          <w:r w:rsidR="00F82EF5">
            <w:t>Version 1.2</w:t>
          </w:r>
        </w:p>
      </w:sdtContent>
    </w:sdt>
    <w:p w14:paraId="4E16EA99" w14:textId="49D15F19" w:rsidR="001D1697" w:rsidRDefault="001D1697" w:rsidP="00BF6BC5">
      <w:pPr>
        <w:pStyle w:val="paragraph"/>
        <w:spacing w:before="0" w:beforeAutospacing="0" w:after="0" w:afterAutospacing="0"/>
        <w:textAlignment w:val="baseline"/>
        <w:rPr>
          <w:rFonts w:ascii="Segoe UI" w:hAnsi="Segoe UI" w:cs="Segoe UI"/>
          <w:sz w:val="18"/>
          <w:szCs w:val="18"/>
        </w:rPr>
      </w:pPr>
    </w:p>
    <w:p w14:paraId="003A2691" w14:textId="192BB35E" w:rsidR="001D1697" w:rsidRDefault="001D1697" w:rsidP="00BF6BC5">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Part 3- </w:t>
      </w:r>
    </w:p>
    <w:p w14:paraId="3C8CD9D7" w14:textId="028DEBE5" w:rsidR="00D1417C" w:rsidRDefault="00D1417C" w:rsidP="00BF6BC5">
      <w:pPr>
        <w:pStyle w:val="paragraph"/>
        <w:spacing w:before="0" w:beforeAutospacing="0" w:after="0" w:afterAutospacing="0"/>
        <w:textAlignment w:val="baseline"/>
        <w:rPr>
          <w:rFonts w:ascii="Segoe UI" w:hAnsi="Segoe UI" w:cs="Segoe UI"/>
          <w:sz w:val="18"/>
          <w:szCs w:val="18"/>
        </w:rPr>
      </w:pPr>
    </w:p>
    <w:p w14:paraId="199F5B0E" w14:textId="5C6AAE56" w:rsidR="00D1417C" w:rsidRDefault="00D1417C" w:rsidP="00BF6BC5">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The article ‘Schooled to fail’ written by </w:t>
      </w:r>
      <w:r w:rsidR="00B95D43">
        <w:rPr>
          <w:rFonts w:ascii="Segoe UI" w:hAnsi="Segoe UI" w:cs="Segoe UI"/>
          <w:sz w:val="18"/>
          <w:szCs w:val="18"/>
        </w:rPr>
        <w:t xml:space="preserve">Emma Smith discusses underachievement of pupil in school. There is a clear focus on Welsh schools within this article and in particular comparisons between the performance of Welsh and English students. The article aims to review the issue of underachievement within Welsh schools and analyse data to create new ideologies that Welsh schools are no longer educating students to underachieve. </w:t>
      </w:r>
    </w:p>
    <w:p w14:paraId="03AF0A9D" w14:textId="6D36D5B1" w:rsidR="00B95D43" w:rsidRDefault="00B95D43" w:rsidP="00BF6BC5">
      <w:pPr>
        <w:pStyle w:val="paragraph"/>
        <w:spacing w:before="0" w:beforeAutospacing="0" w:after="0" w:afterAutospacing="0"/>
        <w:textAlignment w:val="baseline"/>
        <w:rPr>
          <w:rFonts w:ascii="Segoe UI" w:hAnsi="Segoe UI" w:cs="Segoe UI"/>
          <w:sz w:val="18"/>
          <w:szCs w:val="18"/>
        </w:rPr>
      </w:pPr>
    </w:p>
    <w:p w14:paraId="6BB0CB07" w14:textId="085DCEF2" w:rsidR="00B95D43" w:rsidRDefault="00B95D43" w:rsidP="00BF6BC5">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The key argument within this text suggests that Wales as a nation is no longer ‘schooling children to fail’ (Smith, 2005). The author made clear points suggesting </w:t>
      </w:r>
      <w:r w:rsidR="004C69F4">
        <w:rPr>
          <w:rFonts w:ascii="Segoe UI" w:hAnsi="Segoe UI" w:cs="Segoe UI"/>
          <w:sz w:val="18"/>
          <w:szCs w:val="18"/>
        </w:rPr>
        <w:t xml:space="preserve">comparing Welsh and English schools is no longer effective due to major population differences, alongside demonstrating male and female underachievement gaps have always been present and this is no longer a reliable nor relevant argument supporting the statement ‘Welsh pupils are schooled to fail’. The authors purpose throughout the text was to discuss </w:t>
      </w:r>
      <w:proofErr w:type="gramStart"/>
      <w:r w:rsidR="004C69F4">
        <w:rPr>
          <w:rFonts w:ascii="Segoe UI" w:hAnsi="Segoe UI" w:cs="Segoe UI"/>
          <w:sz w:val="18"/>
          <w:szCs w:val="18"/>
        </w:rPr>
        <w:t>these issue</w:t>
      </w:r>
      <w:proofErr w:type="gramEnd"/>
      <w:r w:rsidR="004C69F4">
        <w:rPr>
          <w:rFonts w:ascii="Segoe UI" w:hAnsi="Segoe UI" w:cs="Segoe UI"/>
          <w:sz w:val="18"/>
          <w:szCs w:val="18"/>
        </w:rPr>
        <w:t xml:space="preserve"> from a Welsh perspective, whilst providing evidence encouraging people to rethink old ideologies and consider new ideas such as the inability to fairly compare Welsh and English schools, which was demonstrated on page 87, with the use of data from the Office of National Statistics. </w:t>
      </w:r>
    </w:p>
    <w:p w14:paraId="11D8DEDA" w14:textId="47EA08DE" w:rsidR="004C69F4" w:rsidRDefault="004C69F4" w:rsidP="00BF6BC5">
      <w:pPr>
        <w:pStyle w:val="paragraph"/>
        <w:spacing w:before="0" w:beforeAutospacing="0" w:after="0" w:afterAutospacing="0"/>
        <w:textAlignment w:val="baseline"/>
        <w:rPr>
          <w:rFonts w:ascii="Segoe UI" w:hAnsi="Segoe UI" w:cs="Segoe UI"/>
          <w:sz w:val="18"/>
          <w:szCs w:val="18"/>
        </w:rPr>
      </w:pPr>
    </w:p>
    <w:p w14:paraId="69BBBF4F" w14:textId="5661C695" w:rsidR="00CD501B" w:rsidRDefault="004C69F4" w:rsidP="00BF6BC5">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lastRenderedPageBreak/>
        <w:t xml:space="preserve">The article has been structured to deliberately guide the reader through each point </w:t>
      </w:r>
      <w:r w:rsidR="00CD501B">
        <w:rPr>
          <w:rFonts w:ascii="Segoe UI" w:hAnsi="Segoe UI" w:cs="Segoe UI"/>
          <w:sz w:val="18"/>
          <w:szCs w:val="18"/>
        </w:rPr>
        <w:t>within</w:t>
      </w:r>
      <w:r>
        <w:rPr>
          <w:rFonts w:ascii="Segoe UI" w:hAnsi="Segoe UI" w:cs="Segoe UI"/>
          <w:sz w:val="18"/>
          <w:szCs w:val="18"/>
        </w:rPr>
        <w:t xml:space="preserve"> the argument that is being presented. This was done through the use of paragraphs. Each paragraph </w:t>
      </w:r>
      <w:r w:rsidR="00CD501B">
        <w:rPr>
          <w:rFonts w:ascii="Segoe UI" w:hAnsi="Segoe UI" w:cs="Segoe UI"/>
          <w:sz w:val="18"/>
          <w:szCs w:val="18"/>
        </w:rPr>
        <w:t xml:space="preserve">provided the reader with a new point to consider, this point was explained, discussed and supported with evidence. The use of paragraphs made this article an easy read, the author ensured the reader could not get lost within the article however, they were guided through the text with ease. Although the length of some paragraphs made this article look daunting to read, the information received was relevant and clear meaning the reader could truly understand the points the author was discussing. Each point made was supported with statistics. The use of numbers within the article provided clear evidence for ideas the author was reviewing. Smith also supported each statistic with text explaining the data used within the article. This ensured the reader understood exactly what the data was </w:t>
      </w:r>
      <w:r w:rsidR="003B76AA">
        <w:rPr>
          <w:rFonts w:ascii="Segoe UI" w:hAnsi="Segoe UI" w:cs="Segoe UI"/>
          <w:sz w:val="18"/>
          <w:szCs w:val="18"/>
        </w:rPr>
        <w:t>showing,</w:t>
      </w:r>
      <w:r w:rsidR="00CD501B">
        <w:rPr>
          <w:rFonts w:ascii="Segoe UI" w:hAnsi="Segoe UI" w:cs="Segoe UI"/>
          <w:sz w:val="18"/>
          <w:szCs w:val="18"/>
        </w:rPr>
        <w:t xml:space="preserve"> and links could be made with points noted by the author previously. At the end of the article the author provided the reader with a great </w:t>
      </w:r>
      <w:r w:rsidR="003B76AA">
        <w:rPr>
          <w:rFonts w:ascii="Segoe UI" w:hAnsi="Segoe UI" w:cs="Segoe UI"/>
          <w:sz w:val="18"/>
          <w:szCs w:val="18"/>
        </w:rPr>
        <w:t>deal of appendices. This encouraged the reader to be convinced by the arguments Smith was presenting us with. By doing so the author allowed the reader to dive deeper into evidence supporting their arguments, essentially persuading the reader to agree with the aim of the article which was to create a new ideology suggesting Wales is no longer educating students to fail.</w:t>
      </w:r>
    </w:p>
    <w:p w14:paraId="000C2989" w14:textId="6DA2135B" w:rsidR="003B76AA" w:rsidRDefault="003B76AA" w:rsidP="00BF6BC5">
      <w:pPr>
        <w:pStyle w:val="paragraph"/>
        <w:spacing w:before="0" w:beforeAutospacing="0" w:after="0" w:afterAutospacing="0"/>
        <w:textAlignment w:val="baseline"/>
        <w:rPr>
          <w:rFonts w:ascii="Segoe UI" w:hAnsi="Segoe UI" w:cs="Segoe UI"/>
          <w:sz w:val="18"/>
          <w:szCs w:val="18"/>
        </w:rPr>
      </w:pPr>
    </w:p>
    <w:p w14:paraId="18ECF658" w14:textId="4609B1F3" w:rsidR="00567787" w:rsidRPr="00567787" w:rsidRDefault="003B76AA" w:rsidP="00567787">
      <w:pPr>
        <w:pStyle w:val="NormalWeb"/>
        <w:rPr>
          <w:rFonts w:ascii="Segoe UI" w:hAnsi="Segoe UI" w:cs="Segoe UI"/>
          <w:color w:val="000000" w:themeColor="text1"/>
        </w:rPr>
      </w:pPr>
      <w:r>
        <w:rPr>
          <w:rFonts w:ascii="Segoe UI" w:hAnsi="Segoe UI" w:cs="Segoe UI"/>
          <w:sz w:val="18"/>
          <w:szCs w:val="18"/>
        </w:rPr>
        <w:t xml:space="preserve">The language used within the article suits experts in the topic such as academics. The text was formal and the use of words such as ‘dichotomous’ (page 93, within conclusion) suggests that it would not be an easy read for some people, especially those who have not read academic writing previously.  Although the structure guides the reader </w:t>
      </w:r>
      <w:r w:rsidR="00BF3D78">
        <w:rPr>
          <w:rFonts w:ascii="Segoe UI" w:hAnsi="Segoe UI" w:cs="Segoe UI"/>
          <w:sz w:val="18"/>
          <w:szCs w:val="18"/>
        </w:rPr>
        <w:t>through</w:t>
      </w:r>
      <w:r>
        <w:rPr>
          <w:rFonts w:ascii="Segoe UI" w:hAnsi="Segoe UI" w:cs="Segoe UI"/>
          <w:sz w:val="18"/>
          <w:szCs w:val="18"/>
        </w:rPr>
        <w:t xml:space="preserve"> the article, when considering the language used</w:t>
      </w:r>
      <w:r w:rsidR="00BF3D78">
        <w:rPr>
          <w:rFonts w:ascii="Segoe UI" w:hAnsi="Segoe UI" w:cs="Segoe UI"/>
          <w:sz w:val="18"/>
          <w:szCs w:val="18"/>
        </w:rPr>
        <w:t>,</w:t>
      </w:r>
      <w:r>
        <w:rPr>
          <w:rFonts w:ascii="Segoe UI" w:hAnsi="Segoe UI" w:cs="Segoe UI"/>
          <w:sz w:val="18"/>
          <w:szCs w:val="18"/>
        </w:rPr>
        <w:t xml:space="preserve"> </w:t>
      </w:r>
      <w:r w:rsidR="00BF3D78">
        <w:rPr>
          <w:rFonts w:ascii="Segoe UI" w:hAnsi="Segoe UI" w:cs="Segoe UI"/>
          <w:sz w:val="18"/>
          <w:szCs w:val="18"/>
        </w:rPr>
        <w:t xml:space="preserve">this article would be an easy read for experts within the topic however not for those who are non-experts nor academics. The use of the word ‘evidence’ is prominent throughout the article. This suggests to the reader that the author is stating reliable arguments and facts. The use of this language persuades the reader to believe and agree with what the author is saying. This technique makes the text sound accurate, again supporting the authors arguments and points.  If the article did not provide evidence the </w:t>
      </w:r>
      <w:r w:rsidR="00567787">
        <w:rPr>
          <w:rFonts w:ascii="Segoe UI" w:hAnsi="Segoe UI" w:cs="Segoe UI"/>
          <w:sz w:val="18"/>
          <w:szCs w:val="18"/>
        </w:rPr>
        <w:t>language</w:t>
      </w:r>
      <w:r w:rsidR="00BF3D78">
        <w:rPr>
          <w:rFonts w:ascii="Segoe UI" w:hAnsi="Segoe UI" w:cs="Segoe UI"/>
          <w:sz w:val="18"/>
          <w:szCs w:val="18"/>
        </w:rPr>
        <w:t xml:space="preserve"> used could be considered bias or subjective. For example, </w:t>
      </w:r>
      <w:r w:rsidR="00567787">
        <w:rPr>
          <w:rFonts w:ascii="Segoe UI" w:hAnsi="Segoe UI" w:cs="Segoe UI"/>
          <w:sz w:val="18"/>
          <w:szCs w:val="18"/>
        </w:rPr>
        <w:t>the article is considering arguments from a Welsh perspective and the term ‘</w:t>
      </w:r>
      <w:r w:rsidR="00567787" w:rsidRPr="00567787">
        <w:rPr>
          <w:rFonts w:ascii="Segoe UI" w:hAnsi="Segoe UI" w:cs="Segoe UI"/>
          <w:color w:val="000000" w:themeColor="text1"/>
          <w:sz w:val="18"/>
          <w:szCs w:val="18"/>
        </w:rPr>
        <w:t xml:space="preserve">There is little to suggest that in Wales the gap between the GCSE </w:t>
      </w:r>
      <w:r w:rsidR="00567787" w:rsidRPr="00567787">
        <w:rPr>
          <w:rFonts w:ascii="Segoe UI" w:hAnsi="Segoe UI" w:cs="Segoe UI"/>
          <w:color w:val="000000" w:themeColor="text1"/>
          <w:sz w:val="18"/>
          <w:szCs w:val="18"/>
        </w:rPr>
        <w:t>perfo</w:t>
      </w:r>
      <w:r w:rsidR="00567787">
        <w:rPr>
          <w:rFonts w:ascii="Segoe UI" w:hAnsi="Segoe UI" w:cs="Segoe UI"/>
          <w:color w:val="000000" w:themeColor="text1"/>
          <w:sz w:val="18"/>
          <w:szCs w:val="18"/>
        </w:rPr>
        <w:t>r</w:t>
      </w:r>
      <w:r w:rsidR="00567787" w:rsidRPr="00567787">
        <w:rPr>
          <w:rFonts w:ascii="Segoe UI" w:hAnsi="Segoe UI" w:cs="Segoe UI"/>
          <w:color w:val="000000" w:themeColor="text1"/>
          <w:sz w:val="18"/>
          <w:szCs w:val="18"/>
        </w:rPr>
        <w:t>mance</w:t>
      </w:r>
      <w:r w:rsidR="00567787" w:rsidRPr="00567787">
        <w:rPr>
          <w:rFonts w:ascii="Segoe UI" w:hAnsi="Segoe UI" w:cs="Segoe UI"/>
          <w:color w:val="000000" w:themeColor="text1"/>
          <w:sz w:val="18"/>
          <w:szCs w:val="18"/>
        </w:rPr>
        <w:t xml:space="preserve"> </w:t>
      </w:r>
      <w:r w:rsidR="00567787" w:rsidRPr="00567787">
        <w:rPr>
          <w:rFonts w:ascii="Segoe UI" w:hAnsi="Segoe UI" w:cs="Segoe UI"/>
          <w:color w:val="000000" w:themeColor="text1"/>
          <w:sz w:val="20"/>
          <w:szCs w:val="20"/>
        </w:rPr>
        <w:t>of</w:t>
      </w:r>
      <w:r w:rsidR="00567787" w:rsidRPr="00567787">
        <w:rPr>
          <w:rFonts w:ascii="Segoe UI" w:hAnsi="Segoe UI" w:cs="Segoe UI"/>
          <w:color w:val="000000" w:themeColor="text1"/>
          <w:sz w:val="18"/>
          <w:szCs w:val="18"/>
        </w:rPr>
        <w:t xml:space="preserve"> male</w:t>
      </w:r>
      <w:r w:rsidR="00567787" w:rsidRPr="00567787">
        <w:rPr>
          <w:rFonts w:ascii="Segoe UI" w:hAnsi="Segoe UI" w:cs="Segoe UI"/>
          <w:color w:val="000000" w:themeColor="text1"/>
          <w:sz w:val="18"/>
          <w:szCs w:val="18"/>
        </w:rPr>
        <w:t xml:space="preserve"> and female students is increasing</w:t>
      </w:r>
      <w:r w:rsidR="00567787">
        <w:rPr>
          <w:rFonts w:ascii="Segoe UI" w:hAnsi="Segoe UI" w:cs="Segoe UI"/>
          <w:color w:val="000000" w:themeColor="text1"/>
          <w:sz w:val="18"/>
          <w:szCs w:val="18"/>
        </w:rPr>
        <w:t xml:space="preserve">’ (Smith, 2005 p93) could suggest the author is biased. However, due to the fact the statements made are backed with a wide range of evidence and data the article seems more persuasive rather than bias. </w:t>
      </w:r>
    </w:p>
    <w:p w14:paraId="7DCD78CD" w14:textId="20FF6B07" w:rsidR="003B76AA" w:rsidRDefault="00567787" w:rsidP="00BF6BC5">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Within the article there is one claim made throughout. This being that Wales may no longer be setting their students up to fail </w:t>
      </w:r>
      <w:r w:rsidR="00AA582B">
        <w:rPr>
          <w:rFonts w:ascii="Segoe UI" w:hAnsi="Segoe UI" w:cs="Segoe UI"/>
          <w:sz w:val="18"/>
          <w:szCs w:val="18"/>
        </w:rPr>
        <w:t>M</w:t>
      </w:r>
      <w:r>
        <w:rPr>
          <w:rFonts w:ascii="Segoe UI" w:hAnsi="Segoe UI" w:cs="Segoe UI"/>
          <w:sz w:val="18"/>
          <w:szCs w:val="18"/>
        </w:rPr>
        <w:t xml:space="preserve">ultiple points are explored during the article </w:t>
      </w:r>
      <w:r w:rsidR="00AA582B">
        <w:rPr>
          <w:rFonts w:ascii="Segoe UI" w:hAnsi="Segoe UI" w:cs="Segoe UI"/>
          <w:sz w:val="18"/>
          <w:szCs w:val="18"/>
        </w:rPr>
        <w:t xml:space="preserve">and </w:t>
      </w:r>
      <w:r>
        <w:rPr>
          <w:rFonts w:ascii="Segoe UI" w:hAnsi="Segoe UI" w:cs="Segoe UI"/>
          <w:sz w:val="18"/>
          <w:szCs w:val="18"/>
        </w:rPr>
        <w:t xml:space="preserve">each point is drawn back to this claim </w:t>
      </w:r>
      <w:r w:rsidR="00AA582B">
        <w:rPr>
          <w:rFonts w:ascii="Segoe UI" w:hAnsi="Segoe UI" w:cs="Segoe UI"/>
          <w:sz w:val="18"/>
          <w:szCs w:val="18"/>
        </w:rPr>
        <w:t xml:space="preserve">making </w:t>
      </w:r>
      <w:r>
        <w:rPr>
          <w:rFonts w:ascii="Segoe UI" w:hAnsi="Segoe UI" w:cs="Segoe UI"/>
          <w:sz w:val="18"/>
          <w:szCs w:val="18"/>
        </w:rPr>
        <w:t xml:space="preserve">the argument consistent throughout. The text relies very much on </w:t>
      </w:r>
      <w:r w:rsidR="00AA582B">
        <w:rPr>
          <w:rFonts w:ascii="Segoe UI" w:hAnsi="Segoe UI" w:cs="Segoe UI"/>
          <w:sz w:val="18"/>
          <w:szCs w:val="18"/>
        </w:rPr>
        <w:t>evidence,</w:t>
      </w:r>
      <w:r>
        <w:rPr>
          <w:rFonts w:ascii="Segoe UI" w:hAnsi="Segoe UI" w:cs="Segoe UI"/>
          <w:sz w:val="18"/>
          <w:szCs w:val="18"/>
        </w:rPr>
        <w:t xml:space="preserve"> and this is mainly data produced by The Office of National Statistics</w:t>
      </w:r>
      <w:r w:rsidR="00AA582B">
        <w:rPr>
          <w:rFonts w:ascii="Segoe UI" w:hAnsi="Segoe UI" w:cs="Segoe UI"/>
          <w:sz w:val="18"/>
          <w:szCs w:val="18"/>
        </w:rPr>
        <w:t xml:space="preserve"> and the WJEC</w:t>
      </w:r>
      <w:r>
        <w:rPr>
          <w:rFonts w:ascii="Segoe UI" w:hAnsi="Segoe UI" w:cs="Segoe UI"/>
          <w:sz w:val="18"/>
          <w:szCs w:val="18"/>
        </w:rPr>
        <w:t xml:space="preserve">. Each piece of evidence is valid to the point made by the author and backs what she is saying. Considering the article was published in 2005, the data use is relevant and reliable as it was produced </w:t>
      </w:r>
      <w:r w:rsidR="00AA582B">
        <w:rPr>
          <w:rFonts w:ascii="Segoe UI" w:hAnsi="Segoe UI" w:cs="Segoe UI"/>
          <w:sz w:val="18"/>
          <w:szCs w:val="18"/>
        </w:rPr>
        <w:t>up until 2004</w:t>
      </w:r>
      <w:r>
        <w:rPr>
          <w:rFonts w:ascii="Segoe UI" w:hAnsi="Segoe UI" w:cs="Segoe UI"/>
          <w:sz w:val="18"/>
          <w:szCs w:val="18"/>
        </w:rPr>
        <w:t xml:space="preserve">. </w:t>
      </w:r>
      <w:r w:rsidR="00AA582B">
        <w:rPr>
          <w:rFonts w:ascii="Segoe UI" w:hAnsi="Segoe UI" w:cs="Segoe UI"/>
          <w:sz w:val="18"/>
          <w:szCs w:val="18"/>
        </w:rPr>
        <w:t>The evidence provided supports each point made by the author. This is effective as it can persuade the reader that the points put forward are accurate and the author has a valid argument. The conclusion drawn in the article suggests that Wales is no longer schooling students to fail. The author suggests that this ideology is dated. It is no longer possible to compare Wales with England, alongside suggesting the argument between the male and female attainment gap is no longer relevant as it has always been there. This conclusion is justified with evidence provided throughout the article.</w:t>
      </w:r>
    </w:p>
    <w:p w14:paraId="01B9A205" w14:textId="49894F51" w:rsidR="00AA582B" w:rsidRDefault="00AA582B" w:rsidP="00BF6BC5">
      <w:pPr>
        <w:pStyle w:val="paragraph"/>
        <w:spacing w:before="0" w:beforeAutospacing="0" w:after="0" w:afterAutospacing="0"/>
        <w:textAlignment w:val="baseline"/>
        <w:rPr>
          <w:rFonts w:ascii="Segoe UI" w:hAnsi="Segoe UI" w:cs="Segoe UI"/>
          <w:sz w:val="18"/>
          <w:szCs w:val="18"/>
        </w:rPr>
      </w:pPr>
    </w:p>
    <w:p w14:paraId="33B4A46E" w14:textId="2062744F" w:rsidR="00AA582B" w:rsidRDefault="00F82EF5" w:rsidP="00BF6BC5">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In conclusion, I believe this text produces a well thought out argument which is backed with evidence throughout. The structure makes the article easy to follow and the use of language is used to draw in the target audience of experts and academics. However, I believe this article may interested those who are not experts, and the use of other language could lead to the article targeting a wider audience of readers. Overall, this is an appropriate academic article addressing an issue that is relevant especially to those in Wales. It provides new ideologies and appropriate arguments which all support the aim of the text. </w:t>
      </w:r>
    </w:p>
    <w:p w14:paraId="08220D4C" w14:textId="1D64C23A" w:rsidR="00F82EF5" w:rsidRDefault="00F82EF5" w:rsidP="00BF6BC5">
      <w:pPr>
        <w:pStyle w:val="paragraph"/>
        <w:spacing w:before="0" w:beforeAutospacing="0" w:after="0" w:afterAutospacing="0"/>
        <w:textAlignment w:val="baseline"/>
        <w:rPr>
          <w:rFonts w:ascii="Segoe UI" w:hAnsi="Segoe UI" w:cs="Segoe UI"/>
          <w:sz w:val="18"/>
          <w:szCs w:val="18"/>
        </w:rPr>
      </w:pPr>
    </w:p>
    <w:p w14:paraId="69D181C7" w14:textId="77777777" w:rsidR="00F82EF5" w:rsidRDefault="00F82EF5" w:rsidP="00BF6BC5">
      <w:pPr>
        <w:pStyle w:val="paragraph"/>
        <w:spacing w:before="0" w:beforeAutospacing="0" w:after="0" w:afterAutospacing="0"/>
        <w:textAlignment w:val="baseline"/>
        <w:rPr>
          <w:rFonts w:ascii="Segoe UI" w:hAnsi="Segoe UI" w:cs="Segoe UI"/>
          <w:sz w:val="18"/>
          <w:szCs w:val="18"/>
          <w:u w:val="single"/>
        </w:rPr>
      </w:pPr>
    </w:p>
    <w:p w14:paraId="3D7BE597" w14:textId="655E32D8" w:rsidR="00F82EF5" w:rsidRPr="00F82EF5" w:rsidRDefault="00F82EF5" w:rsidP="00BF6BC5">
      <w:pPr>
        <w:pStyle w:val="paragraph"/>
        <w:spacing w:before="0" w:beforeAutospacing="0" w:after="0" w:afterAutospacing="0"/>
        <w:textAlignment w:val="baseline"/>
        <w:rPr>
          <w:rFonts w:ascii="Segoe UI" w:hAnsi="Segoe UI" w:cs="Segoe UI"/>
          <w:sz w:val="18"/>
          <w:szCs w:val="18"/>
          <w:u w:val="single"/>
        </w:rPr>
      </w:pPr>
      <w:r w:rsidRPr="00F82EF5">
        <w:rPr>
          <w:rFonts w:ascii="Segoe UI" w:hAnsi="Segoe UI" w:cs="Segoe UI"/>
          <w:sz w:val="18"/>
          <w:szCs w:val="18"/>
          <w:u w:val="single"/>
        </w:rPr>
        <w:t xml:space="preserve">Reference List </w:t>
      </w:r>
    </w:p>
    <w:p w14:paraId="6AFC6A0B" w14:textId="707D128B" w:rsidR="00F82EF5" w:rsidRPr="00F82EF5" w:rsidRDefault="00F82EF5" w:rsidP="00BF6BC5">
      <w:pPr>
        <w:pStyle w:val="paragraph"/>
        <w:spacing w:before="0" w:beforeAutospacing="0" w:after="0" w:afterAutospacing="0"/>
        <w:textAlignment w:val="baseline"/>
        <w:rPr>
          <w:rFonts w:ascii="Segoe UI" w:hAnsi="Segoe UI" w:cs="Segoe UI"/>
          <w:sz w:val="18"/>
          <w:szCs w:val="18"/>
          <w:u w:val="single"/>
        </w:rPr>
      </w:pPr>
    </w:p>
    <w:p w14:paraId="62FEFBD2" w14:textId="77777777" w:rsidR="00F82EF5" w:rsidRPr="00F82EF5" w:rsidRDefault="00F82EF5" w:rsidP="00F82EF5">
      <w:pPr>
        <w:pStyle w:val="NormalWeb"/>
        <w:rPr>
          <w:rFonts w:ascii="Segoe UI" w:hAnsi="Segoe UI" w:cs="Segoe UI"/>
          <w:sz w:val="18"/>
          <w:szCs w:val="18"/>
        </w:rPr>
      </w:pPr>
      <w:r w:rsidRPr="00F82EF5">
        <w:rPr>
          <w:rFonts w:ascii="Segoe UI" w:hAnsi="Segoe UI" w:cs="Segoe UI"/>
          <w:sz w:val="18"/>
          <w:szCs w:val="18"/>
        </w:rPr>
        <w:t xml:space="preserve">Emma Smith, (2005) "Schooled to Fail? The underachievement debate in Wales", The Welsh journal of education., 13, 2, pp.84-102 </w:t>
      </w:r>
    </w:p>
    <w:p w14:paraId="093D43BA" w14:textId="77777777" w:rsidR="00F82EF5" w:rsidRPr="00CD501B" w:rsidRDefault="00F82EF5" w:rsidP="00BF6BC5">
      <w:pPr>
        <w:pStyle w:val="paragraph"/>
        <w:spacing w:before="0" w:beforeAutospacing="0" w:after="0" w:afterAutospacing="0"/>
        <w:textAlignment w:val="baseline"/>
        <w:rPr>
          <w:rFonts w:ascii="Segoe UI" w:hAnsi="Segoe UI" w:cs="Segoe UI"/>
          <w:sz w:val="18"/>
          <w:szCs w:val="18"/>
        </w:rPr>
      </w:pPr>
    </w:p>
    <w:sectPr w:rsidR="00F82EF5" w:rsidRPr="00CD501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EE944" w14:textId="77777777" w:rsidR="00F417BD" w:rsidRDefault="00F417BD" w:rsidP="00BE6C39">
      <w:r>
        <w:separator/>
      </w:r>
    </w:p>
  </w:endnote>
  <w:endnote w:type="continuationSeparator" w:id="0">
    <w:p w14:paraId="3DA03D83" w14:textId="77777777" w:rsidR="00F417BD" w:rsidRDefault="00F417BD" w:rsidP="00BE6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31D3F" w14:textId="77777777" w:rsidR="00F417BD" w:rsidRDefault="00F417BD" w:rsidP="00BE6C39">
      <w:r>
        <w:separator/>
      </w:r>
    </w:p>
  </w:footnote>
  <w:footnote w:type="continuationSeparator" w:id="0">
    <w:p w14:paraId="314C5028" w14:textId="77777777" w:rsidR="00F417BD" w:rsidRDefault="00F417BD" w:rsidP="00BE6C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8562F" w14:textId="7E4F1220" w:rsidR="00BE6C39" w:rsidRDefault="00BE6C39">
    <w:pPr>
      <w:pStyle w:val="Header"/>
      <w:rPr>
        <w:sz w:val="20"/>
        <w:szCs w:val="20"/>
      </w:rPr>
    </w:pPr>
    <w:r>
      <w:rPr>
        <w:sz w:val="20"/>
        <w:szCs w:val="20"/>
      </w:rPr>
      <w:t>Grace Thomas 2204642</w:t>
    </w:r>
  </w:p>
  <w:p w14:paraId="4B659E10" w14:textId="77777777" w:rsidR="00BE6C39" w:rsidRDefault="00BE6C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2F5B"/>
    <w:multiLevelType w:val="hybridMultilevel"/>
    <w:tmpl w:val="E8D61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971D1"/>
    <w:multiLevelType w:val="hybridMultilevel"/>
    <w:tmpl w:val="59906E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2080050"/>
    <w:multiLevelType w:val="hybridMultilevel"/>
    <w:tmpl w:val="5F407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3931338">
    <w:abstractNumId w:val="2"/>
  </w:num>
  <w:num w:numId="2" w16cid:durableId="2020615833">
    <w:abstractNumId w:val="0"/>
  </w:num>
  <w:num w:numId="3" w16cid:durableId="10137990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945"/>
    <w:rsid w:val="00186131"/>
    <w:rsid w:val="001A3A92"/>
    <w:rsid w:val="001D1697"/>
    <w:rsid w:val="00295028"/>
    <w:rsid w:val="00301DF6"/>
    <w:rsid w:val="003719CF"/>
    <w:rsid w:val="003B76AA"/>
    <w:rsid w:val="00437555"/>
    <w:rsid w:val="00440222"/>
    <w:rsid w:val="00443C3E"/>
    <w:rsid w:val="004440D9"/>
    <w:rsid w:val="004C69F4"/>
    <w:rsid w:val="00541B4A"/>
    <w:rsid w:val="00567787"/>
    <w:rsid w:val="00871C64"/>
    <w:rsid w:val="009F0D3C"/>
    <w:rsid w:val="00AA582B"/>
    <w:rsid w:val="00B51410"/>
    <w:rsid w:val="00B95D43"/>
    <w:rsid w:val="00BE6C39"/>
    <w:rsid w:val="00BF3D78"/>
    <w:rsid w:val="00BF6BC5"/>
    <w:rsid w:val="00CB5945"/>
    <w:rsid w:val="00CD501B"/>
    <w:rsid w:val="00D1417C"/>
    <w:rsid w:val="00D7594B"/>
    <w:rsid w:val="00DA720A"/>
    <w:rsid w:val="00E562A7"/>
    <w:rsid w:val="00F417BD"/>
    <w:rsid w:val="00F82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8D6F6C"/>
  <w15:chartTrackingRefBased/>
  <w15:docId w15:val="{B127904B-3E4A-F84E-871E-A84120A85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62A7"/>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B5945"/>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CB5945"/>
  </w:style>
  <w:style w:type="character" w:customStyle="1" w:styleId="normaltextrun">
    <w:name w:val="normaltextrun"/>
    <w:basedOn w:val="DefaultParagraphFont"/>
    <w:rsid w:val="00CB5945"/>
  </w:style>
  <w:style w:type="character" w:customStyle="1" w:styleId="Heading1Char">
    <w:name w:val="Heading 1 Char"/>
    <w:basedOn w:val="DefaultParagraphFont"/>
    <w:link w:val="Heading1"/>
    <w:uiPriority w:val="9"/>
    <w:rsid w:val="00E562A7"/>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E562A7"/>
  </w:style>
  <w:style w:type="paragraph" w:styleId="NormalWeb">
    <w:name w:val="Normal (Web)"/>
    <w:basedOn w:val="Normal"/>
    <w:uiPriority w:val="99"/>
    <w:semiHidden/>
    <w:unhideWhenUsed/>
    <w:rsid w:val="00567787"/>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BE6C39"/>
    <w:pPr>
      <w:tabs>
        <w:tab w:val="center" w:pos="4513"/>
        <w:tab w:val="right" w:pos="9026"/>
      </w:tabs>
    </w:pPr>
  </w:style>
  <w:style w:type="character" w:customStyle="1" w:styleId="HeaderChar">
    <w:name w:val="Header Char"/>
    <w:basedOn w:val="DefaultParagraphFont"/>
    <w:link w:val="Header"/>
    <w:uiPriority w:val="99"/>
    <w:rsid w:val="00BE6C39"/>
  </w:style>
  <w:style w:type="paragraph" w:styleId="Footer">
    <w:name w:val="footer"/>
    <w:basedOn w:val="Normal"/>
    <w:link w:val="FooterChar"/>
    <w:uiPriority w:val="99"/>
    <w:unhideWhenUsed/>
    <w:rsid w:val="00BE6C39"/>
    <w:pPr>
      <w:tabs>
        <w:tab w:val="center" w:pos="4513"/>
        <w:tab w:val="right" w:pos="9026"/>
      </w:tabs>
    </w:pPr>
  </w:style>
  <w:style w:type="character" w:customStyle="1" w:styleId="FooterChar">
    <w:name w:val="Footer Char"/>
    <w:basedOn w:val="DefaultParagraphFont"/>
    <w:link w:val="Footer"/>
    <w:uiPriority w:val="99"/>
    <w:rsid w:val="00BE6C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69334">
      <w:bodyDiv w:val="1"/>
      <w:marLeft w:val="0"/>
      <w:marRight w:val="0"/>
      <w:marTop w:val="0"/>
      <w:marBottom w:val="0"/>
      <w:divBdr>
        <w:top w:val="none" w:sz="0" w:space="0" w:color="auto"/>
        <w:left w:val="none" w:sz="0" w:space="0" w:color="auto"/>
        <w:bottom w:val="none" w:sz="0" w:space="0" w:color="auto"/>
        <w:right w:val="none" w:sz="0" w:space="0" w:color="auto"/>
      </w:divBdr>
    </w:div>
    <w:div w:id="132912567">
      <w:bodyDiv w:val="1"/>
      <w:marLeft w:val="0"/>
      <w:marRight w:val="0"/>
      <w:marTop w:val="0"/>
      <w:marBottom w:val="0"/>
      <w:divBdr>
        <w:top w:val="none" w:sz="0" w:space="0" w:color="auto"/>
        <w:left w:val="none" w:sz="0" w:space="0" w:color="auto"/>
        <w:bottom w:val="none" w:sz="0" w:space="0" w:color="auto"/>
        <w:right w:val="none" w:sz="0" w:space="0" w:color="auto"/>
      </w:divBdr>
      <w:divsChild>
        <w:div w:id="17313235">
          <w:marLeft w:val="0"/>
          <w:marRight w:val="0"/>
          <w:marTop w:val="0"/>
          <w:marBottom w:val="0"/>
          <w:divBdr>
            <w:top w:val="none" w:sz="0" w:space="0" w:color="auto"/>
            <w:left w:val="none" w:sz="0" w:space="0" w:color="auto"/>
            <w:bottom w:val="none" w:sz="0" w:space="0" w:color="auto"/>
            <w:right w:val="none" w:sz="0" w:space="0" w:color="auto"/>
          </w:divBdr>
          <w:divsChild>
            <w:div w:id="70740032">
              <w:marLeft w:val="0"/>
              <w:marRight w:val="0"/>
              <w:marTop w:val="0"/>
              <w:marBottom w:val="0"/>
              <w:divBdr>
                <w:top w:val="none" w:sz="0" w:space="0" w:color="auto"/>
                <w:left w:val="none" w:sz="0" w:space="0" w:color="auto"/>
                <w:bottom w:val="none" w:sz="0" w:space="0" w:color="auto"/>
                <w:right w:val="none" w:sz="0" w:space="0" w:color="auto"/>
              </w:divBdr>
              <w:divsChild>
                <w:div w:id="85314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56173">
      <w:bodyDiv w:val="1"/>
      <w:marLeft w:val="0"/>
      <w:marRight w:val="0"/>
      <w:marTop w:val="0"/>
      <w:marBottom w:val="0"/>
      <w:divBdr>
        <w:top w:val="none" w:sz="0" w:space="0" w:color="auto"/>
        <w:left w:val="none" w:sz="0" w:space="0" w:color="auto"/>
        <w:bottom w:val="none" w:sz="0" w:space="0" w:color="auto"/>
        <w:right w:val="none" w:sz="0" w:space="0" w:color="auto"/>
      </w:divBdr>
    </w:div>
    <w:div w:id="232395886">
      <w:bodyDiv w:val="1"/>
      <w:marLeft w:val="0"/>
      <w:marRight w:val="0"/>
      <w:marTop w:val="0"/>
      <w:marBottom w:val="0"/>
      <w:divBdr>
        <w:top w:val="none" w:sz="0" w:space="0" w:color="auto"/>
        <w:left w:val="none" w:sz="0" w:space="0" w:color="auto"/>
        <w:bottom w:val="none" w:sz="0" w:space="0" w:color="auto"/>
        <w:right w:val="none" w:sz="0" w:space="0" w:color="auto"/>
      </w:divBdr>
    </w:div>
    <w:div w:id="408771206">
      <w:bodyDiv w:val="1"/>
      <w:marLeft w:val="0"/>
      <w:marRight w:val="0"/>
      <w:marTop w:val="0"/>
      <w:marBottom w:val="0"/>
      <w:divBdr>
        <w:top w:val="none" w:sz="0" w:space="0" w:color="auto"/>
        <w:left w:val="none" w:sz="0" w:space="0" w:color="auto"/>
        <w:bottom w:val="none" w:sz="0" w:space="0" w:color="auto"/>
        <w:right w:val="none" w:sz="0" w:space="0" w:color="auto"/>
      </w:divBdr>
    </w:div>
    <w:div w:id="429856235">
      <w:bodyDiv w:val="1"/>
      <w:marLeft w:val="0"/>
      <w:marRight w:val="0"/>
      <w:marTop w:val="0"/>
      <w:marBottom w:val="0"/>
      <w:divBdr>
        <w:top w:val="none" w:sz="0" w:space="0" w:color="auto"/>
        <w:left w:val="none" w:sz="0" w:space="0" w:color="auto"/>
        <w:bottom w:val="none" w:sz="0" w:space="0" w:color="auto"/>
        <w:right w:val="none" w:sz="0" w:space="0" w:color="auto"/>
      </w:divBdr>
    </w:div>
    <w:div w:id="584535273">
      <w:bodyDiv w:val="1"/>
      <w:marLeft w:val="0"/>
      <w:marRight w:val="0"/>
      <w:marTop w:val="0"/>
      <w:marBottom w:val="0"/>
      <w:divBdr>
        <w:top w:val="none" w:sz="0" w:space="0" w:color="auto"/>
        <w:left w:val="none" w:sz="0" w:space="0" w:color="auto"/>
        <w:bottom w:val="none" w:sz="0" w:space="0" w:color="auto"/>
        <w:right w:val="none" w:sz="0" w:space="0" w:color="auto"/>
      </w:divBdr>
    </w:div>
    <w:div w:id="613220567">
      <w:bodyDiv w:val="1"/>
      <w:marLeft w:val="0"/>
      <w:marRight w:val="0"/>
      <w:marTop w:val="0"/>
      <w:marBottom w:val="0"/>
      <w:divBdr>
        <w:top w:val="none" w:sz="0" w:space="0" w:color="auto"/>
        <w:left w:val="none" w:sz="0" w:space="0" w:color="auto"/>
        <w:bottom w:val="none" w:sz="0" w:space="0" w:color="auto"/>
        <w:right w:val="none" w:sz="0" w:space="0" w:color="auto"/>
      </w:divBdr>
    </w:div>
    <w:div w:id="638613573">
      <w:bodyDiv w:val="1"/>
      <w:marLeft w:val="0"/>
      <w:marRight w:val="0"/>
      <w:marTop w:val="0"/>
      <w:marBottom w:val="0"/>
      <w:divBdr>
        <w:top w:val="none" w:sz="0" w:space="0" w:color="auto"/>
        <w:left w:val="none" w:sz="0" w:space="0" w:color="auto"/>
        <w:bottom w:val="none" w:sz="0" w:space="0" w:color="auto"/>
        <w:right w:val="none" w:sz="0" w:space="0" w:color="auto"/>
      </w:divBdr>
    </w:div>
    <w:div w:id="917252021">
      <w:bodyDiv w:val="1"/>
      <w:marLeft w:val="0"/>
      <w:marRight w:val="0"/>
      <w:marTop w:val="0"/>
      <w:marBottom w:val="0"/>
      <w:divBdr>
        <w:top w:val="none" w:sz="0" w:space="0" w:color="auto"/>
        <w:left w:val="none" w:sz="0" w:space="0" w:color="auto"/>
        <w:bottom w:val="none" w:sz="0" w:space="0" w:color="auto"/>
        <w:right w:val="none" w:sz="0" w:space="0" w:color="auto"/>
      </w:divBdr>
    </w:div>
    <w:div w:id="923106208">
      <w:bodyDiv w:val="1"/>
      <w:marLeft w:val="0"/>
      <w:marRight w:val="0"/>
      <w:marTop w:val="0"/>
      <w:marBottom w:val="0"/>
      <w:divBdr>
        <w:top w:val="none" w:sz="0" w:space="0" w:color="auto"/>
        <w:left w:val="none" w:sz="0" w:space="0" w:color="auto"/>
        <w:bottom w:val="none" w:sz="0" w:space="0" w:color="auto"/>
        <w:right w:val="none" w:sz="0" w:space="0" w:color="auto"/>
      </w:divBdr>
      <w:divsChild>
        <w:div w:id="1883401785">
          <w:marLeft w:val="0"/>
          <w:marRight w:val="0"/>
          <w:marTop w:val="0"/>
          <w:marBottom w:val="0"/>
          <w:divBdr>
            <w:top w:val="none" w:sz="0" w:space="0" w:color="auto"/>
            <w:left w:val="none" w:sz="0" w:space="0" w:color="auto"/>
            <w:bottom w:val="none" w:sz="0" w:space="0" w:color="auto"/>
            <w:right w:val="none" w:sz="0" w:space="0" w:color="auto"/>
          </w:divBdr>
          <w:divsChild>
            <w:div w:id="1438140174">
              <w:marLeft w:val="0"/>
              <w:marRight w:val="0"/>
              <w:marTop w:val="0"/>
              <w:marBottom w:val="0"/>
              <w:divBdr>
                <w:top w:val="none" w:sz="0" w:space="0" w:color="auto"/>
                <w:left w:val="none" w:sz="0" w:space="0" w:color="auto"/>
                <w:bottom w:val="none" w:sz="0" w:space="0" w:color="auto"/>
                <w:right w:val="none" w:sz="0" w:space="0" w:color="auto"/>
              </w:divBdr>
              <w:divsChild>
                <w:div w:id="282227999">
                  <w:marLeft w:val="0"/>
                  <w:marRight w:val="0"/>
                  <w:marTop w:val="0"/>
                  <w:marBottom w:val="0"/>
                  <w:divBdr>
                    <w:top w:val="none" w:sz="0" w:space="0" w:color="auto"/>
                    <w:left w:val="none" w:sz="0" w:space="0" w:color="auto"/>
                    <w:bottom w:val="none" w:sz="0" w:space="0" w:color="auto"/>
                    <w:right w:val="none" w:sz="0" w:space="0" w:color="auto"/>
                  </w:divBdr>
                  <w:divsChild>
                    <w:div w:id="53466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469513">
      <w:bodyDiv w:val="1"/>
      <w:marLeft w:val="0"/>
      <w:marRight w:val="0"/>
      <w:marTop w:val="0"/>
      <w:marBottom w:val="0"/>
      <w:divBdr>
        <w:top w:val="none" w:sz="0" w:space="0" w:color="auto"/>
        <w:left w:val="none" w:sz="0" w:space="0" w:color="auto"/>
        <w:bottom w:val="none" w:sz="0" w:space="0" w:color="auto"/>
        <w:right w:val="none" w:sz="0" w:space="0" w:color="auto"/>
      </w:divBdr>
    </w:div>
    <w:div w:id="970476999">
      <w:bodyDiv w:val="1"/>
      <w:marLeft w:val="0"/>
      <w:marRight w:val="0"/>
      <w:marTop w:val="0"/>
      <w:marBottom w:val="0"/>
      <w:divBdr>
        <w:top w:val="none" w:sz="0" w:space="0" w:color="auto"/>
        <w:left w:val="none" w:sz="0" w:space="0" w:color="auto"/>
        <w:bottom w:val="none" w:sz="0" w:space="0" w:color="auto"/>
        <w:right w:val="none" w:sz="0" w:space="0" w:color="auto"/>
      </w:divBdr>
    </w:div>
    <w:div w:id="986974973">
      <w:bodyDiv w:val="1"/>
      <w:marLeft w:val="0"/>
      <w:marRight w:val="0"/>
      <w:marTop w:val="0"/>
      <w:marBottom w:val="0"/>
      <w:divBdr>
        <w:top w:val="none" w:sz="0" w:space="0" w:color="auto"/>
        <w:left w:val="none" w:sz="0" w:space="0" w:color="auto"/>
        <w:bottom w:val="none" w:sz="0" w:space="0" w:color="auto"/>
        <w:right w:val="none" w:sz="0" w:space="0" w:color="auto"/>
      </w:divBdr>
    </w:div>
    <w:div w:id="998966043">
      <w:bodyDiv w:val="1"/>
      <w:marLeft w:val="0"/>
      <w:marRight w:val="0"/>
      <w:marTop w:val="0"/>
      <w:marBottom w:val="0"/>
      <w:divBdr>
        <w:top w:val="none" w:sz="0" w:space="0" w:color="auto"/>
        <w:left w:val="none" w:sz="0" w:space="0" w:color="auto"/>
        <w:bottom w:val="none" w:sz="0" w:space="0" w:color="auto"/>
        <w:right w:val="none" w:sz="0" w:space="0" w:color="auto"/>
      </w:divBdr>
    </w:div>
    <w:div w:id="1008948754">
      <w:bodyDiv w:val="1"/>
      <w:marLeft w:val="0"/>
      <w:marRight w:val="0"/>
      <w:marTop w:val="0"/>
      <w:marBottom w:val="0"/>
      <w:divBdr>
        <w:top w:val="none" w:sz="0" w:space="0" w:color="auto"/>
        <w:left w:val="none" w:sz="0" w:space="0" w:color="auto"/>
        <w:bottom w:val="none" w:sz="0" w:space="0" w:color="auto"/>
        <w:right w:val="none" w:sz="0" w:space="0" w:color="auto"/>
      </w:divBdr>
    </w:div>
    <w:div w:id="1116869387">
      <w:bodyDiv w:val="1"/>
      <w:marLeft w:val="0"/>
      <w:marRight w:val="0"/>
      <w:marTop w:val="0"/>
      <w:marBottom w:val="0"/>
      <w:divBdr>
        <w:top w:val="none" w:sz="0" w:space="0" w:color="auto"/>
        <w:left w:val="none" w:sz="0" w:space="0" w:color="auto"/>
        <w:bottom w:val="none" w:sz="0" w:space="0" w:color="auto"/>
        <w:right w:val="none" w:sz="0" w:space="0" w:color="auto"/>
      </w:divBdr>
    </w:div>
    <w:div w:id="1213926667">
      <w:bodyDiv w:val="1"/>
      <w:marLeft w:val="0"/>
      <w:marRight w:val="0"/>
      <w:marTop w:val="0"/>
      <w:marBottom w:val="0"/>
      <w:divBdr>
        <w:top w:val="none" w:sz="0" w:space="0" w:color="auto"/>
        <w:left w:val="none" w:sz="0" w:space="0" w:color="auto"/>
        <w:bottom w:val="none" w:sz="0" w:space="0" w:color="auto"/>
        <w:right w:val="none" w:sz="0" w:space="0" w:color="auto"/>
      </w:divBdr>
    </w:div>
    <w:div w:id="1296643991">
      <w:bodyDiv w:val="1"/>
      <w:marLeft w:val="0"/>
      <w:marRight w:val="0"/>
      <w:marTop w:val="0"/>
      <w:marBottom w:val="0"/>
      <w:divBdr>
        <w:top w:val="none" w:sz="0" w:space="0" w:color="auto"/>
        <w:left w:val="none" w:sz="0" w:space="0" w:color="auto"/>
        <w:bottom w:val="none" w:sz="0" w:space="0" w:color="auto"/>
        <w:right w:val="none" w:sz="0" w:space="0" w:color="auto"/>
      </w:divBdr>
      <w:divsChild>
        <w:div w:id="277100996">
          <w:marLeft w:val="0"/>
          <w:marRight w:val="0"/>
          <w:marTop w:val="0"/>
          <w:marBottom w:val="0"/>
          <w:divBdr>
            <w:top w:val="none" w:sz="0" w:space="0" w:color="auto"/>
            <w:left w:val="none" w:sz="0" w:space="0" w:color="auto"/>
            <w:bottom w:val="none" w:sz="0" w:space="0" w:color="auto"/>
            <w:right w:val="none" w:sz="0" w:space="0" w:color="auto"/>
          </w:divBdr>
        </w:div>
        <w:div w:id="960527857">
          <w:marLeft w:val="0"/>
          <w:marRight w:val="0"/>
          <w:marTop w:val="0"/>
          <w:marBottom w:val="0"/>
          <w:divBdr>
            <w:top w:val="none" w:sz="0" w:space="0" w:color="auto"/>
            <w:left w:val="none" w:sz="0" w:space="0" w:color="auto"/>
            <w:bottom w:val="none" w:sz="0" w:space="0" w:color="auto"/>
            <w:right w:val="none" w:sz="0" w:space="0" w:color="auto"/>
          </w:divBdr>
        </w:div>
        <w:div w:id="578055543">
          <w:marLeft w:val="0"/>
          <w:marRight w:val="0"/>
          <w:marTop w:val="0"/>
          <w:marBottom w:val="0"/>
          <w:divBdr>
            <w:top w:val="none" w:sz="0" w:space="0" w:color="auto"/>
            <w:left w:val="none" w:sz="0" w:space="0" w:color="auto"/>
            <w:bottom w:val="none" w:sz="0" w:space="0" w:color="auto"/>
            <w:right w:val="none" w:sz="0" w:space="0" w:color="auto"/>
          </w:divBdr>
        </w:div>
        <w:div w:id="377095081">
          <w:marLeft w:val="0"/>
          <w:marRight w:val="0"/>
          <w:marTop w:val="0"/>
          <w:marBottom w:val="0"/>
          <w:divBdr>
            <w:top w:val="none" w:sz="0" w:space="0" w:color="auto"/>
            <w:left w:val="none" w:sz="0" w:space="0" w:color="auto"/>
            <w:bottom w:val="none" w:sz="0" w:space="0" w:color="auto"/>
            <w:right w:val="none" w:sz="0" w:space="0" w:color="auto"/>
          </w:divBdr>
        </w:div>
        <w:div w:id="2099517221">
          <w:marLeft w:val="0"/>
          <w:marRight w:val="0"/>
          <w:marTop w:val="0"/>
          <w:marBottom w:val="0"/>
          <w:divBdr>
            <w:top w:val="none" w:sz="0" w:space="0" w:color="auto"/>
            <w:left w:val="none" w:sz="0" w:space="0" w:color="auto"/>
            <w:bottom w:val="none" w:sz="0" w:space="0" w:color="auto"/>
            <w:right w:val="none" w:sz="0" w:space="0" w:color="auto"/>
          </w:divBdr>
        </w:div>
        <w:div w:id="1936672845">
          <w:marLeft w:val="0"/>
          <w:marRight w:val="0"/>
          <w:marTop w:val="0"/>
          <w:marBottom w:val="0"/>
          <w:divBdr>
            <w:top w:val="none" w:sz="0" w:space="0" w:color="auto"/>
            <w:left w:val="none" w:sz="0" w:space="0" w:color="auto"/>
            <w:bottom w:val="none" w:sz="0" w:space="0" w:color="auto"/>
            <w:right w:val="none" w:sz="0" w:space="0" w:color="auto"/>
          </w:divBdr>
        </w:div>
        <w:div w:id="1075974044">
          <w:marLeft w:val="0"/>
          <w:marRight w:val="0"/>
          <w:marTop w:val="0"/>
          <w:marBottom w:val="0"/>
          <w:divBdr>
            <w:top w:val="none" w:sz="0" w:space="0" w:color="auto"/>
            <w:left w:val="none" w:sz="0" w:space="0" w:color="auto"/>
            <w:bottom w:val="none" w:sz="0" w:space="0" w:color="auto"/>
            <w:right w:val="none" w:sz="0" w:space="0" w:color="auto"/>
          </w:divBdr>
        </w:div>
      </w:divsChild>
    </w:div>
    <w:div w:id="1384938384">
      <w:bodyDiv w:val="1"/>
      <w:marLeft w:val="0"/>
      <w:marRight w:val="0"/>
      <w:marTop w:val="0"/>
      <w:marBottom w:val="0"/>
      <w:divBdr>
        <w:top w:val="none" w:sz="0" w:space="0" w:color="auto"/>
        <w:left w:val="none" w:sz="0" w:space="0" w:color="auto"/>
        <w:bottom w:val="none" w:sz="0" w:space="0" w:color="auto"/>
        <w:right w:val="none" w:sz="0" w:space="0" w:color="auto"/>
      </w:divBdr>
    </w:div>
    <w:div w:id="1419254313">
      <w:bodyDiv w:val="1"/>
      <w:marLeft w:val="0"/>
      <w:marRight w:val="0"/>
      <w:marTop w:val="0"/>
      <w:marBottom w:val="0"/>
      <w:divBdr>
        <w:top w:val="none" w:sz="0" w:space="0" w:color="auto"/>
        <w:left w:val="none" w:sz="0" w:space="0" w:color="auto"/>
        <w:bottom w:val="none" w:sz="0" w:space="0" w:color="auto"/>
        <w:right w:val="none" w:sz="0" w:space="0" w:color="auto"/>
      </w:divBdr>
    </w:div>
    <w:div w:id="1421827578">
      <w:bodyDiv w:val="1"/>
      <w:marLeft w:val="0"/>
      <w:marRight w:val="0"/>
      <w:marTop w:val="0"/>
      <w:marBottom w:val="0"/>
      <w:divBdr>
        <w:top w:val="none" w:sz="0" w:space="0" w:color="auto"/>
        <w:left w:val="none" w:sz="0" w:space="0" w:color="auto"/>
        <w:bottom w:val="none" w:sz="0" w:space="0" w:color="auto"/>
        <w:right w:val="none" w:sz="0" w:space="0" w:color="auto"/>
      </w:divBdr>
    </w:div>
    <w:div w:id="1435786212">
      <w:bodyDiv w:val="1"/>
      <w:marLeft w:val="0"/>
      <w:marRight w:val="0"/>
      <w:marTop w:val="0"/>
      <w:marBottom w:val="0"/>
      <w:divBdr>
        <w:top w:val="none" w:sz="0" w:space="0" w:color="auto"/>
        <w:left w:val="none" w:sz="0" w:space="0" w:color="auto"/>
        <w:bottom w:val="none" w:sz="0" w:space="0" w:color="auto"/>
        <w:right w:val="none" w:sz="0" w:space="0" w:color="auto"/>
      </w:divBdr>
    </w:div>
    <w:div w:id="1452474638">
      <w:bodyDiv w:val="1"/>
      <w:marLeft w:val="0"/>
      <w:marRight w:val="0"/>
      <w:marTop w:val="0"/>
      <w:marBottom w:val="0"/>
      <w:divBdr>
        <w:top w:val="none" w:sz="0" w:space="0" w:color="auto"/>
        <w:left w:val="none" w:sz="0" w:space="0" w:color="auto"/>
        <w:bottom w:val="none" w:sz="0" w:space="0" w:color="auto"/>
        <w:right w:val="none" w:sz="0" w:space="0" w:color="auto"/>
      </w:divBdr>
    </w:div>
    <w:div w:id="1482576070">
      <w:bodyDiv w:val="1"/>
      <w:marLeft w:val="0"/>
      <w:marRight w:val="0"/>
      <w:marTop w:val="0"/>
      <w:marBottom w:val="0"/>
      <w:divBdr>
        <w:top w:val="none" w:sz="0" w:space="0" w:color="auto"/>
        <w:left w:val="none" w:sz="0" w:space="0" w:color="auto"/>
        <w:bottom w:val="none" w:sz="0" w:space="0" w:color="auto"/>
        <w:right w:val="none" w:sz="0" w:space="0" w:color="auto"/>
      </w:divBdr>
    </w:div>
    <w:div w:id="1500652116">
      <w:bodyDiv w:val="1"/>
      <w:marLeft w:val="0"/>
      <w:marRight w:val="0"/>
      <w:marTop w:val="0"/>
      <w:marBottom w:val="0"/>
      <w:divBdr>
        <w:top w:val="none" w:sz="0" w:space="0" w:color="auto"/>
        <w:left w:val="none" w:sz="0" w:space="0" w:color="auto"/>
        <w:bottom w:val="none" w:sz="0" w:space="0" w:color="auto"/>
        <w:right w:val="none" w:sz="0" w:space="0" w:color="auto"/>
      </w:divBdr>
    </w:div>
    <w:div w:id="1674062281">
      <w:bodyDiv w:val="1"/>
      <w:marLeft w:val="0"/>
      <w:marRight w:val="0"/>
      <w:marTop w:val="0"/>
      <w:marBottom w:val="0"/>
      <w:divBdr>
        <w:top w:val="none" w:sz="0" w:space="0" w:color="auto"/>
        <w:left w:val="none" w:sz="0" w:space="0" w:color="auto"/>
        <w:bottom w:val="none" w:sz="0" w:space="0" w:color="auto"/>
        <w:right w:val="none" w:sz="0" w:space="0" w:color="auto"/>
      </w:divBdr>
    </w:div>
    <w:div w:id="1728527092">
      <w:bodyDiv w:val="1"/>
      <w:marLeft w:val="0"/>
      <w:marRight w:val="0"/>
      <w:marTop w:val="0"/>
      <w:marBottom w:val="0"/>
      <w:divBdr>
        <w:top w:val="none" w:sz="0" w:space="0" w:color="auto"/>
        <w:left w:val="none" w:sz="0" w:space="0" w:color="auto"/>
        <w:bottom w:val="none" w:sz="0" w:space="0" w:color="auto"/>
        <w:right w:val="none" w:sz="0" w:space="0" w:color="auto"/>
      </w:divBdr>
    </w:div>
    <w:div w:id="1953778668">
      <w:bodyDiv w:val="1"/>
      <w:marLeft w:val="0"/>
      <w:marRight w:val="0"/>
      <w:marTop w:val="0"/>
      <w:marBottom w:val="0"/>
      <w:divBdr>
        <w:top w:val="none" w:sz="0" w:space="0" w:color="auto"/>
        <w:left w:val="none" w:sz="0" w:space="0" w:color="auto"/>
        <w:bottom w:val="none" w:sz="0" w:space="0" w:color="auto"/>
        <w:right w:val="none" w:sz="0" w:space="0" w:color="auto"/>
      </w:divBdr>
      <w:divsChild>
        <w:div w:id="37164947">
          <w:marLeft w:val="0"/>
          <w:marRight w:val="0"/>
          <w:marTop w:val="0"/>
          <w:marBottom w:val="0"/>
          <w:divBdr>
            <w:top w:val="none" w:sz="0" w:space="0" w:color="auto"/>
            <w:left w:val="none" w:sz="0" w:space="0" w:color="auto"/>
            <w:bottom w:val="none" w:sz="0" w:space="0" w:color="auto"/>
            <w:right w:val="none" w:sz="0" w:space="0" w:color="auto"/>
          </w:divBdr>
        </w:div>
        <w:div w:id="1877228297">
          <w:marLeft w:val="0"/>
          <w:marRight w:val="0"/>
          <w:marTop w:val="0"/>
          <w:marBottom w:val="0"/>
          <w:divBdr>
            <w:top w:val="none" w:sz="0" w:space="0" w:color="auto"/>
            <w:left w:val="none" w:sz="0" w:space="0" w:color="auto"/>
            <w:bottom w:val="none" w:sz="0" w:space="0" w:color="auto"/>
            <w:right w:val="none" w:sz="0" w:space="0" w:color="auto"/>
          </w:divBdr>
        </w:div>
      </w:divsChild>
    </w:div>
    <w:div w:id="1969699532">
      <w:bodyDiv w:val="1"/>
      <w:marLeft w:val="0"/>
      <w:marRight w:val="0"/>
      <w:marTop w:val="0"/>
      <w:marBottom w:val="0"/>
      <w:divBdr>
        <w:top w:val="none" w:sz="0" w:space="0" w:color="auto"/>
        <w:left w:val="none" w:sz="0" w:space="0" w:color="auto"/>
        <w:bottom w:val="none" w:sz="0" w:space="0" w:color="auto"/>
        <w:right w:val="none" w:sz="0" w:space="0" w:color="auto"/>
      </w:divBdr>
    </w:div>
    <w:div w:id="1989161889">
      <w:bodyDiv w:val="1"/>
      <w:marLeft w:val="0"/>
      <w:marRight w:val="0"/>
      <w:marTop w:val="0"/>
      <w:marBottom w:val="0"/>
      <w:divBdr>
        <w:top w:val="none" w:sz="0" w:space="0" w:color="auto"/>
        <w:left w:val="none" w:sz="0" w:space="0" w:color="auto"/>
        <w:bottom w:val="none" w:sz="0" w:space="0" w:color="auto"/>
        <w:right w:val="none" w:sz="0" w:space="0" w:color="auto"/>
      </w:divBdr>
    </w:div>
    <w:div w:id="2008048924">
      <w:bodyDiv w:val="1"/>
      <w:marLeft w:val="0"/>
      <w:marRight w:val="0"/>
      <w:marTop w:val="0"/>
      <w:marBottom w:val="0"/>
      <w:divBdr>
        <w:top w:val="none" w:sz="0" w:space="0" w:color="auto"/>
        <w:left w:val="none" w:sz="0" w:space="0" w:color="auto"/>
        <w:bottom w:val="none" w:sz="0" w:space="0" w:color="auto"/>
        <w:right w:val="none" w:sz="0" w:space="0" w:color="auto"/>
      </w:divBdr>
    </w:div>
    <w:div w:id="2022462128">
      <w:bodyDiv w:val="1"/>
      <w:marLeft w:val="0"/>
      <w:marRight w:val="0"/>
      <w:marTop w:val="0"/>
      <w:marBottom w:val="0"/>
      <w:divBdr>
        <w:top w:val="none" w:sz="0" w:space="0" w:color="auto"/>
        <w:left w:val="none" w:sz="0" w:space="0" w:color="auto"/>
        <w:bottom w:val="none" w:sz="0" w:space="0" w:color="auto"/>
        <w:right w:val="none" w:sz="0" w:space="0" w:color="auto"/>
      </w:divBdr>
    </w:div>
    <w:div w:id="210229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Nor14</b:Tag>
    <b:SourceType>JournalArticle</b:SourceType>
    <b:Guid>{1A56D3B1-99F9-F942-8A50-00431B6883CF}</b:Guid>
    <b:Title>Icelandic teachers' views of using the outdoors</b:Title>
    <b:Year>2014</b:Year>
    <b:Author>
      <b:Author>
        <b:NameList>
          <b:Person>
            <b:Last>Noradahl</b:Last>
            <b:First>K</b:First>
          </b:Person>
          <b:Person>
            <b:Last>Johannesson</b:Last>
            <b:First>I</b:First>
          </b:Person>
        </b:NameList>
      </b:Author>
    </b:Author>
    <b:JournalName>International Journal of Primary, Elementary and Early Years Education</b:JournalName>
    <b:Volume>44</b:Volume>
    <b:Issue>4</b:Issue>
    <b:Pages>391-406</b:Pages>
    <b:RefOrder>1</b:RefOrder>
  </b:Source>
  <b:Source>
    <b:Tag>Ola08</b:Tag>
    <b:SourceType>Report</b:SourceType>
    <b:Guid>{F3011DDA-8FC4-8446-A5C8-15BDBF360799}</b:Guid>
    <b:Title>Annual report 2008</b:Title>
    <b:Year>2008</b:Year>
    <b:Author>
      <b:Author>
        <b:NameList>
          <b:Person>
            <b:Last>Oladottir</b:Last>
            <b:First>H</b:First>
          </b:Person>
        </b:NameList>
      </b:Author>
    </b:Author>
    <b:Publisher>Reykjavik: Nattoruskoli Reykjavikur</b:Publisher>
    <b:RefOrder>2</b:RefOrder>
  </b:Source>
  <b:Source>
    <b:Tag>OBr06</b:Tag>
    <b:SourceType>Report</b:SourceType>
    <b:Guid>{95443012-CBFB-5C4D-87FA-83306A0EC6E5}</b:Guid>
    <b:Title>A marvellous opportunity for children to learn: A participatory evaluation of Forest school in England and Wales</b:Title>
    <b:Publisher>Farnham: forest research</b:Publisher>
    <b:Year>2006</b:Year>
    <b:Author>
      <b:Author>
        <b:NameList>
          <b:Person>
            <b:Last>O'Brien</b:Last>
            <b:First>E</b:First>
          </b:Person>
          <b:Person>
            <b:Last>Murray</b:Last>
            <b:First>R</b:First>
          </b:Person>
        </b:NameList>
      </b:Author>
    </b:Author>
    <b:RefOrder>3</b:RefOrder>
  </b:Source>
  <b:Source>
    <b:Tag>Tho04</b:Tag>
    <b:SourceType>Report</b:SourceType>
    <b:Guid>{0A9F28C6-10A6-E34D-AC96-55F971999D5E}</b:Guid>
    <b:Title>Open space and social inclusion: Local woodland use in central Scotland</b:Title>
    <b:Publisher>Report to the Forestry Commission</b:Publisher>
    <b:City>Edinburugh</b:City>
    <b:Year>2004</b:Year>
    <b:Author>
      <b:Author>
        <b:NameList>
          <b:Person>
            <b:Last>Thompson</b:Last>
            <b:First>C</b:First>
          </b:Person>
          <b:Person>
            <b:Last>Aspinall</b:Last>
            <b:First>P</b:First>
          </b:Person>
          <b:Person>
            <b:Last>Bell</b:Last>
            <b:First>S</b:First>
          </b:Person>
          <b:Person>
            <b:Last>Findlay</b:Last>
            <b:First>C</b:First>
          </b:Person>
          <b:Person>
            <b:Last>Wherrett</b:Last>
            <b:First>J</b:First>
          </b:Person>
          <b:Person>
            <b:Last>Travlou</b:Last>
            <b:First>P</b:First>
          </b:Person>
        </b:NameList>
      </b:Author>
    </b:Author>
    <b:RefOrder>4</b:RefOrder>
  </b:Source>
  <b:Source>
    <b:Tag>Wel09</b:Tag>
    <b:SourceType>Book</b:SourceType>
    <b:Guid>{F9DE754B-C933-D948-92CD-FBB356122E10}</b:Guid>
    <b:Title>Outdoor Learning Handbook</b:Title>
    <b:Publisher>WAG</b:Publisher>
    <b:City>Cardiff</b:City>
    <b:Year>2009</b:Year>
    <b:Author>
      <b:Author>
        <b:NameList>
          <b:Person>
            <b:Last>Government</b:Last>
            <b:First>Welsh</b:First>
            <b:Middle>Assembly</b:Middle>
          </b:Person>
        </b:NameList>
      </b:Author>
    </b:Author>
    <b:RefOrder>5</b:RefOrder>
  </b:Source>
  <b:Source>
    <b:Tag>Har</b:Tag>
    <b:SourceType>Book</b:SourceType>
    <b:Guid>{923B587D-B79F-254B-BE69-16164E43FF0A}</b:Guid>
    <b:Title>Harvard Referencing Handbook</b:Title>
    <b:Publisher>Books and Beyond</b:Publisher>
    <b:Edition>Version 1.2</b:Edition>
    <b:RefOrder>14</b:RefOrder>
  </b:Source>
  <b:Source>
    <b:Tag>Har1</b:Tag>
    <b:SourceType>Book</b:SourceType>
    <b:Guid>{F68568F1-1B9A-DD4E-AE3A-D3E0482DBF77}</b:Guid>
    <b:Title>Referencing Handbook: Harvard</b:Title>
    <b:Publisher>Books and Beyond</b:Publisher>
    <b:Edition>version 1.2</b:Edition>
    <b:RefOrder>15</b:RefOrder>
  </b:Source>
  <b:Source>
    <b:Tag>Nev10</b:Tag>
    <b:SourceType>Book</b:SourceType>
    <b:Guid>{6C3BB8EF-E9C4-5F40-8D06-41B90670EB76}</b:Guid>
    <b:Title>The complete guide to referencing and avoiding plagiarism</b:Title>
    <b:Publisher>Open University Press</b:Publisher>
    <b:Year>2010</b:Year>
    <b:Edition>2nd</b:Edition>
    <b:Author>
      <b:Author>
        <b:NameList>
          <b:Person>
            <b:Last>Neville</b:Last>
            <b:First>Colin</b:First>
          </b:Person>
        </b:NameList>
      </b:Author>
    </b:Author>
    <b:RefOrder>6</b:RefOrder>
  </b:Source>
  <b:Source>
    <b:Tag>Sto03</b:Tag>
    <b:SourceType>Report</b:SourceType>
    <b:Guid>{0F717317-9E59-D843-92C7-10BE30C0999E}</b:Guid>
    <b:Title>Why students should avoid plagiarism: What Students Say</b:Title>
    <b:Year>2003</b:Year>
    <b:Author>
      <b:Author>
        <b:NameList>
          <b:Person>
            <b:Last>Stoner</b:Last>
            <b:First>Dr Mark</b:First>
          </b:Person>
        </b:NameList>
      </b:Author>
    </b:Author>
    <b:RefOrder>7</b:RefOrder>
  </b:Source>
  <b:Source>
    <b:Tag>Nev101</b:Tag>
    <b:SourceType>Book</b:SourceType>
    <b:Guid>{1DE673B7-0F96-684E-BB7D-666DB3D9F171}</b:Guid>
    <b:Title>The Complete Guide to Referencing and Avoiding Plagiarism</b:Title>
    <b:Publisher>Open University Press</b:Publisher>
    <b:Year>2010</b:Year>
    <b:Edition>2nd</b:Edition>
    <b:Author>
      <b:Author>
        <b:NameList>
          <b:Person>
            <b:Last>Neville</b:Last>
            <b:First>Colin</b:First>
          </b:Person>
        </b:NameList>
      </b:Author>
    </b:Author>
    <b:RefOrder>8</b:RefOrder>
  </b:Source>
  <b:Source>
    <b:Tag>Nev102</b:Tag>
    <b:SourceType>Book</b:SourceType>
    <b:Guid>{E8274737-DE94-F645-98F3-40C82C22E78E}</b:Guid>
    <b:Author>
      <b:Author>
        <b:NameList>
          <b:Person>
            <b:Last>Neville</b:Last>
            <b:First>colin</b:First>
          </b:Person>
        </b:NameList>
      </b:Author>
    </b:Author>
    <b:Title>The Complete Guide to Referencing and Avoiding Plagiarism</b:Title>
    <b:Publisher>Open University Press</b:Publisher>
    <b:Year>2010</b:Year>
    <b:Edition>2nd</b:Edition>
    <b:RefOrder>9</b:RefOrder>
  </b:Source>
  <b:Source>
    <b:Tag>Tom12</b:Tag>
    <b:SourceType>InternetSite</b:SourceType>
    <b:Guid>{56E84583-08ED-744B-88C6-CC64A0A25A24}</b:Guid>
    <b:Title>Education World</b:Title>
    <b:Year>2012</b:Year>
    <b:URL>https://www.educationworld.com/a_tech/how-to-use-wikipedia-for-academics.shtml</b:URL>
    <b:Author>
      <b:Author>
        <b:NameList>
          <b:Person>
            <b:Last>Tomaszewski</b:Last>
            <b:First>Jason</b:First>
          </b:Person>
        </b:NameList>
      </b:Author>
    </b:Author>
    <b:RefOrder>10</b:RefOrder>
  </b:Source>
  <b:Source>
    <b:Tag>Cau22</b:Tag>
    <b:SourceType>InternetSite</b:SourceType>
    <b:Guid>{7F964D9E-6899-3A4E-8342-46F9646E8BEB}</b:Guid>
    <b:Title>Scribbr</b:Title>
    <b:URL>https://www.scribbr.com/citing-sources/how-to-cite-wikipedia/#reliable</b:URL>
    <b:Year>2022</b:Year>
    <b:YearAccessed>2022</b:YearAccessed>
    <b:MonthAccessed>June</b:MonthAccessed>
    <b:DayAccessed>28</b:DayAccessed>
    <b:Author>
      <b:Author>
        <b:NameList>
          <b:Person>
            <b:Last>Caulfield</b:Last>
            <b:First>Jack</b:First>
          </b:Person>
        </b:NameList>
      </b:Author>
    </b:Author>
    <b:RefOrder>11</b:RefOrder>
  </b:Source>
  <b:Source>
    <b:Tag>Geo21</b:Tag>
    <b:SourceType>InternetSite</b:SourceType>
    <b:Guid>{7D2DFD7D-E6DB-5045-97F4-90D16CC3F3EA}</b:Guid>
    <b:Title>Scribbr</b:Title>
    <b:URL>https://www.scribbr.com/working-with-sources/credible-sources/</b:URL>
    <b:Year>2021</b:Year>
    <b:YearAccessed>2022</b:YearAccessed>
    <b:MonthAccessed>November</b:MonthAccessed>
    <b:DayAccessed>11</b:DayAccessed>
    <b:Author>
      <b:Author>
        <b:NameList>
          <b:Person>
            <b:Last>George</b:Last>
            <b:First>Tegan</b:First>
          </b:Person>
        </b:NameList>
      </b:Author>
    </b:Author>
    <b:RefOrder>12</b:RefOrder>
  </b:Source>
  <b:Source>
    <b:Tag>Day18</b:Tag>
    <b:SourceType>Book</b:SourceType>
    <b:Guid>{087F5327-A9D3-ED4D-8DD3-35C1C5BE0BCA}</b:Guid>
    <b:Title>Success in Academic Writing</b:Title>
    <b:Year>2018</b:Year>
    <b:Publisher>Bloomsbury Publishing Plc</b:Publisher>
    <b:Author>
      <b:Author>
        <b:NameList>
          <b:Person>
            <b:Last>Day</b:Last>
            <b:First>Trevor</b:First>
          </b:Person>
        </b:NameList>
      </b:Author>
    </b:Author>
    <b:RefOrder>13</b:RefOrder>
  </b:Source>
</b:Sources>
</file>

<file path=customXml/itemProps1.xml><?xml version="1.0" encoding="utf-8"?>
<ds:datastoreItem xmlns:ds="http://schemas.openxmlformats.org/officeDocument/2006/customXml" ds:itemID="{F073A8B0-00C8-374C-BDC5-B217FAAB9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4</Pages>
  <Words>2351</Words>
  <Characters>13405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Thomas (2204642)</dc:creator>
  <cp:keywords/>
  <dc:description/>
  <cp:lastModifiedBy>Thomas, Grace</cp:lastModifiedBy>
  <cp:revision>5</cp:revision>
  <dcterms:created xsi:type="dcterms:W3CDTF">2022-11-29T15:29:00Z</dcterms:created>
  <dcterms:modified xsi:type="dcterms:W3CDTF">2022-12-10T15:28:00Z</dcterms:modified>
</cp:coreProperties>
</file>