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sz w:val="28"/>
          <w:szCs w:val="28"/>
        </w:rPr>
      </w:pPr>
      <w:r>
        <w:rPr>
          <w:b w:val="1"/>
          <w:bCs w:val="1"/>
          <w:sz w:val="28"/>
          <w:szCs w:val="28"/>
          <w:rtl w:val="0"/>
          <w:lang w:val="en-US"/>
        </w:rPr>
        <w:t>In What Ways Can Touring Theatre Affect Its Audience In Terms Of Addressing Social, Political, and Cultural Issues?</w:t>
      </w:r>
    </w:p>
    <w:p>
      <w:pPr>
        <w:pStyle w:val="Body"/>
        <w:jc w:val="center"/>
        <w:rPr>
          <w:b w:val="1"/>
          <w:bCs w:val="1"/>
          <w:sz w:val="28"/>
          <w:szCs w:val="28"/>
        </w:rPr>
      </w:pPr>
    </w:p>
    <w:p>
      <w:pPr>
        <w:pStyle w:val="Body"/>
        <w:jc w:val="left"/>
      </w:pPr>
    </w:p>
    <w:p>
      <w:pPr>
        <w:pStyle w:val="Body"/>
        <w:ind w:left="720"/>
        <w:jc w:val="left"/>
      </w:pPr>
      <w:r>
        <w:rPr>
          <w:rtl w:val="0"/>
          <w:lang w:val="en-US"/>
        </w:rPr>
        <w:t>In our touring module, we were given the task of finding out the meanings behind collective responsibility and kindness. Within our research, we discovered how important it was to teach young children these messages, but we had also discovered that our research - when the information connected back to children - spoke about the intelligence of a child and their subconscious reaction to responsibility and kindness. A child can be easily influenced by the actions of others, however they are also capable of independent thought and choices.</w:t>
      </w:r>
      <w:r>
        <w:rPr>
          <w:vertAlign w:val="superscript"/>
          <w:rtl w:val="0"/>
          <w:lang w:val="en-US"/>
        </w:rPr>
        <w:t xml:space="preserve">1 </w:t>
      </w:r>
      <w:r>
        <w:rPr>
          <w:rtl w:val="0"/>
          <w:lang w:val="en-US"/>
        </w:rPr>
        <w:t>As a group, we decided that giving children the chance to decide and to think about the choices made in the show would be the best route to go down.</w:t>
      </w:r>
    </w:p>
    <w:p>
      <w:pPr>
        <w:pStyle w:val="Body"/>
        <w:ind w:left="720"/>
        <w:jc w:val="left"/>
      </w:pPr>
    </w:p>
    <w:p>
      <w:pPr>
        <w:pStyle w:val="Body"/>
        <w:ind w:left="720"/>
        <w:jc w:val="left"/>
      </w:pPr>
      <w:r>
        <w:rPr>
          <w:rtl w:val="0"/>
          <w:lang w:val="en-US"/>
        </w:rPr>
        <w:t>In a social aspect, this types of theatre could potentially help a child think about their actions towards others and even towards themselves. As a company, we wanted to make sure that our main character was relatable to the target age, putting her in situations that a child could understand. For example, the opening scene is the main character yelling at her parents and eventually making herself cry because of the firm yet fair actions the parents took (grounding her). As the story moves on, the character realises that her behaviour was unacceptable and learns to be kinder towards others.</w:t>
      </w:r>
    </w:p>
    <w:p>
      <w:pPr>
        <w:pStyle w:val="Body"/>
        <w:ind w:left="720"/>
        <w:jc w:val="left"/>
      </w:pPr>
    </w:p>
    <w:p>
      <w:pPr>
        <w:pStyle w:val="Body"/>
        <w:ind w:left="720"/>
        <w:jc w:val="left"/>
      </w:pPr>
      <w:r>
        <w:rPr>
          <w:rtl w:val="0"/>
          <w:lang w:val="en-US"/>
        </w:rPr>
        <w:t xml:space="preserve">Our show does not delve into the political side of theatre too deeply, however there are shows that do involve themselves in this. Political theatre is created with the intention to reflect the current political climate towards the audience, usually depicting it in an exaggerated manner in order to make the audience think about the type of politics they would want for their country. Political theatre is usually a depiction of </w:t>
      </w:r>
      <w:r>
        <w:rPr>
          <w:rtl w:val="0"/>
          <w:lang w:val="en-US"/>
        </w:rPr>
        <w:t>“</w:t>
      </w:r>
      <w:r>
        <w:rPr>
          <w:rtl w:val="0"/>
          <w:lang w:val="en-US"/>
        </w:rPr>
        <w:t>the public</w:t>
      </w:r>
      <w:r>
        <w:rPr>
          <w:rtl w:val="0"/>
          <w:lang w:val="en-US"/>
        </w:rPr>
        <w:t>’</w:t>
      </w:r>
      <w:r>
        <w:rPr>
          <w:rtl w:val="0"/>
          <w:lang w:val="en-US"/>
        </w:rPr>
        <w:t>s voice</w:t>
      </w:r>
      <w:r>
        <w:rPr>
          <w:rtl w:val="0"/>
          <w:lang w:val="en-US"/>
        </w:rPr>
        <w:t>”</w:t>
      </w:r>
      <w:r>
        <w:rPr>
          <w:rtl w:val="0"/>
          <w:lang w:val="en-US"/>
        </w:rPr>
        <w:t>.</w:t>
      </w:r>
    </w:p>
    <w:p>
      <w:pPr>
        <w:pStyle w:val="Body"/>
        <w:ind w:left="720"/>
        <w:jc w:val="left"/>
      </w:pPr>
      <w:r>
        <w:rPr>
          <w:rtl w:val="0"/>
          <w:lang w:val="en-US"/>
        </w:rPr>
        <w:t xml:space="preserve">One example is </w:t>
      </w:r>
      <w:r>
        <w:rPr>
          <w:i w:val="1"/>
          <w:iCs w:val="1"/>
          <w:rtl w:val="0"/>
          <w:lang w:val="en-US"/>
        </w:rPr>
        <w:t xml:space="preserve">Richard III </w:t>
      </w:r>
      <w:r>
        <w:rPr>
          <w:rtl w:val="0"/>
          <w:lang w:val="en-US"/>
        </w:rPr>
        <w:t>(Shakespeare, W.), which portrays a psychopathic leader.</w:t>
      </w:r>
    </w:p>
    <w:p>
      <w:pPr>
        <w:pStyle w:val="Body"/>
        <w:ind w:left="720"/>
        <w:jc w:val="left"/>
      </w:pPr>
      <w:r>
        <w:rPr>
          <w:rtl w:val="0"/>
          <w:lang w:val="en-US"/>
        </w:rPr>
        <w:t xml:space="preserve">Theatre Director Lindsey Posner described </w:t>
      </w:r>
      <w:r>
        <w:rPr>
          <w:i w:val="1"/>
          <w:iCs w:val="1"/>
          <w:rtl w:val="0"/>
          <w:lang w:val="en-US"/>
        </w:rPr>
        <w:t xml:space="preserve">Richard III </w:t>
      </w:r>
      <w:r>
        <w:rPr>
          <w:rtl w:val="0"/>
          <w:lang w:val="en-US"/>
        </w:rPr>
        <w:t xml:space="preserve">as: </w:t>
      </w:r>
      <w:r>
        <w:rPr>
          <w:rtl w:val="0"/>
          <w:lang w:val="en-US"/>
        </w:rPr>
        <w:t>“</w:t>
      </w:r>
      <w:bookmarkStart w:name="Probably" w:id="0"/>
      <w:r>
        <w:rPr>
          <w:rtl w:val="0"/>
          <w:lang w:val="en-US"/>
        </w:rPr>
        <w:t>[...] probably</w:t>
      </w:r>
      <w:bookmarkEnd w:id="0"/>
      <w:r>
        <w:rPr>
          <w:rtl w:val="0"/>
          <w:lang w:val="en-US"/>
        </w:rPr>
        <w:t xml:space="preserve"> the greatest-ever dissection and portrait of a tyrant. It charts the character of Richard as a psychopath rising to power, sowing the seeds of his own undoing. It</w:t>
      </w:r>
      <w:r>
        <w:rPr>
          <w:rtl w:val="0"/>
          <w:lang w:val="en-US"/>
        </w:rPr>
        <w:t>’</w:t>
      </w:r>
      <w:r>
        <w:rPr>
          <w:rtl w:val="0"/>
          <w:lang w:val="en-US"/>
        </w:rPr>
        <w:t>s also a dissection of realpolitik: you can stage it in Saddam Hussein</w:t>
      </w:r>
      <w:r>
        <w:rPr>
          <w:rtl w:val="0"/>
          <w:lang w:val="en-US"/>
        </w:rPr>
        <w:t>’</w:t>
      </w:r>
      <w:r>
        <w:rPr>
          <w:rtl w:val="0"/>
          <w:lang w:val="en-US"/>
        </w:rPr>
        <w:t>s Iraq, in the White House, in the Whitehall.</w:t>
      </w:r>
      <w:r>
        <w:rPr>
          <w:rtl w:val="0"/>
          <w:lang w:val="en-US"/>
        </w:rPr>
        <w:t>”</w:t>
      </w:r>
      <w:r>
        <w:rPr>
          <w:vertAlign w:val="superscript"/>
          <w:rtl w:val="0"/>
          <w:lang w:val="en-US"/>
        </w:rPr>
        <w:t>2</w:t>
      </w:r>
    </w:p>
    <w:p>
      <w:pPr>
        <w:pStyle w:val="Body"/>
        <w:ind w:left="720"/>
        <w:jc w:val="left"/>
      </w:pPr>
    </w:p>
    <w:p>
      <w:pPr>
        <w:pStyle w:val="Body"/>
        <w:ind w:left="720"/>
        <w:jc w:val="left"/>
      </w:pPr>
      <w:r>
        <w:rPr>
          <w:rtl w:val="0"/>
          <w:lang w:val="en-US"/>
        </w:rPr>
        <w:t>When talking about the cultural impact of theatre, it is important to remember that - in its entirety - theatre is an art. No matter the story, a show is created for a reason; even if it seems nonsensical, much like traditional art mediums like painting. The culture of theatre goes back centuries in the United Kingdom, and there is the fact that media such as TV, film, and internet is displaying an obvious impact on the theatre industry.</w:t>
      </w:r>
    </w:p>
    <w:p>
      <w:pPr>
        <w:pStyle w:val="Body"/>
        <w:ind w:left="720"/>
        <w:jc w:val="left"/>
      </w:pPr>
      <w:r>
        <w:rPr>
          <w:rtl w:val="0"/>
          <w:lang w:val="en-US"/>
        </w:rPr>
        <w:t>However, this impact isn</w:t>
      </w:r>
      <w:r>
        <w:rPr>
          <w:rtl w:val="0"/>
          <w:lang w:val="en-US"/>
        </w:rPr>
        <w:t>’</w:t>
      </w:r>
      <w:r>
        <w:rPr>
          <w:rtl w:val="0"/>
          <w:lang w:val="en-US"/>
        </w:rPr>
        <w:t>t necessarily negative. TV and film can portray theatre shows and musicals in their full potential as they can provide larger budgets and include stunning effects in post production. The internet can provide clips and links to shows, which is a faster and easier way to access said shows.</w:t>
      </w:r>
    </w:p>
    <w:p>
      <w:pPr>
        <w:pStyle w:val="Body"/>
        <w:ind w:left="720"/>
        <w:jc w:val="left"/>
      </w:pPr>
    </w:p>
    <w:p>
      <w:pPr>
        <w:pStyle w:val="Body"/>
        <w:ind w:left="720"/>
        <w:jc w:val="left"/>
      </w:pPr>
      <w:r>
        <w:rPr>
          <w:rtl w:val="0"/>
          <w:lang w:val="en-US"/>
        </w:rPr>
        <w:t>One major factor we wanted for our show involves making the show accessible for all. Our immediate thoughts turned to children with physical and mental disabilities, and so we wanted the show to be able to tell the story clearly through the audio and visual aspects of the show.</w:t>
      </w:r>
    </w:p>
    <w:p>
      <w:pPr>
        <w:pStyle w:val="Body"/>
        <w:ind w:left="720"/>
        <w:jc w:val="left"/>
      </w:pPr>
    </w:p>
    <w:p>
      <w:pPr>
        <w:pStyle w:val="Body"/>
        <w:ind w:left="720"/>
        <w:jc w:val="left"/>
      </w:pPr>
      <w:r>
        <w:rPr>
          <w:rtl w:val="0"/>
          <w:lang w:val="en-US"/>
        </w:rPr>
        <w:t xml:space="preserve">In conclusion, I believe that our show includes social, political, and cultural issues due to our unwavering demand to include children who would be isolated in other mediums. It is not a matter of </w:t>
      </w:r>
      <w:r>
        <w:rPr>
          <w:rtl w:val="0"/>
          <w:lang w:val="en-US"/>
        </w:rPr>
        <w:t>“</w:t>
      </w:r>
      <w:r>
        <w:rPr>
          <w:rtl w:val="0"/>
          <w:lang w:val="en-US"/>
        </w:rPr>
        <w:t>being inclusive for the sake of it</w:t>
      </w:r>
      <w:r>
        <w:rPr>
          <w:rtl w:val="0"/>
          <w:lang w:val="en-US"/>
        </w:rPr>
        <w:t>”</w:t>
      </w:r>
      <w:r>
        <w:rPr>
          <w:rtl w:val="0"/>
          <w:lang w:val="en-US"/>
        </w:rPr>
        <w:t>; it is a basic right that should need no question.</w:t>
      </w:r>
      <w:r>
        <w:rPr>
          <w:rFonts w:ascii="Arial Unicode MS" w:cs="Arial Unicode MS" w:hAnsi="Arial Unicode MS" w:eastAsia="Arial Unicode MS"/>
          <w:b w:val="0"/>
          <w:bCs w:val="0"/>
          <w:i w:val="0"/>
          <w:iCs w:val="0"/>
        </w:rPr>
        <w:br w:type="page"/>
      </w:r>
    </w:p>
    <w:p>
      <w:pPr>
        <w:pStyle w:val="Body"/>
        <w:numPr>
          <w:ilvl w:val="1"/>
          <w:numId w:val="2"/>
        </w:numPr>
        <w:jc w:val="left"/>
        <w:rPr>
          <w:lang w:val="en-US"/>
        </w:rPr>
      </w:pPr>
      <w:r>
        <w:rPr>
          <w:rtl w:val="0"/>
          <w:lang w:val="en-US"/>
        </w:rPr>
        <w:t xml:space="preserve">Holt, J. (1990). </w:t>
      </w:r>
      <w:r>
        <w:rPr>
          <w:i w:val="1"/>
          <w:iCs w:val="1"/>
          <w:rtl w:val="0"/>
          <w:lang w:val="en-US"/>
        </w:rPr>
        <w:t xml:space="preserve">Learning All The Time. </w:t>
      </w:r>
      <w:r>
        <w:rPr>
          <w:rtl w:val="0"/>
          <w:lang w:val="en-US"/>
        </w:rPr>
        <w:t>Cambridge, MA, United States: DaCapo Press.</w:t>
      </w:r>
    </w:p>
    <w:p>
      <w:pPr>
        <w:pStyle w:val="Body"/>
        <w:numPr>
          <w:ilvl w:val="1"/>
          <w:numId w:val="2"/>
        </w:numPr>
        <w:jc w:val="left"/>
        <w:rPr>
          <w:lang w:val="en-US"/>
        </w:rPr>
      </w:pPr>
      <w:r>
        <w:rPr>
          <w:rtl w:val="0"/>
          <w:lang w:val="en-US"/>
        </w:rPr>
        <w:t xml:space="preserve">Leadbetter, Russell. </w:t>
      </w:r>
      <w:r>
        <w:rPr>
          <w:i w:val="1"/>
          <w:iCs w:val="1"/>
          <w:rtl w:val="0"/>
          <w:lang w:val="en-US"/>
        </w:rPr>
        <w:t>The 12 Greatest Political Plays of All Time.</w:t>
      </w:r>
      <w:r>
        <w:rPr>
          <w:rtl w:val="0"/>
          <w:lang w:val="en-US"/>
        </w:rPr>
        <w:t xml:space="preserve"> 21st August 2016, </w:t>
      </w:r>
      <w:r>
        <w:rPr>
          <w:rStyle w:val="Hyperlink.0"/>
        </w:rPr>
        <w:fldChar w:fldCharType="begin" w:fldLock="0"/>
      </w:r>
      <w:r>
        <w:rPr>
          <w:rStyle w:val="Hyperlink.0"/>
        </w:rPr>
        <w:instrText xml:space="preserve"> HYPERLINK "http://www.heraldscotland.com"</w:instrText>
      </w:r>
      <w:r>
        <w:rPr>
          <w:rStyle w:val="Hyperlink.0"/>
        </w:rPr>
        <w:fldChar w:fldCharType="separate" w:fldLock="0"/>
      </w:r>
      <w:r>
        <w:rPr>
          <w:rStyle w:val="Hyperlink.0"/>
          <w:rtl w:val="0"/>
          <w:lang w:val="en-US"/>
        </w:rPr>
        <w:t>www.heraldscotland.com</w:t>
      </w:r>
      <w:r>
        <w:rPr/>
        <w:fldChar w:fldCharType="end" w:fldLock="0"/>
      </w:r>
      <w:r>
        <w:rPr>
          <w:rtl w:val="0"/>
          <w:lang w:val="en-US"/>
        </w:rPr>
        <w:t>. Accessed 3rd November 2019.</w:t>
      </w:r>
      <w:bookmarkStart w:name="AsTheRoseAndTheGlobe." w:id="1"/>
      <w:bookmarkEnd w:id="1"/>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numbering" w:styleId="Numbered">
    <w:name w:val="Numbered"/>
    <w:pPr>
      <w:numPr>
        <w:numId w:val="1"/>
      </w:numPr>
    </w:p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