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3B52E" w14:textId="77777777" w:rsidR="00E3637B" w:rsidRDefault="00E3637B" w:rsidP="00E3637B">
      <w:pPr>
        <w:pStyle w:val="paragraph"/>
        <w:spacing w:before="0" w:beforeAutospacing="0" w:after="0" w:afterAutospacing="0"/>
        <w:ind w:firstLine="720"/>
        <w:jc w:val="both"/>
        <w:textAlignment w:val="baseline"/>
        <w:rPr>
          <w:rFonts w:ascii="Segoe UI" w:hAnsi="Segoe UI" w:cs="Segoe UI"/>
          <w:color w:val="000000"/>
          <w:sz w:val="18"/>
          <w:szCs w:val="18"/>
        </w:rPr>
      </w:pPr>
      <w:r>
        <w:rPr>
          <w:rStyle w:val="normaltextrun"/>
          <w:rFonts w:ascii="Arial Nova" w:hAnsi="Arial Nova" w:cs="Segoe UI"/>
          <w:b/>
          <w:bCs/>
          <w:color w:val="000000"/>
        </w:rPr>
        <w:t>Task 4</w:t>
      </w:r>
      <w:r>
        <w:rPr>
          <w:rStyle w:val="eop"/>
          <w:rFonts w:ascii="Arial Nova" w:hAnsi="Arial Nova" w:cs="Segoe UI"/>
          <w:color w:val="000000"/>
        </w:rPr>
        <w:t> </w:t>
      </w:r>
    </w:p>
    <w:p w14:paraId="4C0A4795" w14:textId="77777777" w:rsidR="00E3637B" w:rsidRDefault="00E3637B" w:rsidP="00E3637B">
      <w:pPr>
        <w:pStyle w:val="paragraph"/>
        <w:spacing w:before="0" w:beforeAutospacing="0" w:after="0" w:afterAutospacing="0"/>
        <w:jc w:val="center"/>
        <w:textAlignment w:val="baseline"/>
        <w:rPr>
          <w:rFonts w:ascii="Segoe UI" w:hAnsi="Segoe UI" w:cs="Segoe UI"/>
          <w:color w:val="000000"/>
          <w:sz w:val="18"/>
          <w:szCs w:val="18"/>
        </w:rPr>
      </w:pPr>
      <w:r>
        <w:rPr>
          <w:rStyle w:val="eop"/>
          <w:rFonts w:ascii="Arial Nova" w:hAnsi="Arial Nova" w:cs="Segoe UI"/>
          <w:color w:val="000000"/>
        </w:rPr>
        <w:t> </w:t>
      </w:r>
    </w:p>
    <w:p w14:paraId="4168ED80" w14:textId="77777777" w:rsidR="00E3637B" w:rsidRDefault="00E3637B" w:rsidP="00E3637B">
      <w:pPr>
        <w:pStyle w:val="paragraph"/>
        <w:spacing w:before="0" w:beforeAutospacing="0" w:after="0" w:afterAutospacing="0"/>
        <w:jc w:val="center"/>
        <w:textAlignment w:val="baseline"/>
        <w:rPr>
          <w:rFonts w:ascii="Segoe UI" w:hAnsi="Segoe UI" w:cs="Segoe UI"/>
          <w:color w:val="000000"/>
          <w:sz w:val="18"/>
          <w:szCs w:val="18"/>
        </w:rPr>
      </w:pPr>
      <w:r>
        <w:rPr>
          <w:rStyle w:val="normaltextrun"/>
          <w:rFonts w:ascii="Arial Nova" w:hAnsi="Arial Nova" w:cs="Segoe UI"/>
          <w:b/>
          <w:bCs/>
          <w:color w:val="000000"/>
        </w:rPr>
        <w:t>Safeguarding in an area which is not your main area of work</w:t>
      </w:r>
      <w:r>
        <w:rPr>
          <w:rStyle w:val="eop"/>
          <w:rFonts w:ascii="Arial Nova" w:hAnsi="Arial Nova" w:cs="Segoe UI"/>
          <w:color w:val="000000"/>
        </w:rPr>
        <w:t> </w:t>
      </w:r>
    </w:p>
    <w:p w14:paraId="716C198B"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Nova" w:hAnsi="Arial Nova" w:cs="Segoe UI"/>
          <w:color w:val="000000"/>
        </w:rPr>
        <w:t> </w:t>
      </w:r>
    </w:p>
    <w:p w14:paraId="5B1CE5BA" w14:textId="77777777" w:rsidR="00E3637B" w:rsidRDefault="00E3637B" w:rsidP="00E3637B">
      <w:pPr>
        <w:pStyle w:val="paragraph"/>
        <w:spacing w:before="0" w:beforeAutospacing="0" w:after="0" w:afterAutospacing="0"/>
        <w:ind w:left="-90"/>
        <w:jc w:val="both"/>
        <w:textAlignment w:val="baseline"/>
        <w:rPr>
          <w:rFonts w:ascii="Segoe UI" w:hAnsi="Segoe UI" w:cs="Segoe UI"/>
          <w:color w:val="000000"/>
          <w:sz w:val="18"/>
          <w:szCs w:val="18"/>
        </w:rPr>
      </w:pPr>
      <w:r>
        <w:rPr>
          <w:rStyle w:val="normaltextrun"/>
          <w:rFonts w:ascii="Arial Nova" w:hAnsi="Arial Nova" w:cs="Segoe UI"/>
          <w:b/>
          <w:bCs/>
          <w:i/>
          <w:iCs/>
          <w:color w:val="000000"/>
        </w:rPr>
        <w:t>Guidance: </w:t>
      </w:r>
      <w:r>
        <w:rPr>
          <w:rStyle w:val="eop"/>
          <w:rFonts w:ascii="Arial Nova" w:hAnsi="Arial Nova" w:cs="Segoe UI"/>
          <w:color w:val="000000"/>
        </w:rPr>
        <w:t> </w:t>
      </w:r>
    </w:p>
    <w:p w14:paraId="7EA5F0B3" w14:textId="77777777" w:rsidR="00E3637B" w:rsidRDefault="00E3637B" w:rsidP="00E3637B">
      <w:pPr>
        <w:pStyle w:val="paragraph"/>
        <w:spacing w:before="0" w:beforeAutospacing="0" w:after="0" w:afterAutospacing="0"/>
        <w:ind w:left="-90"/>
        <w:jc w:val="both"/>
        <w:textAlignment w:val="baseline"/>
        <w:rPr>
          <w:rFonts w:ascii="Segoe UI" w:hAnsi="Segoe UI" w:cs="Segoe UI"/>
          <w:color w:val="000000"/>
          <w:sz w:val="18"/>
          <w:szCs w:val="18"/>
        </w:rPr>
      </w:pPr>
      <w:r>
        <w:rPr>
          <w:rStyle w:val="normaltextrun"/>
          <w:rFonts w:ascii="Arial Nova" w:hAnsi="Arial Nova" w:cs="Segoe UI"/>
          <w:i/>
          <w:iCs/>
          <w:color w:val="000000"/>
        </w:rPr>
        <w:t>Social Care Wales require newly qualified social workers to provide evidence of their understanding of safeguarding work with adults and children. The assignment below will enable you to demonstrate this. </w:t>
      </w:r>
      <w:r>
        <w:rPr>
          <w:rStyle w:val="normaltextrun"/>
          <w:rFonts w:ascii="Arial Nova" w:hAnsi="Arial Nova" w:cs="Segoe UI"/>
          <w:b/>
          <w:bCs/>
          <w:i/>
          <w:iCs/>
          <w:color w:val="000000"/>
        </w:rPr>
        <w:t>N.B</w:t>
      </w:r>
      <w:r>
        <w:rPr>
          <w:rStyle w:val="normaltextrun"/>
          <w:rFonts w:ascii="Arial Nova" w:hAnsi="Arial Nova" w:cs="Segoe UI"/>
          <w:i/>
          <w:iCs/>
          <w:color w:val="000000"/>
        </w:rPr>
        <w:t>. if your usual area of work is with children please write about adult safeguarding. If you usually work with adults, then write about child safeguarding.  Ensure you meet the learning out comes for this task (see appendix 5 of the handbook).</w:t>
      </w:r>
      <w:r>
        <w:rPr>
          <w:rStyle w:val="eop"/>
          <w:rFonts w:ascii="Arial Nova" w:hAnsi="Arial Nova" w:cs="Segoe UI"/>
          <w:color w:val="000000"/>
        </w:rPr>
        <w:t> </w:t>
      </w:r>
    </w:p>
    <w:p w14:paraId="3F1004F4" w14:textId="77777777" w:rsidR="00E3637B" w:rsidRDefault="00E3637B" w:rsidP="00E3637B">
      <w:pPr>
        <w:pStyle w:val="paragraph"/>
        <w:spacing w:before="0" w:beforeAutospacing="0" w:after="0" w:afterAutospacing="0"/>
        <w:ind w:left="360" w:hanging="360"/>
        <w:jc w:val="both"/>
        <w:textAlignment w:val="baseline"/>
        <w:rPr>
          <w:rFonts w:ascii="Segoe UI" w:hAnsi="Segoe UI" w:cs="Segoe UI"/>
          <w:color w:val="000000"/>
          <w:sz w:val="18"/>
          <w:szCs w:val="18"/>
        </w:rPr>
      </w:pPr>
      <w:r>
        <w:rPr>
          <w:rStyle w:val="eop"/>
          <w:rFonts w:ascii="Arial Nova" w:hAnsi="Arial Nova" w:cs="Segoe UI"/>
          <w:color w:val="000000"/>
        </w:rPr>
        <w:t> </w:t>
      </w:r>
    </w:p>
    <w:p w14:paraId="649ADD47"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Nova" w:hAnsi="Arial Nova" w:cs="Segoe UI"/>
          <w:b/>
          <w:bCs/>
          <w:color w:val="000000"/>
        </w:rPr>
        <w:t>Question a:</w:t>
      </w:r>
      <w:r>
        <w:rPr>
          <w:rStyle w:val="eop"/>
          <w:rFonts w:ascii="Arial Nova" w:hAnsi="Arial Nova" w:cs="Segoe UI"/>
          <w:color w:val="000000"/>
        </w:rPr>
        <w:t> </w:t>
      </w:r>
    </w:p>
    <w:p w14:paraId="2427E86D"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Nova" w:hAnsi="Arial Nova" w:cs="Segoe UI"/>
          <w:color w:val="000000"/>
        </w:rPr>
        <w:t>In an area </w:t>
      </w:r>
      <w:r>
        <w:rPr>
          <w:rStyle w:val="normaltextrun"/>
          <w:rFonts w:ascii="Arial Nova" w:hAnsi="Arial Nova" w:cs="Segoe UI"/>
          <w:b/>
          <w:bCs/>
          <w:color w:val="000000"/>
        </w:rPr>
        <w:t>that is not your main focus of work </w:t>
      </w:r>
      <w:r>
        <w:rPr>
          <w:rStyle w:val="normaltextrun"/>
          <w:rFonts w:ascii="Arial Nova" w:hAnsi="Arial Nova" w:cs="Segoe UI"/>
          <w:color w:val="000000"/>
        </w:rPr>
        <w:t>(see guidance above), explain the relevant legislation, and the national, local and organisational policies and procedures for safeguarding. </w:t>
      </w:r>
      <w:r>
        <w:rPr>
          <w:rStyle w:val="eop"/>
          <w:rFonts w:ascii="Arial Nova" w:hAnsi="Arial Nova" w:cs="Segoe UI"/>
          <w:color w:val="000000"/>
        </w:rPr>
        <w:t> </w:t>
      </w:r>
    </w:p>
    <w:p w14:paraId="2A0C6C33"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Nova" w:hAnsi="Arial Nova" w:cs="Segoe UI"/>
          <w:color w:val="000000"/>
        </w:rPr>
        <w:t> </w:t>
      </w:r>
    </w:p>
    <w:p w14:paraId="399FA8C2"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Child safeguarding in Wales is shaped by a clear legal and policy framework that focuses on protecting children from harm through accountability, shared responsibility and a </w:t>
      </w:r>
      <w:proofErr w:type="gramStart"/>
      <w:r>
        <w:rPr>
          <w:rStyle w:val="normaltextrun"/>
          <w:rFonts w:ascii="Arial" w:hAnsi="Arial" w:cs="Arial"/>
          <w:color w:val="000000"/>
        </w:rPr>
        <w:t>rights</w:t>
      </w:r>
      <w:proofErr w:type="gramEnd"/>
      <w:r>
        <w:rPr>
          <w:rStyle w:val="normaltextrun"/>
          <w:rFonts w:ascii="Arial" w:hAnsi="Arial" w:cs="Arial"/>
          <w:color w:val="000000"/>
        </w:rPr>
        <w:noBreakHyphen/>
        <w:t>based approach. The main legislative foundation is Part 7 of the Social Services and Well</w:t>
      </w:r>
      <w:r>
        <w:rPr>
          <w:rStyle w:val="normaltextrun"/>
          <w:rFonts w:ascii="Arial" w:hAnsi="Arial" w:cs="Arial"/>
          <w:color w:val="000000"/>
        </w:rPr>
        <w:noBreakHyphen/>
        <w:t>being (Wales) Act 2014, which places duties on organisations and professionals to report concerns about children at risk and to work together to safeguard them. The Act also requires the establishment of Regional Safeguarding Boards, which oversee safeguarding arrangements and support consistency across Wales.</w:t>
      </w:r>
      <w:r>
        <w:rPr>
          <w:rStyle w:val="eop"/>
          <w:rFonts w:ascii="Arial" w:hAnsi="Arial" w:cs="Arial"/>
          <w:color w:val="000000"/>
        </w:rPr>
        <w:t> </w:t>
      </w:r>
    </w:p>
    <w:p w14:paraId="3D19F836"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These legal duties are supported by the Welsh Government’s </w:t>
      </w:r>
      <w:r>
        <w:rPr>
          <w:rStyle w:val="normaltextrun"/>
          <w:rFonts w:ascii="Arial" w:hAnsi="Arial" w:cs="Arial"/>
          <w:i/>
          <w:iCs/>
          <w:color w:val="000000"/>
        </w:rPr>
        <w:t>Working Together to Safeguard People</w:t>
      </w:r>
      <w:r>
        <w:rPr>
          <w:rStyle w:val="normaltextrun"/>
          <w:rFonts w:ascii="Arial" w:hAnsi="Arial" w:cs="Arial"/>
          <w:color w:val="000000"/>
        </w:rPr>
        <w:t> guidance (Welsh Government, 2016). This statutory guidance explains professional roles and responsibilities, sets out expectations for information sharing and cooperation, and clarifies thresholds for safeguarding intervention. It provides a shared reference point for practitioners working across different agencies.</w:t>
      </w:r>
      <w:r>
        <w:rPr>
          <w:rStyle w:val="eop"/>
          <w:rFonts w:ascii="Arial" w:hAnsi="Arial" w:cs="Arial"/>
          <w:color w:val="000000"/>
        </w:rPr>
        <w:t> </w:t>
      </w:r>
    </w:p>
    <w:p w14:paraId="28541260" w14:textId="77777777" w:rsidR="00E3637B" w:rsidRDefault="00E3637B" w:rsidP="00E3637B">
      <w:pPr>
        <w:pStyle w:val="paragraph"/>
        <w:shd w:val="clear" w:color="auto" w:fill="FFFFFF"/>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In practice, child safeguarding work is guided by the Wales Safeguarding Procedures 2019. These procedures apply across statutory, voluntary and independent services and replaced the former 2008 child protection guidance. The procedures provide clear, practical direction on recognising concerns, reporting and triaging information, holding strategy discussions, undertaking child protection enquiries and making joint decisions (Social Care Wales, 2019). Their digital format allows updates to be made as practice and policy develop, supporting consistency across regions.</w:t>
      </w:r>
      <w:r>
        <w:rPr>
          <w:rStyle w:val="eop"/>
          <w:rFonts w:ascii="Arial" w:hAnsi="Arial" w:cs="Arial"/>
          <w:color w:val="000000"/>
        </w:rPr>
        <w:t> </w:t>
      </w:r>
    </w:p>
    <w:p w14:paraId="3C51AFC9"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 defining feature of safeguarding in Wales is its strong focus on children’s rights. The Rights of Children and Young Persons (Wales) Measure 2011 requires Welsh Ministers to give due regard to the United Nations Convention on the Rights of the Child when developing policy and guidance (Children and Young Persons (Wales) Measure 2011). This reinforces the importance of listening to children, promoting participation, and ensuring that their best interests remain central to all safeguarding decisions.</w:t>
      </w:r>
      <w:r>
        <w:rPr>
          <w:rStyle w:val="eop"/>
          <w:rFonts w:ascii="Arial" w:hAnsi="Arial" w:cs="Arial"/>
          <w:color w:val="000000"/>
        </w:rPr>
        <w:t> </w:t>
      </w:r>
    </w:p>
    <w:p w14:paraId="24D193BA"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Although Wales has its own safeguarding legislation, key UK laws continue to play an important role. The Children Act 1989 provides the legal basis for child protection enquiries, emergency protection and care proceedings, while the Children Act 2004 strengthens duties for agencies to work together. Welsh guidance explains how these </w:t>
      </w:r>
      <w:r>
        <w:rPr>
          <w:rStyle w:val="normaltextrun"/>
          <w:rFonts w:ascii="Arial" w:hAnsi="Arial" w:cs="Arial"/>
          <w:color w:val="000000"/>
        </w:rPr>
        <w:lastRenderedPageBreak/>
        <w:t>Acts sit alongside the 2014 legislation, helping practitioners understand when and how statutory powers should be used (Children Act 1989).</w:t>
      </w:r>
      <w:r>
        <w:rPr>
          <w:rStyle w:val="eop"/>
          <w:rFonts w:ascii="Arial" w:hAnsi="Arial" w:cs="Arial"/>
          <w:color w:val="000000"/>
        </w:rPr>
        <w:t> </w:t>
      </w:r>
    </w:p>
    <w:p w14:paraId="171D1B04"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At a regional and local level, safeguarding arrangements are supported by additional protocols and procedures. These may cover areas such as pre</w:t>
      </w:r>
      <w:r>
        <w:rPr>
          <w:rStyle w:val="normaltextrun"/>
          <w:rFonts w:ascii="Arial" w:hAnsi="Arial" w:cs="Arial"/>
          <w:color w:val="000000"/>
        </w:rPr>
        <w:noBreakHyphen/>
        <w:t>birth assessments, domestic abuse, safeguarding disabled children or local learning review processes. Such guidance helps translate national policy into local practice while responding to specific community needs (Social Care Wales, 2019; Welsh Government, 2016).</w:t>
      </w:r>
      <w:r>
        <w:rPr>
          <w:rStyle w:val="eop"/>
          <w:rFonts w:ascii="Arial" w:hAnsi="Arial" w:cs="Arial"/>
          <w:color w:val="000000"/>
        </w:rPr>
        <w:t> </w:t>
      </w:r>
    </w:p>
    <w:p w14:paraId="52A23721" w14:textId="77777777" w:rsidR="00E3637B" w:rsidRDefault="00E3637B" w:rsidP="00E3637B">
      <w:pPr>
        <w:pStyle w:val="paragraph"/>
        <w:shd w:val="clear" w:color="auto" w:fill="FFFFFF"/>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Information sharing is an essential part of safeguarding. Data protection law allows professionals to share information without consent when this is necessary to protect a child. Practitioners must ensure that sharing is lawful, proportionate and well documented, in line with organisational and multi</w:t>
      </w:r>
      <w:r>
        <w:rPr>
          <w:rStyle w:val="normaltextrun"/>
          <w:rFonts w:ascii="Arial" w:hAnsi="Arial" w:cs="Arial"/>
          <w:color w:val="000000"/>
        </w:rPr>
        <w:noBreakHyphen/>
        <w:t>agency agreements (UK GDPR; Data Protection Act 2018).</w:t>
      </w:r>
      <w:r>
        <w:rPr>
          <w:rStyle w:val="eop"/>
          <w:rFonts w:ascii="Arial" w:hAnsi="Arial" w:cs="Arial"/>
          <w:color w:val="000000"/>
        </w:rPr>
        <w:t> </w:t>
      </w:r>
    </w:p>
    <w:p w14:paraId="3429BC30"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Organisations also have clear responsibilities to support safe practice (Preston</w:t>
      </w:r>
      <w:r>
        <w:rPr>
          <w:rStyle w:val="normaltextrun"/>
          <w:rFonts w:ascii="Arial" w:hAnsi="Arial" w:cs="Arial"/>
          <w:color w:val="000000"/>
        </w:rPr>
        <w:noBreakHyphen/>
        <w:t>Shoot, 2017). This includes having strong internal safeguarding policies, safer recruitment processes, effective supervision, clear reporting routes, whistleblowing procedures and accurate record</w:t>
      </w:r>
      <w:r>
        <w:rPr>
          <w:rStyle w:val="normaltextrun"/>
          <w:rFonts w:ascii="Arial" w:hAnsi="Arial" w:cs="Arial"/>
          <w:color w:val="000000"/>
        </w:rPr>
        <w:noBreakHyphen/>
        <w:t>keeping. Services are expected to align their internal arrangements with the Wales Safeguarding Procedures to ensure consistent and lawful practice.</w:t>
      </w:r>
      <w:r>
        <w:rPr>
          <w:rStyle w:val="eop"/>
          <w:rFonts w:ascii="Arial" w:hAnsi="Arial" w:cs="Arial"/>
          <w:color w:val="000000"/>
        </w:rPr>
        <w:t> </w:t>
      </w:r>
    </w:p>
    <w:p w14:paraId="4025570D" w14:textId="77777777" w:rsidR="00E3637B" w:rsidRDefault="00E3637B" w:rsidP="00E3637B">
      <w:pPr>
        <w:pStyle w:val="paragraph"/>
        <w:shd w:val="clear" w:color="auto" w:fill="FFFFFF"/>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Overall, safeguarding children in Wales operates through a joined</w:t>
      </w:r>
      <w:r>
        <w:rPr>
          <w:rStyle w:val="normaltextrun"/>
          <w:rFonts w:ascii="Arial" w:hAnsi="Arial" w:cs="Arial"/>
          <w:color w:val="000000"/>
        </w:rPr>
        <w:noBreakHyphen/>
        <w:t>up legal and practice system that places children’s rights, safety and wellbeing at its centre. It depends on professionals working together, sharing information appropriately and applying the law proportionately to promote protection and accountability.</w:t>
      </w:r>
      <w:r>
        <w:rPr>
          <w:rStyle w:val="eop"/>
          <w:rFonts w:ascii="Arial" w:hAnsi="Arial" w:cs="Arial"/>
          <w:color w:val="000000"/>
        </w:rPr>
        <w:t> </w:t>
      </w:r>
    </w:p>
    <w:p w14:paraId="738970DA" w14:textId="77777777" w:rsidR="00E3637B" w:rsidRDefault="00E3637B" w:rsidP="00E3637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Word count: 521</w:t>
      </w:r>
      <w:r>
        <w:rPr>
          <w:rStyle w:val="eop"/>
          <w:rFonts w:ascii="Arial" w:hAnsi="Arial" w:cs="Arial"/>
          <w:color w:val="000000"/>
        </w:rPr>
        <w:t> </w:t>
      </w:r>
    </w:p>
    <w:p w14:paraId="7ABB40F2" w14:textId="77777777" w:rsidR="00E3637B" w:rsidRDefault="00E3637B" w:rsidP="00E3637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i/>
          <w:iCs/>
          <w:color w:val="000000"/>
        </w:rPr>
        <w:t>500 words</w:t>
      </w:r>
      <w:r>
        <w:rPr>
          <w:rStyle w:val="normaltextrun"/>
          <w:rFonts w:ascii="Arial" w:hAnsi="Arial" w:cs="Arial"/>
          <w:color w:val="000000"/>
        </w:rPr>
        <w:t> (+/- 10%: include your actual word count at the end of each section)</w:t>
      </w:r>
      <w:r>
        <w:rPr>
          <w:rStyle w:val="eop"/>
          <w:rFonts w:ascii="Arial" w:hAnsi="Arial" w:cs="Arial"/>
          <w:color w:val="000000"/>
        </w:rPr>
        <w:t> </w:t>
      </w:r>
    </w:p>
    <w:p w14:paraId="7CB77786" w14:textId="77777777" w:rsidR="00E3637B" w:rsidRDefault="00E3637B" w:rsidP="00E3637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5715A60" w14:textId="77777777" w:rsidR="00E3637B" w:rsidRDefault="00E3637B" w:rsidP="00E3637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References:</w:t>
      </w:r>
      <w:r>
        <w:rPr>
          <w:rStyle w:val="eop"/>
          <w:rFonts w:ascii="Arial" w:hAnsi="Arial" w:cs="Arial"/>
          <w:color w:val="000000"/>
        </w:rPr>
        <w:t> </w:t>
      </w:r>
    </w:p>
    <w:p w14:paraId="08A4D0BF" w14:textId="77777777" w:rsidR="00E3637B" w:rsidRDefault="00E3637B" w:rsidP="00E3637B">
      <w:pPr>
        <w:pStyle w:val="paragraph"/>
        <w:numPr>
          <w:ilvl w:val="0"/>
          <w:numId w:val="1"/>
        </w:numPr>
        <w:spacing w:before="0" w:beforeAutospacing="0" w:after="0" w:afterAutospacing="0"/>
        <w:ind w:left="1080" w:firstLine="0"/>
        <w:jc w:val="both"/>
        <w:textAlignment w:val="baseline"/>
        <w:rPr>
          <w:rFonts w:ascii="Arial" w:hAnsi="Arial" w:cs="Arial"/>
          <w:color w:val="000000"/>
        </w:rPr>
      </w:pPr>
      <w:r>
        <w:rPr>
          <w:rStyle w:val="normaltextrun"/>
          <w:rFonts w:ascii="Arial" w:hAnsi="Arial" w:cs="Arial"/>
          <w:color w:val="000000"/>
        </w:rPr>
        <w:t>Children and Young Persons (Wales) Measure 2011. Cardiff: National Assembly for Wales. Available at:</w:t>
      </w:r>
      <w:r>
        <w:rPr>
          <w:rStyle w:val="scxw27757687"/>
          <w:rFonts w:ascii="Arial" w:hAnsi="Arial" w:cs="Arial"/>
          <w:color w:val="000000"/>
        </w:rPr>
        <w:t> </w:t>
      </w:r>
      <w:r>
        <w:rPr>
          <w:rFonts w:ascii="Arial" w:hAnsi="Arial" w:cs="Arial"/>
          <w:color w:val="000000"/>
        </w:rPr>
        <w:br/>
      </w:r>
      <w:hyperlink r:id="rId5" w:tgtFrame="_blank" w:history="1">
        <w:r>
          <w:rPr>
            <w:rStyle w:val="normaltextrun"/>
            <w:rFonts w:ascii="Arial" w:hAnsi="Arial" w:cs="Arial"/>
            <w:color w:val="0000FF"/>
            <w:u w:val="single"/>
          </w:rPr>
          <w:t>https://www.legislation.gov.uk/mwa/2011/2/contents</w:t>
        </w:r>
      </w:hyperlink>
      <w:r>
        <w:rPr>
          <w:rStyle w:val="scxw27757687"/>
          <w:rFonts w:ascii="Arial" w:hAnsi="Arial" w:cs="Arial"/>
          <w:color w:val="000000"/>
          <w:sz w:val="20"/>
          <w:szCs w:val="20"/>
        </w:rPr>
        <w:t> </w:t>
      </w:r>
      <w:r>
        <w:rPr>
          <w:rFonts w:ascii="Arial" w:hAnsi="Arial" w:cs="Arial"/>
          <w:color w:val="000000"/>
          <w:sz w:val="20"/>
          <w:szCs w:val="20"/>
        </w:rPr>
        <w:br/>
      </w:r>
      <w:r>
        <w:rPr>
          <w:rStyle w:val="normaltextrun"/>
          <w:rFonts w:ascii="Arial" w:hAnsi="Arial" w:cs="Arial"/>
          <w:color w:val="000000"/>
        </w:rPr>
        <w:t>(Accessed: 2 April 2026).</w:t>
      </w:r>
      <w:r>
        <w:rPr>
          <w:rStyle w:val="eop"/>
          <w:rFonts w:ascii="Arial" w:hAnsi="Arial" w:cs="Arial"/>
          <w:color w:val="000000"/>
        </w:rPr>
        <w:t> </w:t>
      </w:r>
    </w:p>
    <w:p w14:paraId="35E8E7E2" w14:textId="77777777" w:rsidR="00E3637B" w:rsidRDefault="00E3637B" w:rsidP="00E3637B">
      <w:pPr>
        <w:pStyle w:val="paragraph"/>
        <w:numPr>
          <w:ilvl w:val="0"/>
          <w:numId w:val="2"/>
        </w:numPr>
        <w:spacing w:before="0" w:beforeAutospacing="0" w:after="0" w:afterAutospacing="0"/>
        <w:ind w:left="1080" w:firstLine="0"/>
        <w:jc w:val="both"/>
        <w:textAlignment w:val="baseline"/>
        <w:rPr>
          <w:rFonts w:ascii="Arial" w:hAnsi="Arial" w:cs="Arial"/>
          <w:color w:val="000000"/>
        </w:rPr>
      </w:pPr>
      <w:r>
        <w:rPr>
          <w:rStyle w:val="normaltextrun"/>
          <w:rFonts w:ascii="Arial" w:hAnsi="Arial" w:cs="Arial"/>
          <w:color w:val="000000"/>
        </w:rPr>
        <w:t>Data Protection Act 2018. London: The Stationery Office.</w:t>
      </w:r>
      <w:r>
        <w:rPr>
          <w:rStyle w:val="eop"/>
          <w:rFonts w:ascii="Arial" w:hAnsi="Arial" w:cs="Arial"/>
          <w:color w:val="000000"/>
        </w:rPr>
        <w:t> </w:t>
      </w:r>
    </w:p>
    <w:p w14:paraId="4314A14B" w14:textId="77777777" w:rsidR="00E3637B" w:rsidRDefault="00E3637B" w:rsidP="00E3637B">
      <w:pPr>
        <w:pStyle w:val="paragraph"/>
        <w:numPr>
          <w:ilvl w:val="0"/>
          <w:numId w:val="3"/>
        </w:numPr>
        <w:spacing w:before="0" w:beforeAutospacing="0" w:after="0" w:afterAutospacing="0"/>
        <w:ind w:left="1080" w:firstLine="0"/>
        <w:jc w:val="both"/>
        <w:textAlignment w:val="baseline"/>
        <w:rPr>
          <w:rFonts w:ascii="Arial" w:hAnsi="Arial" w:cs="Arial"/>
          <w:color w:val="000000"/>
        </w:rPr>
      </w:pPr>
      <w:r>
        <w:rPr>
          <w:rStyle w:val="normaltextrun"/>
          <w:rFonts w:ascii="Arial" w:hAnsi="Arial" w:cs="Arial"/>
          <w:color w:val="000000"/>
        </w:rPr>
        <w:t>Preston</w:t>
      </w:r>
      <w:r>
        <w:rPr>
          <w:rStyle w:val="normaltextrun"/>
          <w:rFonts w:ascii="Arial" w:hAnsi="Arial" w:cs="Arial"/>
          <w:color w:val="000000"/>
        </w:rPr>
        <w:noBreakHyphen/>
        <w:t>Shoot, M. (2017) </w:t>
      </w:r>
      <w:r>
        <w:rPr>
          <w:rStyle w:val="normaltextrun"/>
          <w:rFonts w:ascii="Arial" w:hAnsi="Arial" w:cs="Arial"/>
          <w:i/>
          <w:iCs/>
          <w:color w:val="000000"/>
        </w:rPr>
        <w:t>Making Good Decisions: Law for Social Work Practice</w:t>
      </w:r>
      <w:r>
        <w:rPr>
          <w:rStyle w:val="normaltextrun"/>
          <w:rFonts w:ascii="Arial" w:hAnsi="Arial" w:cs="Arial"/>
          <w:color w:val="000000"/>
        </w:rPr>
        <w:t>. London: Palgrave Macmillan.</w:t>
      </w:r>
      <w:r>
        <w:rPr>
          <w:rStyle w:val="eop"/>
          <w:rFonts w:ascii="Arial" w:hAnsi="Arial" w:cs="Arial"/>
          <w:color w:val="000000"/>
        </w:rPr>
        <w:t> </w:t>
      </w:r>
    </w:p>
    <w:p w14:paraId="097C8C12" w14:textId="77777777" w:rsidR="00E3637B" w:rsidRDefault="00E3637B" w:rsidP="00E3637B">
      <w:pPr>
        <w:pStyle w:val="paragraph"/>
        <w:numPr>
          <w:ilvl w:val="0"/>
          <w:numId w:val="4"/>
        </w:numPr>
        <w:spacing w:before="0" w:beforeAutospacing="0" w:after="0" w:afterAutospacing="0"/>
        <w:ind w:left="1080" w:firstLine="0"/>
        <w:jc w:val="both"/>
        <w:textAlignment w:val="baseline"/>
        <w:rPr>
          <w:rFonts w:ascii="Arial" w:hAnsi="Arial" w:cs="Arial"/>
          <w:color w:val="000000"/>
        </w:rPr>
      </w:pPr>
      <w:r>
        <w:rPr>
          <w:rStyle w:val="normaltextrun"/>
          <w:rFonts w:ascii="Arial" w:hAnsi="Arial" w:cs="Arial"/>
          <w:color w:val="000000"/>
        </w:rPr>
        <w:t>Social Care Wales (2019) </w:t>
      </w:r>
      <w:r>
        <w:rPr>
          <w:rStyle w:val="normaltextrun"/>
          <w:rFonts w:ascii="Arial" w:hAnsi="Arial" w:cs="Arial"/>
          <w:i/>
          <w:iCs/>
          <w:color w:val="000000"/>
        </w:rPr>
        <w:t>Wales Safeguarding Procedures</w:t>
      </w:r>
      <w:r>
        <w:rPr>
          <w:rStyle w:val="normaltextrun"/>
          <w:rFonts w:ascii="Arial" w:hAnsi="Arial" w:cs="Arial"/>
          <w:color w:val="000000"/>
        </w:rPr>
        <w:t>. Available at:</w:t>
      </w:r>
      <w:r>
        <w:rPr>
          <w:rStyle w:val="scxw27757687"/>
          <w:rFonts w:ascii="Arial" w:hAnsi="Arial" w:cs="Arial"/>
          <w:color w:val="000000"/>
        </w:rPr>
        <w:t> </w:t>
      </w:r>
      <w:r>
        <w:rPr>
          <w:rFonts w:ascii="Arial" w:hAnsi="Arial" w:cs="Arial"/>
          <w:color w:val="000000"/>
        </w:rPr>
        <w:br/>
      </w:r>
      <w:hyperlink r:id="rId6" w:tgtFrame="_blank" w:history="1">
        <w:r>
          <w:rPr>
            <w:rStyle w:val="normaltextrun"/>
            <w:rFonts w:ascii="Arial" w:hAnsi="Arial" w:cs="Arial"/>
            <w:color w:val="0000FF"/>
            <w:u w:val="single"/>
          </w:rPr>
          <w:t>https://safeguarding.wales/</w:t>
        </w:r>
      </w:hyperlink>
      <w:r>
        <w:rPr>
          <w:rStyle w:val="scxw27757687"/>
          <w:rFonts w:ascii="Arial" w:hAnsi="Arial" w:cs="Arial"/>
          <w:color w:val="000000"/>
          <w:sz w:val="20"/>
          <w:szCs w:val="20"/>
        </w:rPr>
        <w:t> </w:t>
      </w:r>
      <w:r>
        <w:rPr>
          <w:rFonts w:ascii="Arial" w:hAnsi="Arial" w:cs="Arial"/>
          <w:color w:val="000000"/>
          <w:sz w:val="20"/>
          <w:szCs w:val="20"/>
        </w:rPr>
        <w:br/>
      </w:r>
      <w:r>
        <w:rPr>
          <w:rStyle w:val="normaltextrun"/>
          <w:rFonts w:ascii="Arial" w:hAnsi="Arial" w:cs="Arial"/>
          <w:color w:val="000000"/>
        </w:rPr>
        <w:t>(Accessed: 2 April 2026).</w:t>
      </w:r>
      <w:r>
        <w:rPr>
          <w:rStyle w:val="eop"/>
          <w:rFonts w:ascii="Arial" w:hAnsi="Arial" w:cs="Arial"/>
          <w:color w:val="000000"/>
        </w:rPr>
        <w:t> </w:t>
      </w:r>
    </w:p>
    <w:p w14:paraId="0A164F81" w14:textId="77777777" w:rsidR="00E3637B" w:rsidRDefault="00E3637B" w:rsidP="00E3637B">
      <w:pPr>
        <w:pStyle w:val="paragraph"/>
        <w:numPr>
          <w:ilvl w:val="0"/>
          <w:numId w:val="5"/>
        </w:numPr>
        <w:spacing w:before="0" w:beforeAutospacing="0" w:after="0" w:afterAutospacing="0"/>
        <w:ind w:left="1080" w:firstLine="0"/>
        <w:jc w:val="both"/>
        <w:textAlignment w:val="baseline"/>
        <w:rPr>
          <w:rFonts w:ascii="Arial" w:hAnsi="Arial" w:cs="Arial"/>
          <w:color w:val="000000"/>
        </w:rPr>
      </w:pPr>
      <w:r>
        <w:rPr>
          <w:rStyle w:val="normaltextrun"/>
          <w:rFonts w:ascii="Arial" w:hAnsi="Arial" w:cs="Arial"/>
          <w:color w:val="000000"/>
        </w:rPr>
        <w:t>UK GDPR (2018) </w:t>
      </w:r>
      <w:r>
        <w:rPr>
          <w:rStyle w:val="normaltextrun"/>
          <w:rFonts w:ascii="Arial" w:hAnsi="Arial" w:cs="Arial"/>
          <w:i/>
          <w:iCs/>
          <w:color w:val="000000"/>
        </w:rPr>
        <w:t>Retained Regulation (EU) 2016/679 as incorporated into UK law</w:t>
      </w:r>
      <w:r>
        <w:rPr>
          <w:rStyle w:val="normaltextrun"/>
          <w:rFonts w:ascii="Arial" w:hAnsi="Arial" w:cs="Arial"/>
          <w:color w:val="000000"/>
        </w:rPr>
        <w:t>. London: The Stationery Office.</w:t>
      </w:r>
      <w:r>
        <w:rPr>
          <w:rStyle w:val="eop"/>
          <w:rFonts w:ascii="Arial" w:hAnsi="Arial" w:cs="Arial"/>
          <w:color w:val="000000"/>
        </w:rPr>
        <w:t> </w:t>
      </w:r>
    </w:p>
    <w:p w14:paraId="14F4CDD9" w14:textId="77777777" w:rsidR="00E3637B" w:rsidRDefault="00E3637B" w:rsidP="00E3637B">
      <w:pPr>
        <w:pStyle w:val="paragraph"/>
        <w:numPr>
          <w:ilvl w:val="0"/>
          <w:numId w:val="6"/>
        </w:numPr>
        <w:spacing w:before="0" w:beforeAutospacing="0" w:after="0" w:afterAutospacing="0"/>
        <w:ind w:left="1080" w:firstLine="0"/>
        <w:jc w:val="both"/>
        <w:textAlignment w:val="baseline"/>
        <w:rPr>
          <w:rFonts w:ascii="Arial" w:hAnsi="Arial" w:cs="Arial"/>
          <w:color w:val="000000"/>
        </w:rPr>
      </w:pPr>
      <w:r>
        <w:rPr>
          <w:rStyle w:val="normaltextrun"/>
          <w:rFonts w:ascii="Arial" w:hAnsi="Arial" w:cs="Arial"/>
          <w:color w:val="000000"/>
        </w:rPr>
        <w:t>Welsh Government (2016) </w:t>
      </w:r>
      <w:r>
        <w:rPr>
          <w:rStyle w:val="normaltextrun"/>
          <w:rFonts w:ascii="Arial" w:hAnsi="Arial" w:cs="Arial"/>
          <w:i/>
          <w:iCs/>
          <w:color w:val="000000"/>
        </w:rPr>
        <w:t>Working Together to Safeguard People: Volume 1 – Introduction and Overview</w:t>
      </w:r>
      <w:r>
        <w:rPr>
          <w:rStyle w:val="normaltextrun"/>
          <w:rFonts w:ascii="Arial" w:hAnsi="Arial" w:cs="Arial"/>
          <w:color w:val="000000"/>
        </w:rPr>
        <w:t>. Cardiff: Welsh Government.</w:t>
      </w:r>
      <w:r>
        <w:rPr>
          <w:rStyle w:val="eop"/>
          <w:rFonts w:ascii="Arial" w:hAnsi="Arial" w:cs="Arial"/>
          <w:color w:val="000000"/>
        </w:rPr>
        <w:t> </w:t>
      </w:r>
    </w:p>
    <w:p w14:paraId="0E89CA56"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Nova" w:hAnsi="Arial Nova" w:cs="Segoe UI"/>
          <w:color w:val="000000"/>
        </w:rPr>
        <w:t> </w:t>
      </w:r>
    </w:p>
    <w:p w14:paraId="57240A2D"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CA73E63"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57110DDE"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444DD670"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b/>
          <w:bCs/>
          <w:color w:val="000000"/>
        </w:rPr>
        <w:t>Question b:</w:t>
      </w:r>
      <w:r>
        <w:rPr>
          <w:rStyle w:val="eop"/>
          <w:rFonts w:ascii="Arial" w:hAnsi="Arial" w:cs="Arial"/>
          <w:color w:val="000000"/>
        </w:rPr>
        <w:t> </w:t>
      </w:r>
    </w:p>
    <w:p w14:paraId="792869E4"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Reflect on the difference between safeguarding in adults’ and children’s work</w:t>
      </w:r>
      <w:r>
        <w:rPr>
          <w:rStyle w:val="eop"/>
          <w:rFonts w:ascii="Arial" w:hAnsi="Arial" w:cs="Arial"/>
          <w:color w:val="000000"/>
        </w:rPr>
        <w:t> </w:t>
      </w:r>
    </w:p>
    <w:p w14:paraId="1E733C8D"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45E6B647" w14:textId="77777777" w:rsidR="00E3637B" w:rsidRDefault="00E3637B" w:rsidP="00E3637B">
      <w:pPr>
        <w:pStyle w:val="paragraph"/>
        <w:shd w:val="clear" w:color="auto" w:fill="FFFFFF"/>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lastRenderedPageBreak/>
        <w:t>The key difference between child and adult safeguarding in Wales lies in how risk, vulnerability and decision</w:t>
      </w:r>
      <w:r>
        <w:rPr>
          <w:rStyle w:val="normaltextrun"/>
          <w:rFonts w:ascii="Arial" w:hAnsi="Arial" w:cs="Arial"/>
          <w:color w:val="000000"/>
        </w:rPr>
        <w:noBreakHyphen/>
        <w:t>making are understood. Children’s safeguarding assumes that children are inherently vulnerable and require protection. The law prioritises the child’s welfare and places a clear duty on professionals to act where there are concerns about harm (Munro, 2011). This includes reporting worries promptly and taking decisive action, such as section 47 enquiries or emergency or care proceedings, when thresholds are met. Regional Safeguarding Boards support this work through the Wales Safeguarding Procedures, which provide clear guidance on assessment, thresholds and escalation across agencies.</w:t>
      </w:r>
      <w:r>
        <w:rPr>
          <w:rStyle w:val="eop"/>
          <w:rFonts w:ascii="Arial" w:hAnsi="Arial" w:cs="Arial"/>
          <w:color w:val="000000"/>
        </w:rPr>
        <w:t> </w:t>
      </w:r>
    </w:p>
    <w:p w14:paraId="3EEB9F74" w14:textId="77777777" w:rsidR="00E3637B" w:rsidRDefault="00E3637B" w:rsidP="00E3637B">
      <w:pPr>
        <w:pStyle w:val="paragraph"/>
        <w:shd w:val="clear" w:color="auto" w:fill="FFFFFF"/>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Adult safeguarding operates under a different welfare framework. While the Social Services and Well</w:t>
      </w:r>
      <w:r>
        <w:rPr>
          <w:rStyle w:val="normaltextrun"/>
          <w:rFonts w:ascii="Arial" w:hAnsi="Arial" w:cs="Arial"/>
          <w:color w:val="000000"/>
        </w:rPr>
        <w:noBreakHyphen/>
        <w:t>being (Wales) Act 2014 also places duties on professionals to report concerns and make enquiries, decision</w:t>
      </w:r>
      <w:r>
        <w:rPr>
          <w:rStyle w:val="normaltextrun"/>
          <w:rFonts w:ascii="Arial" w:hAnsi="Arial" w:cs="Arial"/>
          <w:color w:val="000000"/>
        </w:rPr>
        <w:noBreakHyphen/>
        <w:t>making is guided by principles of voice, choice and control (Social Services and Well</w:t>
      </w:r>
      <w:r>
        <w:rPr>
          <w:rStyle w:val="normaltextrun"/>
          <w:rFonts w:ascii="Arial" w:hAnsi="Arial" w:cs="Arial"/>
          <w:color w:val="000000"/>
        </w:rPr>
        <w:noBreakHyphen/>
        <w:t>being (Wales) Act 2014). Mental capacity is central. Where an adult has capacity, their right to refuse support is generally respected unless there is a serious or immediate risk to them or others. Adult safeguarding measures, such as Adult Protection and Support Orders, are designed to be least</w:t>
      </w:r>
      <w:r>
        <w:rPr>
          <w:rStyle w:val="normaltextrun"/>
          <w:rFonts w:ascii="Arial" w:hAnsi="Arial" w:cs="Arial"/>
          <w:color w:val="000000"/>
        </w:rPr>
        <w:noBreakHyphen/>
        <w:t>restrictive, requiring practitioners to balance protection with respect for autonomy and human rights.</w:t>
      </w:r>
      <w:r>
        <w:rPr>
          <w:rStyle w:val="eop"/>
          <w:rFonts w:ascii="Arial" w:hAnsi="Arial" w:cs="Arial"/>
          <w:color w:val="000000"/>
        </w:rPr>
        <w:t> </w:t>
      </w:r>
    </w:p>
    <w:p w14:paraId="705100ED" w14:textId="77777777" w:rsidR="00E3637B" w:rsidRDefault="00E3637B" w:rsidP="00E3637B">
      <w:pPr>
        <w:pStyle w:val="paragraph"/>
        <w:shd w:val="clear" w:color="auto" w:fill="FFFFFF"/>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These differences strongly influence how consent and thresholds are applied. In children’s safeguarding, consent is considered through parental responsibility and best</w:t>
      </w:r>
      <w:r>
        <w:rPr>
          <w:rStyle w:val="normaltextrun"/>
          <w:rFonts w:ascii="Arial" w:hAnsi="Arial" w:cs="Arial"/>
          <w:color w:val="000000"/>
        </w:rPr>
        <w:noBreakHyphen/>
        <w:t>interest decision</w:t>
      </w:r>
      <w:r>
        <w:rPr>
          <w:rStyle w:val="normaltextrun"/>
          <w:rFonts w:ascii="Arial" w:hAnsi="Arial" w:cs="Arial"/>
          <w:color w:val="000000"/>
        </w:rPr>
        <w:noBreakHyphen/>
        <w:t>making, and agencies are expected to act quickly where significant harm is suspected. In adult safeguarding, actions taken without consent must be clearly justified, for example where there is serious risk, risk to others or a strong public interest. Welsh guidance supports practitioners in understanding and applying these distinct pathways lawfully and proportionately.</w:t>
      </w:r>
      <w:r>
        <w:rPr>
          <w:rStyle w:val="eop"/>
          <w:rFonts w:ascii="Arial" w:hAnsi="Arial" w:cs="Arial"/>
          <w:color w:val="000000"/>
        </w:rPr>
        <w:t> </w:t>
      </w:r>
    </w:p>
    <w:p w14:paraId="6E9D717E" w14:textId="77777777" w:rsidR="00E3637B" w:rsidRDefault="00E3637B" w:rsidP="00E3637B">
      <w:pPr>
        <w:pStyle w:val="paragraph"/>
        <w:shd w:val="clear" w:color="auto" w:fill="FFFFFF"/>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Approaches to information</w:t>
      </w:r>
      <w:r>
        <w:rPr>
          <w:rStyle w:val="normaltextrun"/>
          <w:rFonts w:ascii="Arial" w:hAnsi="Arial" w:cs="Arial"/>
          <w:color w:val="000000"/>
        </w:rPr>
        <w:noBreakHyphen/>
        <w:t>sharing are similar in principle across children’s and adults’ safeguarding, as data protection law allows information to be shared where necessary to prevent harm. However, the emphasis differs. In children’s safeguarding, early and proactive information</w:t>
      </w:r>
      <w:r>
        <w:rPr>
          <w:rStyle w:val="normaltextrun"/>
          <w:rFonts w:ascii="Arial" w:hAnsi="Arial" w:cs="Arial"/>
          <w:color w:val="000000"/>
        </w:rPr>
        <w:noBreakHyphen/>
        <w:t>sharing between agencies is encouraged to identify emerging or cumulative risk. In adult safeguarding, greater focus is placed on transparency, capacity assessment and clear recording of consent or the reasons why information was shared without it (UK GDPR; Data Protection Act 2018).</w:t>
      </w:r>
      <w:r>
        <w:rPr>
          <w:rStyle w:val="eop"/>
          <w:rFonts w:ascii="Arial" w:hAnsi="Arial" w:cs="Arial"/>
          <w:color w:val="000000"/>
        </w:rPr>
        <w:t> </w:t>
      </w:r>
    </w:p>
    <w:p w14:paraId="2917D01B"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There are also differences in governance and learning arrangements. Children’s safeguarding processes are detailed within statutory guidance and the Wales Safeguarding Procedures, which provide step</w:t>
      </w:r>
      <w:r>
        <w:rPr>
          <w:rStyle w:val="normaltextrun"/>
          <w:rFonts w:ascii="Arial" w:hAnsi="Arial" w:cs="Arial"/>
          <w:color w:val="000000"/>
        </w:rPr>
        <w:noBreakHyphen/>
        <w:t>by</w:t>
      </w:r>
      <w:r>
        <w:rPr>
          <w:rStyle w:val="normaltextrun"/>
          <w:rFonts w:ascii="Arial" w:hAnsi="Arial" w:cs="Arial"/>
          <w:color w:val="000000"/>
        </w:rPr>
        <w:noBreakHyphen/>
        <w:t>step practice guidance. Learning from serious cases has traditionally taken place through child practice reviews and is now moving toward a unified safeguarding review model. Adult safeguarding has parallel but distinct review processes, aligned specifically with Part 7 of the 2014 Act and adult</w:t>
      </w:r>
      <w:r>
        <w:rPr>
          <w:rStyle w:val="normaltextrun"/>
          <w:rFonts w:ascii="Arial" w:hAnsi="Arial" w:cs="Arial"/>
          <w:color w:val="000000"/>
        </w:rPr>
        <w:noBreakHyphen/>
        <w:t>focused guidance (Social Services and Well</w:t>
      </w:r>
      <w:r>
        <w:rPr>
          <w:rStyle w:val="normaltextrun"/>
          <w:rFonts w:ascii="Arial" w:hAnsi="Arial" w:cs="Arial"/>
          <w:color w:val="000000"/>
        </w:rPr>
        <w:noBreakHyphen/>
        <w:t>being (Wales) Act 2014).</w:t>
      </w:r>
      <w:r>
        <w:rPr>
          <w:rStyle w:val="eop"/>
          <w:rFonts w:ascii="Arial" w:hAnsi="Arial" w:cs="Arial"/>
          <w:color w:val="000000"/>
        </w:rPr>
        <w:t> </w:t>
      </w:r>
    </w:p>
    <w:p w14:paraId="119773DA" w14:textId="77777777" w:rsidR="00E3637B" w:rsidRDefault="00E3637B" w:rsidP="00E3637B">
      <w:pPr>
        <w:pStyle w:val="paragraph"/>
        <w:shd w:val="clear" w:color="auto" w:fill="FFFFFF"/>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In summary, children’s safeguarding in Wales follows a protection</w:t>
      </w:r>
      <w:r>
        <w:rPr>
          <w:rStyle w:val="normaltextrun"/>
          <w:rFonts w:ascii="Arial" w:hAnsi="Arial" w:cs="Arial"/>
          <w:color w:val="000000"/>
        </w:rPr>
        <w:noBreakHyphen/>
        <w:t>led model, where welfare is paramount and statutory intervention is expected when harm thresholds are reached. Adult safeguarding places greater emphasis on autonomy, capacity and proportionality. Despite these differences, both systems rely on effective multi</w:t>
      </w:r>
      <w:r>
        <w:rPr>
          <w:rStyle w:val="normaltextrun"/>
          <w:rFonts w:ascii="Arial" w:hAnsi="Arial" w:cs="Arial"/>
          <w:color w:val="000000"/>
        </w:rPr>
        <w:noBreakHyphen/>
        <w:t>agency working, lawful information</w:t>
      </w:r>
      <w:r>
        <w:rPr>
          <w:rStyle w:val="normaltextrun"/>
          <w:rFonts w:ascii="Arial" w:hAnsi="Arial" w:cs="Arial"/>
          <w:color w:val="000000"/>
        </w:rPr>
        <w:noBreakHyphen/>
        <w:t>sharing and clear, rights</w:t>
      </w:r>
      <w:r>
        <w:rPr>
          <w:rStyle w:val="normaltextrun"/>
          <w:rFonts w:ascii="Arial" w:hAnsi="Arial" w:cs="Arial"/>
          <w:color w:val="000000"/>
        </w:rPr>
        <w:noBreakHyphen/>
        <w:t>based decision</w:t>
      </w:r>
      <w:r>
        <w:rPr>
          <w:rStyle w:val="normaltextrun"/>
          <w:rFonts w:ascii="Arial" w:hAnsi="Arial" w:cs="Arial"/>
          <w:color w:val="000000"/>
        </w:rPr>
        <w:noBreakHyphen/>
        <w:t>making to protect individuals and uphold dignity within the Welsh safeguarding framework.</w:t>
      </w:r>
      <w:r>
        <w:rPr>
          <w:rStyle w:val="eop"/>
          <w:rFonts w:ascii="Arial" w:hAnsi="Arial" w:cs="Arial"/>
          <w:color w:val="000000"/>
        </w:rPr>
        <w:t> </w:t>
      </w:r>
    </w:p>
    <w:p w14:paraId="7A443614"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Segoe UI" w:hAnsi="Segoe UI" w:cs="Segoe UI"/>
          <w:b/>
          <w:bCs/>
          <w:color w:val="000000"/>
          <w:sz w:val="21"/>
          <w:szCs w:val="21"/>
        </w:rPr>
        <w:t>Word count (b): 409</w:t>
      </w:r>
      <w:r>
        <w:rPr>
          <w:rStyle w:val="eop"/>
          <w:rFonts w:ascii="Segoe UI" w:hAnsi="Segoe UI" w:cs="Segoe UI"/>
          <w:color w:val="000000"/>
          <w:sz w:val="21"/>
          <w:szCs w:val="21"/>
        </w:rPr>
        <w:t> </w:t>
      </w:r>
    </w:p>
    <w:p w14:paraId="25DB8CD6"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72B6B30C"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i/>
          <w:iCs/>
          <w:color w:val="000000"/>
        </w:rPr>
        <w:t>400 words</w:t>
      </w:r>
      <w:r>
        <w:rPr>
          <w:rStyle w:val="normaltextrun"/>
          <w:rFonts w:ascii="Arial" w:hAnsi="Arial" w:cs="Arial"/>
          <w:color w:val="000000"/>
        </w:rPr>
        <w:t> </w:t>
      </w:r>
      <w:r>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65FFD43C"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227DEBD3"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53CCB1F4" w14:textId="77777777" w:rsidR="00E3637B" w:rsidRDefault="00E3637B" w:rsidP="00E3637B">
      <w:pPr>
        <w:pStyle w:val="paragraph"/>
        <w:spacing w:before="0" w:beforeAutospacing="0" w:after="0" w:afterAutospacing="0"/>
        <w:ind w:left="720"/>
        <w:textAlignment w:val="baseline"/>
        <w:rPr>
          <w:rFonts w:ascii="Segoe UI" w:hAnsi="Segoe UI" w:cs="Segoe UI"/>
          <w:color w:val="000000"/>
          <w:sz w:val="18"/>
          <w:szCs w:val="18"/>
        </w:rPr>
      </w:pPr>
      <w:r>
        <w:rPr>
          <w:rStyle w:val="normaltextrun"/>
          <w:rFonts w:ascii="Arial" w:hAnsi="Arial" w:cs="Arial"/>
          <w:b/>
          <w:bCs/>
          <w:color w:val="000000"/>
        </w:rPr>
        <w:lastRenderedPageBreak/>
        <w:t>Reference:</w:t>
      </w:r>
      <w:r>
        <w:rPr>
          <w:rStyle w:val="eop"/>
          <w:rFonts w:ascii="Arial" w:hAnsi="Arial" w:cs="Arial"/>
          <w:color w:val="000000"/>
        </w:rPr>
        <w:t> </w:t>
      </w:r>
    </w:p>
    <w:p w14:paraId="6ED3AF3C" w14:textId="77777777" w:rsidR="00E3637B" w:rsidRDefault="00E3637B" w:rsidP="00E3637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9F68995" w14:textId="77777777" w:rsidR="00E3637B" w:rsidRDefault="00E3637B" w:rsidP="00E3637B">
      <w:pPr>
        <w:pStyle w:val="paragraph"/>
        <w:numPr>
          <w:ilvl w:val="0"/>
          <w:numId w:val="7"/>
        </w:numPr>
        <w:spacing w:before="0" w:beforeAutospacing="0" w:after="0" w:afterAutospacing="0"/>
        <w:ind w:left="1080" w:firstLine="0"/>
        <w:jc w:val="both"/>
        <w:textAlignment w:val="baseline"/>
        <w:rPr>
          <w:rFonts w:ascii="Arial" w:hAnsi="Arial" w:cs="Arial"/>
          <w:color w:val="000000"/>
        </w:rPr>
      </w:pPr>
      <w:r>
        <w:rPr>
          <w:rStyle w:val="normaltextrun"/>
          <w:rFonts w:ascii="Arial" w:hAnsi="Arial" w:cs="Arial"/>
          <w:color w:val="000000"/>
        </w:rPr>
        <w:t>Data Protection Act 2018. London: The Stationery Office.</w:t>
      </w:r>
      <w:r>
        <w:rPr>
          <w:rStyle w:val="eop"/>
          <w:rFonts w:ascii="Arial" w:hAnsi="Arial" w:cs="Arial"/>
          <w:color w:val="000000"/>
        </w:rPr>
        <w:t> </w:t>
      </w:r>
    </w:p>
    <w:p w14:paraId="1208EB7A" w14:textId="77777777" w:rsidR="00E3637B" w:rsidRDefault="00E3637B" w:rsidP="00E3637B">
      <w:pPr>
        <w:pStyle w:val="paragraph"/>
        <w:numPr>
          <w:ilvl w:val="0"/>
          <w:numId w:val="8"/>
        </w:numPr>
        <w:spacing w:before="0" w:beforeAutospacing="0" w:after="0" w:afterAutospacing="0"/>
        <w:ind w:left="1080" w:firstLine="0"/>
        <w:jc w:val="both"/>
        <w:textAlignment w:val="baseline"/>
        <w:rPr>
          <w:rFonts w:ascii="Arial" w:hAnsi="Arial" w:cs="Arial"/>
          <w:color w:val="000000"/>
        </w:rPr>
      </w:pPr>
      <w:r>
        <w:rPr>
          <w:rStyle w:val="normaltextrun"/>
          <w:rFonts w:ascii="Arial" w:hAnsi="Arial" w:cs="Arial"/>
          <w:color w:val="000000"/>
        </w:rPr>
        <w:t>Munro, E. (2011) </w:t>
      </w:r>
      <w:r>
        <w:rPr>
          <w:rStyle w:val="normaltextrun"/>
          <w:rFonts w:ascii="Arial" w:hAnsi="Arial" w:cs="Arial"/>
          <w:i/>
          <w:iCs/>
          <w:color w:val="000000"/>
        </w:rPr>
        <w:t>The Munro review of child protection: final report</w:t>
      </w:r>
      <w:r>
        <w:rPr>
          <w:rStyle w:val="normaltextrun"/>
          <w:rFonts w:ascii="Arial" w:hAnsi="Arial" w:cs="Arial"/>
          <w:color w:val="000000"/>
        </w:rPr>
        <w:t>. London: Department for Education.</w:t>
      </w:r>
      <w:r>
        <w:rPr>
          <w:rStyle w:val="eop"/>
          <w:rFonts w:ascii="Arial" w:hAnsi="Arial" w:cs="Arial"/>
          <w:color w:val="000000"/>
        </w:rPr>
        <w:t> </w:t>
      </w:r>
    </w:p>
    <w:p w14:paraId="7B3E72B2" w14:textId="77777777" w:rsidR="00E3637B" w:rsidRDefault="00E3637B" w:rsidP="00E3637B">
      <w:pPr>
        <w:pStyle w:val="paragraph"/>
        <w:numPr>
          <w:ilvl w:val="0"/>
          <w:numId w:val="9"/>
        </w:numPr>
        <w:spacing w:before="0" w:beforeAutospacing="0" w:after="0" w:afterAutospacing="0"/>
        <w:ind w:left="1080" w:firstLine="0"/>
        <w:jc w:val="both"/>
        <w:textAlignment w:val="baseline"/>
        <w:rPr>
          <w:rFonts w:ascii="Arial" w:hAnsi="Arial" w:cs="Arial"/>
          <w:color w:val="000000"/>
        </w:rPr>
      </w:pPr>
      <w:r>
        <w:rPr>
          <w:rStyle w:val="normaltextrun"/>
          <w:rFonts w:ascii="Arial" w:hAnsi="Arial" w:cs="Arial"/>
          <w:color w:val="000000"/>
        </w:rPr>
        <w:t>Social Services and Well</w:t>
      </w:r>
      <w:r>
        <w:rPr>
          <w:rStyle w:val="normaltextrun"/>
          <w:rFonts w:ascii="Arial" w:hAnsi="Arial" w:cs="Arial"/>
          <w:color w:val="000000"/>
        </w:rPr>
        <w:noBreakHyphen/>
        <w:t>being (Wales) Act 2014. Cardiff: National Assembly for Wales. Available at: </w:t>
      </w:r>
      <w:hyperlink r:id="rId7" w:tgtFrame="_blank" w:history="1">
        <w:r>
          <w:rPr>
            <w:rStyle w:val="normaltextrun"/>
            <w:rFonts w:ascii="Arial" w:hAnsi="Arial" w:cs="Arial"/>
            <w:color w:val="0000FF"/>
            <w:u w:val="single"/>
          </w:rPr>
          <w:t>https://www.legislation.gov.uk/anaw/2014/4/contents</w:t>
        </w:r>
      </w:hyperlink>
      <w:r>
        <w:rPr>
          <w:rStyle w:val="normaltextrun"/>
          <w:rFonts w:ascii="Arial" w:hAnsi="Arial" w:cs="Arial"/>
          <w:color w:val="000000"/>
        </w:rPr>
        <w:t> (Accessed: 2 April 2026).</w:t>
      </w:r>
      <w:r>
        <w:rPr>
          <w:rStyle w:val="eop"/>
          <w:rFonts w:ascii="Arial" w:hAnsi="Arial" w:cs="Arial"/>
          <w:color w:val="000000"/>
        </w:rPr>
        <w:t> </w:t>
      </w:r>
    </w:p>
    <w:p w14:paraId="25C30C87" w14:textId="77777777" w:rsidR="00E3637B" w:rsidRDefault="00E3637B" w:rsidP="00E3637B">
      <w:pPr>
        <w:pStyle w:val="paragraph"/>
        <w:numPr>
          <w:ilvl w:val="0"/>
          <w:numId w:val="10"/>
        </w:numPr>
        <w:spacing w:before="0" w:beforeAutospacing="0" w:after="0" w:afterAutospacing="0"/>
        <w:ind w:left="1080" w:firstLine="0"/>
        <w:jc w:val="both"/>
        <w:textAlignment w:val="baseline"/>
        <w:rPr>
          <w:rFonts w:ascii="Arial" w:hAnsi="Arial" w:cs="Arial"/>
          <w:color w:val="000000"/>
        </w:rPr>
      </w:pPr>
      <w:r>
        <w:rPr>
          <w:rStyle w:val="normaltextrun"/>
          <w:rFonts w:ascii="Arial" w:hAnsi="Arial" w:cs="Arial"/>
          <w:color w:val="000000"/>
        </w:rPr>
        <w:t>UK GDPR (2018) </w:t>
      </w:r>
      <w:r>
        <w:rPr>
          <w:rStyle w:val="normaltextrun"/>
          <w:rFonts w:ascii="Arial" w:hAnsi="Arial" w:cs="Arial"/>
          <w:i/>
          <w:iCs/>
          <w:color w:val="000000"/>
        </w:rPr>
        <w:t>Retained Regulation (EU) 2016/679 as incorporated into UK law</w:t>
      </w:r>
      <w:r>
        <w:rPr>
          <w:rStyle w:val="normaltextrun"/>
          <w:rFonts w:ascii="Arial" w:hAnsi="Arial" w:cs="Arial"/>
          <w:color w:val="000000"/>
        </w:rPr>
        <w:t>.</w:t>
      </w:r>
      <w:r>
        <w:rPr>
          <w:rStyle w:val="eop"/>
          <w:rFonts w:ascii="Arial" w:hAnsi="Arial" w:cs="Arial"/>
          <w:color w:val="000000"/>
        </w:rPr>
        <w:t> </w:t>
      </w:r>
    </w:p>
    <w:p w14:paraId="46C4663E"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77933222" w14:textId="77777777" w:rsidR="00E3637B" w:rsidRDefault="00E3637B" w:rsidP="00E3637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75F5C4D" w14:textId="05B3FE3E" w:rsidR="009D3687" w:rsidRDefault="009D3687" w:rsidP="009458BD"/>
    <w:sectPr w:rsidR="009D36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40CD2"/>
    <w:multiLevelType w:val="multilevel"/>
    <w:tmpl w:val="2B5827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9A026F"/>
    <w:multiLevelType w:val="multilevel"/>
    <w:tmpl w:val="23BC36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005D02"/>
    <w:multiLevelType w:val="multilevel"/>
    <w:tmpl w:val="B9DA7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C00FEA"/>
    <w:multiLevelType w:val="multilevel"/>
    <w:tmpl w:val="73F615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2F0A76"/>
    <w:multiLevelType w:val="multilevel"/>
    <w:tmpl w:val="10E472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872EBD"/>
    <w:multiLevelType w:val="multilevel"/>
    <w:tmpl w:val="96C0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F81633"/>
    <w:multiLevelType w:val="multilevel"/>
    <w:tmpl w:val="B88AFA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1F7502"/>
    <w:multiLevelType w:val="multilevel"/>
    <w:tmpl w:val="5406F3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CA4CCB"/>
    <w:multiLevelType w:val="multilevel"/>
    <w:tmpl w:val="BDA61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1E04ED"/>
    <w:multiLevelType w:val="multilevel"/>
    <w:tmpl w:val="600419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9"/>
  </w:num>
  <w:num w:numId="3">
    <w:abstractNumId w:val="7"/>
  </w:num>
  <w:num w:numId="4">
    <w:abstractNumId w:val="3"/>
  </w:num>
  <w:num w:numId="5">
    <w:abstractNumId w:val="6"/>
  </w:num>
  <w:num w:numId="6">
    <w:abstractNumId w:val="1"/>
  </w:num>
  <w:num w:numId="7">
    <w:abstractNumId w:val="2"/>
  </w:num>
  <w:num w:numId="8">
    <w:abstractNumId w:val="8"/>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CC4"/>
    <w:rsid w:val="000520FD"/>
    <w:rsid w:val="00151AB3"/>
    <w:rsid w:val="0044270D"/>
    <w:rsid w:val="00940C7E"/>
    <w:rsid w:val="009458BD"/>
    <w:rsid w:val="009D3687"/>
    <w:rsid w:val="00E3637B"/>
    <w:rsid w:val="00F01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D7052"/>
  <w15:chartTrackingRefBased/>
  <w15:docId w15:val="{A42EBD47-A180-44D5-B84B-4167EEB91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gmail-western">
    <w:name w:val="x_gmail-western"/>
    <w:basedOn w:val="Normal"/>
    <w:rsid w:val="00F01C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01CC4"/>
    <w:rPr>
      <w:i/>
      <w:iCs/>
    </w:rPr>
  </w:style>
  <w:style w:type="character" w:styleId="Strong">
    <w:name w:val="Strong"/>
    <w:basedOn w:val="DefaultParagraphFont"/>
    <w:uiPriority w:val="22"/>
    <w:qFormat/>
    <w:rsid w:val="00F01CC4"/>
    <w:rPr>
      <w:b/>
      <w:bCs/>
    </w:rPr>
  </w:style>
  <w:style w:type="character" w:customStyle="1" w:styleId="jdfsz">
    <w:name w:val="jdfsz"/>
    <w:basedOn w:val="DefaultParagraphFont"/>
    <w:rsid w:val="009458BD"/>
  </w:style>
  <w:style w:type="character" w:customStyle="1" w:styleId="fui-avatarinitials">
    <w:name w:val="fui-avatar__initials"/>
    <w:basedOn w:val="DefaultParagraphFont"/>
    <w:rsid w:val="009458BD"/>
  </w:style>
  <w:style w:type="character" w:customStyle="1" w:styleId="ozzzk">
    <w:name w:val="ozzzk"/>
    <w:basedOn w:val="DefaultParagraphFont"/>
    <w:rsid w:val="009458BD"/>
  </w:style>
  <w:style w:type="character" w:customStyle="1" w:styleId="flwlv">
    <w:name w:val="flwlv"/>
    <w:basedOn w:val="DefaultParagraphFont"/>
    <w:rsid w:val="009458BD"/>
  </w:style>
  <w:style w:type="character" w:customStyle="1" w:styleId="entity">
    <w:name w:val="_entity"/>
    <w:basedOn w:val="DefaultParagraphFont"/>
    <w:rsid w:val="009458BD"/>
  </w:style>
  <w:style w:type="character" w:customStyle="1" w:styleId="pu1yl">
    <w:name w:val="pu1yl"/>
    <w:basedOn w:val="DefaultParagraphFont"/>
    <w:rsid w:val="009458BD"/>
  </w:style>
  <w:style w:type="character" w:customStyle="1" w:styleId="fui-buttonicon">
    <w:name w:val="fui-button__icon"/>
    <w:basedOn w:val="DefaultParagraphFont"/>
    <w:rsid w:val="009458BD"/>
  </w:style>
  <w:style w:type="paragraph" w:customStyle="1" w:styleId="paragraph">
    <w:name w:val="paragraph"/>
    <w:basedOn w:val="Normal"/>
    <w:rsid w:val="00E363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3637B"/>
  </w:style>
  <w:style w:type="character" w:customStyle="1" w:styleId="eop">
    <w:name w:val="eop"/>
    <w:basedOn w:val="DefaultParagraphFont"/>
    <w:rsid w:val="00E3637B"/>
  </w:style>
  <w:style w:type="character" w:customStyle="1" w:styleId="scxw27757687">
    <w:name w:val="scxw27757687"/>
    <w:basedOn w:val="DefaultParagraphFont"/>
    <w:rsid w:val="00E36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8182">
      <w:bodyDiv w:val="1"/>
      <w:marLeft w:val="0"/>
      <w:marRight w:val="0"/>
      <w:marTop w:val="0"/>
      <w:marBottom w:val="0"/>
      <w:divBdr>
        <w:top w:val="none" w:sz="0" w:space="0" w:color="auto"/>
        <w:left w:val="none" w:sz="0" w:space="0" w:color="auto"/>
        <w:bottom w:val="none" w:sz="0" w:space="0" w:color="auto"/>
        <w:right w:val="none" w:sz="0" w:space="0" w:color="auto"/>
      </w:divBdr>
    </w:div>
    <w:div w:id="651832828">
      <w:bodyDiv w:val="1"/>
      <w:marLeft w:val="0"/>
      <w:marRight w:val="0"/>
      <w:marTop w:val="0"/>
      <w:marBottom w:val="0"/>
      <w:divBdr>
        <w:top w:val="none" w:sz="0" w:space="0" w:color="auto"/>
        <w:left w:val="none" w:sz="0" w:space="0" w:color="auto"/>
        <w:bottom w:val="none" w:sz="0" w:space="0" w:color="auto"/>
        <w:right w:val="none" w:sz="0" w:space="0" w:color="auto"/>
      </w:divBdr>
      <w:divsChild>
        <w:div w:id="1413308814">
          <w:marLeft w:val="0"/>
          <w:marRight w:val="0"/>
          <w:marTop w:val="0"/>
          <w:marBottom w:val="0"/>
          <w:divBdr>
            <w:top w:val="none" w:sz="0" w:space="0" w:color="auto"/>
            <w:left w:val="none" w:sz="0" w:space="0" w:color="auto"/>
            <w:bottom w:val="none" w:sz="0" w:space="0" w:color="auto"/>
            <w:right w:val="none" w:sz="0" w:space="0" w:color="auto"/>
          </w:divBdr>
        </w:div>
        <w:div w:id="1020005653">
          <w:marLeft w:val="0"/>
          <w:marRight w:val="0"/>
          <w:marTop w:val="0"/>
          <w:marBottom w:val="0"/>
          <w:divBdr>
            <w:top w:val="none" w:sz="0" w:space="0" w:color="auto"/>
            <w:left w:val="none" w:sz="0" w:space="0" w:color="auto"/>
            <w:bottom w:val="none" w:sz="0" w:space="0" w:color="auto"/>
            <w:right w:val="none" w:sz="0" w:space="0" w:color="auto"/>
          </w:divBdr>
        </w:div>
        <w:div w:id="1743139041">
          <w:marLeft w:val="0"/>
          <w:marRight w:val="0"/>
          <w:marTop w:val="0"/>
          <w:marBottom w:val="0"/>
          <w:divBdr>
            <w:top w:val="none" w:sz="0" w:space="0" w:color="auto"/>
            <w:left w:val="none" w:sz="0" w:space="0" w:color="auto"/>
            <w:bottom w:val="none" w:sz="0" w:space="0" w:color="auto"/>
            <w:right w:val="none" w:sz="0" w:space="0" w:color="auto"/>
          </w:divBdr>
        </w:div>
        <w:div w:id="1224563153">
          <w:marLeft w:val="0"/>
          <w:marRight w:val="0"/>
          <w:marTop w:val="0"/>
          <w:marBottom w:val="0"/>
          <w:divBdr>
            <w:top w:val="none" w:sz="0" w:space="0" w:color="auto"/>
            <w:left w:val="none" w:sz="0" w:space="0" w:color="auto"/>
            <w:bottom w:val="none" w:sz="0" w:space="0" w:color="auto"/>
            <w:right w:val="none" w:sz="0" w:space="0" w:color="auto"/>
          </w:divBdr>
        </w:div>
        <w:div w:id="1309675278">
          <w:marLeft w:val="0"/>
          <w:marRight w:val="0"/>
          <w:marTop w:val="0"/>
          <w:marBottom w:val="0"/>
          <w:divBdr>
            <w:top w:val="none" w:sz="0" w:space="0" w:color="auto"/>
            <w:left w:val="none" w:sz="0" w:space="0" w:color="auto"/>
            <w:bottom w:val="none" w:sz="0" w:space="0" w:color="auto"/>
            <w:right w:val="none" w:sz="0" w:space="0" w:color="auto"/>
          </w:divBdr>
        </w:div>
        <w:div w:id="322127341">
          <w:marLeft w:val="0"/>
          <w:marRight w:val="0"/>
          <w:marTop w:val="0"/>
          <w:marBottom w:val="0"/>
          <w:divBdr>
            <w:top w:val="none" w:sz="0" w:space="0" w:color="auto"/>
            <w:left w:val="none" w:sz="0" w:space="0" w:color="auto"/>
            <w:bottom w:val="none" w:sz="0" w:space="0" w:color="auto"/>
            <w:right w:val="none" w:sz="0" w:space="0" w:color="auto"/>
          </w:divBdr>
        </w:div>
        <w:div w:id="844827309">
          <w:marLeft w:val="0"/>
          <w:marRight w:val="0"/>
          <w:marTop w:val="0"/>
          <w:marBottom w:val="0"/>
          <w:divBdr>
            <w:top w:val="none" w:sz="0" w:space="0" w:color="auto"/>
            <w:left w:val="none" w:sz="0" w:space="0" w:color="auto"/>
            <w:bottom w:val="none" w:sz="0" w:space="0" w:color="auto"/>
            <w:right w:val="none" w:sz="0" w:space="0" w:color="auto"/>
          </w:divBdr>
        </w:div>
        <w:div w:id="1164781828">
          <w:marLeft w:val="0"/>
          <w:marRight w:val="0"/>
          <w:marTop w:val="0"/>
          <w:marBottom w:val="0"/>
          <w:divBdr>
            <w:top w:val="none" w:sz="0" w:space="0" w:color="auto"/>
            <w:left w:val="none" w:sz="0" w:space="0" w:color="auto"/>
            <w:bottom w:val="none" w:sz="0" w:space="0" w:color="auto"/>
            <w:right w:val="none" w:sz="0" w:space="0" w:color="auto"/>
          </w:divBdr>
          <w:divsChild>
            <w:div w:id="699934604">
              <w:marLeft w:val="0"/>
              <w:marRight w:val="0"/>
              <w:marTop w:val="0"/>
              <w:marBottom w:val="0"/>
              <w:divBdr>
                <w:top w:val="none" w:sz="0" w:space="0" w:color="auto"/>
                <w:left w:val="none" w:sz="0" w:space="0" w:color="auto"/>
                <w:bottom w:val="none" w:sz="0" w:space="0" w:color="auto"/>
                <w:right w:val="none" w:sz="0" w:space="0" w:color="auto"/>
              </w:divBdr>
            </w:div>
            <w:div w:id="1059673829">
              <w:marLeft w:val="0"/>
              <w:marRight w:val="0"/>
              <w:marTop w:val="0"/>
              <w:marBottom w:val="0"/>
              <w:divBdr>
                <w:top w:val="none" w:sz="0" w:space="0" w:color="auto"/>
                <w:left w:val="none" w:sz="0" w:space="0" w:color="auto"/>
                <w:bottom w:val="none" w:sz="0" w:space="0" w:color="auto"/>
                <w:right w:val="none" w:sz="0" w:space="0" w:color="auto"/>
              </w:divBdr>
            </w:div>
            <w:div w:id="802967579">
              <w:marLeft w:val="0"/>
              <w:marRight w:val="0"/>
              <w:marTop w:val="0"/>
              <w:marBottom w:val="0"/>
              <w:divBdr>
                <w:top w:val="none" w:sz="0" w:space="0" w:color="auto"/>
                <w:left w:val="none" w:sz="0" w:space="0" w:color="auto"/>
                <w:bottom w:val="none" w:sz="0" w:space="0" w:color="auto"/>
                <w:right w:val="none" w:sz="0" w:space="0" w:color="auto"/>
              </w:divBdr>
            </w:div>
            <w:div w:id="991761877">
              <w:marLeft w:val="0"/>
              <w:marRight w:val="0"/>
              <w:marTop w:val="0"/>
              <w:marBottom w:val="0"/>
              <w:divBdr>
                <w:top w:val="none" w:sz="0" w:space="0" w:color="auto"/>
                <w:left w:val="none" w:sz="0" w:space="0" w:color="auto"/>
                <w:bottom w:val="none" w:sz="0" w:space="0" w:color="auto"/>
                <w:right w:val="none" w:sz="0" w:space="0" w:color="auto"/>
              </w:divBdr>
            </w:div>
            <w:div w:id="547840449">
              <w:marLeft w:val="0"/>
              <w:marRight w:val="0"/>
              <w:marTop w:val="0"/>
              <w:marBottom w:val="0"/>
              <w:divBdr>
                <w:top w:val="none" w:sz="0" w:space="0" w:color="auto"/>
                <w:left w:val="none" w:sz="0" w:space="0" w:color="auto"/>
                <w:bottom w:val="none" w:sz="0" w:space="0" w:color="auto"/>
                <w:right w:val="none" w:sz="0" w:space="0" w:color="auto"/>
              </w:divBdr>
            </w:div>
            <w:div w:id="1560827028">
              <w:marLeft w:val="0"/>
              <w:marRight w:val="0"/>
              <w:marTop w:val="0"/>
              <w:marBottom w:val="0"/>
              <w:divBdr>
                <w:top w:val="none" w:sz="0" w:space="0" w:color="auto"/>
                <w:left w:val="none" w:sz="0" w:space="0" w:color="auto"/>
                <w:bottom w:val="none" w:sz="0" w:space="0" w:color="auto"/>
                <w:right w:val="none" w:sz="0" w:space="0" w:color="auto"/>
              </w:divBdr>
            </w:div>
            <w:div w:id="1146704429">
              <w:marLeft w:val="0"/>
              <w:marRight w:val="0"/>
              <w:marTop w:val="0"/>
              <w:marBottom w:val="0"/>
              <w:divBdr>
                <w:top w:val="none" w:sz="0" w:space="0" w:color="auto"/>
                <w:left w:val="none" w:sz="0" w:space="0" w:color="auto"/>
                <w:bottom w:val="none" w:sz="0" w:space="0" w:color="auto"/>
                <w:right w:val="none" w:sz="0" w:space="0" w:color="auto"/>
              </w:divBdr>
            </w:div>
            <w:div w:id="549079646">
              <w:marLeft w:val="0"/>
              <w:marRight w:val="0"/>
              <w:marTop w:val="0"/>
              <w:marBottom w:val="0"/>
              <w:divBdr>
                <w:top w:val="none" w:sz="0" w:space="0" w:color="auto"/>
                <w:left w:val="none" w:sz="0" w:space="0" w:color="auto"/>
                <w:bottom w:val="none" w:sz="0" w:space="0" w:color="auto"/>
                <w:right w:val="none" w:sz="0" w:space="0" w:color="auto"/>
              </w:divBdr>
            </w:div>
            <w:div w:id="431824546">
              <w:marLeft w:val="0"/>
              <w:marRight w:val="0"/>
              <w:marTop w:val="0"/>
              <w:marBottom w:val="0"/>
              <w:divBdr>
                <w:top w:val="none" w:sz="0" w:space="0" w:color="auto"/>
                <w:left w:val="none" w:sz="0" w:space="0" w:color="auto"/>
                <w:bottom w:val="none" w:sz="0" w:space="0" w:color="auto"/>
                <w:right w:val="none" w:sz="0" w:space="0" w:color="auto"/>
              </w:divBdr>
            </w:div>
            <w:div w:id="1151872934">
              <w:marLeft w:val="0"/>
              <w:marRight w:val="0"/>
              <w:marTop w:val="0"/>
              <w:marBottom w:val="0"/>
              <w:divBdr>
                <w:top w:val="none" w:sz="0" w:space="0" w:color="auto"/>
                <w:left w:val="none" w:sz="0" w:space="0" w:color="auto"/>
                <w:bottom w:val="none" w:sz="0" w:space="0" w:color="auto"/>
                <w:right w:val="none" w:sz="0" w:space="0" w:color="auto"/>
              </w:divBdr>
            </w:div>
            <w:div w:id="382339422">
              <w:marLeft w:val="0"/>
              <w:marRight w:val="0"/>
              <w:marTop w:val="0"/>
              <w:marBottom w:val="0"/>
              <w:divBdr>
                <w:top w:val="none" w:sz="0" w:space="0" w:color="auto"/>
                <w:left w:val="none" w:sz="0" w:space="0" w:color="auto"/>
                <w:bottom w:val="none" w:sz="0" w:space="0" w:color="auto"/>
                <w:right w:val="none" w:sz="0" w:space="0" w:color="auto"/>
              </w:divBdr>
            </w:div>
            <w:div w:id="1746415334">
              <w:marLeft w:val="0"/>
              <w:marRight w:val="0"/>
              <w:marTop w:val="0"/>
              <w:marBottom w:val="0"/>
              <w:divBdr>
                <w:top w:val="none" w:sz="0" w:space="0" w:color="auto"/>
                <w:left w:val="none" w:sz="0" w:space="0" w:color="auto"/>
                <w:bottom w:val="none" w:sz="0" w:space="0" w:color="auto"/>
                <w:right w:val="none" w:sz="0" w:space="0" w:color="auto"/>
              </w:divBdr>
            </w:div>
            <w:div w:id="1222329967">
              <w:marLeft w:val="0"/>
              <w:marRight w:val="0"/>
              <w:marTop w:val="0"/>
              <w:marBottom w:val="0"/>
              <w:divBdr>
                <w:top w:val="none" w:sz="0" w:space="0" w:color="auto"/>
                <w:left w:val="none" w:sz="0" w:space="0" w:color="auto"/>
                <w:bottom w:val="none" w:sz="0" w:space="0" w:color="auto"/>
                <w:right w:val="none" w:sz="0" w:space="0" w:color="auto"/>
              </w:divBdr>
            </w:div>
            <w:div w:id="587737132">
              <w:marLeft w:val="0"/>
              <w:marRight w:val="0"/>
              <w:marTop w:val="0"/>
              <w:marBottom w:val="0"/>
              <w:divBdr>
                <w:top w:val="none" w:sz="0" w:space="0" w:color="auto"/>
                <w:left w:val="none" w:sz="0" w:space="0" w:color="auto"/>
                <w:bottom w:val="none" w:sz="0" w:space="0" w:color="auto"/>
                <w:right w:val="none" w:sz="0" w:space="0" w:color="auto"/>
              </w:divBdr>
            </w:div>
            <w:div w:id="591160914">
              <w:marLeft w:val="0"/>
              <w:marRight w:val="0"/>
              <w:marTop w:val="0"/>
              <w:marBottom w:val="0"/>
              <w:divBdr>
                <w:top w:val="none" w:sz="0" w:space="0" w:color="auto"/>
                <w:left w:val="none" w:sz="0" w:space="0" w:color="auto"/>
                <w:bottom w:val="none" w:sz="0" w:space="0" w:color="auto"/>
                <w:right w:val="none" w:sz="0" w:space="0" w:color="auto"/>
              </w:divBdr>
            </w:div>
            <w:div w:id="79257976">
              <w:marLeft w:val="0"/>
              <w:marRight w:val="0"/>
              <w:marTop w:val="0"/>
              <w:marBottom w:val="0"/>
              <w:divBdr>
                <w:top w:val="none" w:sz="0" w:space="0" w:color="auto"/>
                <w:left w:val="none" w:sz="0" w:space="0" w:color="auto"/>
                <w:bottom w:val="none" w:sz="0" w:space="0" w:color="auto"/>
                <w:right w:val="none" w:sz="0" w:space="0" w:color="auto"/>
              </w:divBdr>
            </w:div>
            <w:div w:id="1575816736">
              <w:marLeft w:val="0"/>
              <w:marRight w:val="0"/>
              <w:marTop w:val="0"/>
              <w:marBottom w:val="0"/>
              <w:divBdr>
                <w:top w:val="none" w:sz="0" w:space="0" w:color="auto"/>
                <w:left w:val="none" w:sz="0" w:space="0" w:color="auto"/>
                <w:bottom w:val="none" w:sz="0" w:space="0" w:color="auto"/>
                <w:right w:val="none" w:sz="0" w:space="0" w:color="auto"/>
              </w:divBdr>
            </w:div>
            <w:div w:id="1917200780">
              <w:marLeft w:val="0"/>
              <w:marRight w:val="0"/>
              <w:marTop w:val="0"/>
              <w:marBottom w:val="0"/>
              <w:divBdr>
                <w:top w:val="none" w:sz="0" w:space="0" w:color="auto"/>
                <w:left w:val="none" w:sz="0" w:space="0" w:color="auto"/>
                <w:bottom w:val="none" w:sz="0" w:space="0" w:color="auto"/>
                <w:right w:val="none" w:sz="0" w:space="0" w:color="auto"/>
              </w:divBdr>
            </w:div>
            <w:div w:id="1559978852">
              <w:marLeft w:val="0"/>
              <w:marRight w:val="0"/>
              <w:marTop w:val="0"/>
              <w:marBottom w:val="0"/>
              <w:divBdr>
                <w:top w:val="none" w:sz="0" w:space="0" w:color="auto"/>
                <w:left w:val="none" w:sz="0" w:space="0" w:color="auto"/>
                <w:bottom w:val="none" w:sz="0" w:space="0" w:color="auto"/>
                <w:right w:val="none" w:sz="0" w:space="0" w:color="auto"/>
              </w:divBdr>
            </w:div>
            <w:div w:id="1032994696">
              <w:marLeft w:val="0"/>
              <w:marRight w:val="0"/>
              <w:marTop w:val="0"/>
              <w:marBottom w:val="0"/>
              <w:divBdr>
                <w:top w:val="none" w:sz="0" w:space="0" w:color="auto"/>
                <w:left w:val="none" w:sz="0" w:space="0" w:color="auto"/>
                <w:bottom w:val="none" w:sz="0" w:space="0" w:color="auto"/>
                <w:right w:val="none" w:sz="0" w:space="0" w:color="auto"/>
              </w:divBdr>
            </w:div>
            <w:div w:id="581598257">
              <w:marLeft w:val="0"/>
              <w:marRight w:val="0"/>
              <w:marTop w:val="0"/>
              <w:marBottom w:val="0"/>
              <w:divBdr>
                <w:top w:val="none" w:sz="0" w:space="0" w:color="auto"/>
                <w:left w:val="none" w:sz="0" w:space="0" w:color="auto"/>
                <w:bottom w:val="none" w:sz="0" w:space="0" w:color="auto"/>
                <w:right w:val="none" w:sz="0" w:space="0" w:color="auto"/>
              </w:divBdr>
            </w:div>
            <w:div w:id="1518810886">
              <w:marLeft w:val="0"/>
              <w:marRight w:val="0"/>
              <w:marTop w:val="0"/>
              <w:marBottom w:val="0"/>
              <w:divBdr>
                <w:top w:val="none" w:sz="0" w:space="0" w:color="auto"/>
                <w:left w:val="none" w:sz="0" w:space="0" w:color="auto"/>
                <w:bottom w:val="none" w:sz="0" w:space="0" w:color="auto"/>
                <w:right w:val="none" w:sz="0" w:space="0" w:color="auto"/>
              </w:divBdr>
            </w:div>
            <w:div w:id="1825928492">
              <w:marLeft w:val="0"/>
              <w:marRight w:val="0"/>
              <w:marTop w:val="0"/>
              <w:marBottom w:val="0"/>
              <w:divBdr>
                <w:top w:val="none" w:sz="0" w:space="0" w:color="auto"/>
                <w:left w:val="none" w:sz="0" w:space="0" w:color="auto"/>
                <w:bottom w:val="none" w:sz="0" w:space="0" w:color="auto"/>
                <w:right w:val="none" w:sz="0" w:space="0" w:color="auto"/>
              </w:divBdr>
            </w:div>
          </w:divsChild>
        </w:div>
        <w:div w:id="241767616">
          <w:marLeft w:val="0"/>
          <w:marRight w:val="0"/>
          <w:marTop w:val="0"/>
          <w:marBottom w:val="0"/>
          <w:divBdr>
            <w:top w:val="none" w:sz="0" w:space="0" w:color="auto"/>
            <w:left w:val="none" w:sz="0" w:space="0" w:color="auto"/>
            <w:bottom w:val="none" w:sz="0" w:space="0" w:color="auto"/>
            <w:right w:val="none" w:sz="0" w:space="0" w:color="auto"/>
          </w:divBdr>
        </w:div>
        <w:div w:id="479004460">
          <w:marLeft w:val="0"/>
          <w:marRight w:val="0"/>
          <w:marTop w:val="0"/>
          <w:marBottom w:val="0"/>
          <w:divBdr>
            <w:top w:val="none" w:sz="0" w:space="0" w:color="auto"/>
            <w:left w:val="none" w:sz="0" w:space="0" w:color="auto"/>
            <w:bottom w:val="none" w:sz="0" w:space="0" w:color="auto"/>
            <w:right w:val="none" w:sz="0" w:space="0" w:color="auto"/>
          </w:divBdr>
        </w:div>
        <w:div w:id="654532732">
          <w:marLeft w:val="0"/>
          <w:marRight w:val="0"/>
          <w:marTop w:val="0"/>
          <w:marBottom w:val="0"/>
          <w:divBdr>
            <w:top w:val="none" w:sz="0" w:space="0" w:color="auto"/>
            <w:left w:val="none" w:sz="0" w:space="0" w:color="auto"/>
            <w:bottom w:val="none" w:sz="0" w:space="0" w:color="auto"/>
            <w:right w:val="none" w:sz="0" w:space="0" w:color="auto"/>
          </w:divBdr>
        </w:div>
        <w:div w:id="307518445">
          <w:marLeft w:val="0"/>
          <w:marRight w:val="0"/>
          <w:marTop w:val="0"/>
          <w:marBottom w:val="0"/>
          <w:divBdr>
            <w:top w:val="none" w:sz="0" w:space="0" w:color="auto"/>
            <w:left w:val="none" w:sz="0" w:space="0" w:color="auto"/>
            <w:bottom w:val="none" w:sz="0" w:space="0" w:color="auto"/>
            <w:right w:val="none" w:sz="0" w:space="0" w:color="auto"/>
          </w:divBdr>
          <w:divsChild>
            <w:div w:id="581640391">
              <w:marLeft w:val="0"/>
              <w:marRight w:val="0"/>
              <w:marTop w:val="0"/>
              <w:marBottom w:val="0"/>
              <w:divBdr>
                <w:top w:val="none" w:sz="0" w:space="0" w:color="auto"/>
                <w:left w:val="none" w:sz="0" w:space="0" w:color="auto"/>
                <w:bottom w:val="none" w:sz="0" w:space="0" w:color="auto"/>
                <w:right w:val="none" w:sz="0" w:space="0" w:color="auto"/>
              </w:divBdr>
            </w:div>
            <w:div w:id="277882650">
              <w:marLeft w:val="0"/>
              <w:marRight w:val="0"/>
              <w:marTop w:val="0"/>
              <w:marBottom w:val="0"/>
              <w:divBdr>
                <w:top w:val="none" w:sz="0" w:space="0" w:color="auto"/>
                <w:left w:val="none" w:sz="0" w:space="0" w:color="auto"/>
                <w:bottom w:val="none" w:sz="0" w:space="0" w:color="auto"/>
                <w:right w:val="none" w:sz="0" w:space="0" w:color="auto"/>
              </w:divBdr>
            </w:div>
            <w:div w:id="555896390">
              <w:marLeft w:val="0"/>
              <w:marRight w:val="0"/>
              <w:marTop w:val="0"/>
              <w:marBottom w:val="0"/>
              <w:divBdr>
                <w:top w:val="none" w:sz="0" w:space="0" w:color="auto"/>
                <w:left w:val="none" w:sz="0" w:space="0" w:color="auto"/>
                <w:bottom w:val="none" w:sz="0" w:space="0" w:color="auto"/>
                <w:right w:val="none" w:sz="0" w:space="0" w:color="auto"/>
              </w:divBdr>
            </w:div>
            <w:div w:id="1988318895">
              <w:marLeft w:val="0"/>
              <w:marRight w:val="0"/>
              <w:marTop w:val="0"/>
              <w:marBottom w:val="0"/>
              <w:divBdr>
                <w:top w:val="none" w:sz="0" w:space="0" w:color="auto"/>
                <w:left w:val="none" w:sz="0" w:space="0" w:color="auto"/>
                <w:bottom w:val="none" w:sz="0" w:space="0" w:color="auto"/>
                <w:right w:val="none" w:sz="0" w:space="0" w:color="auto"/>
              </w:divBdr>
            </w:div>
            <w:div w:id="241792995">
              <w:marLeft w:val="0"/>
              <w:marRight w:val="0"/>
              <w:marTop w:val="0"/>
              <w:marBottom w:val="0"/>
              <w:divBdr>
                <w:top w:val="none" w:sz="0" w:space="0" w:color="auto"/>
                <w:left w:val="none" w:sz="0" w:space="0" w:color="auto"/>
                <w:bottom w:val="none" w:sz="0" w:space="0" w:color="auto"/>
                <w:right w:val="none" w:sz="0" w:space="0" w:color="auto"/>
              </w:divBdr>
            </w:div>
            <w:div w:id="1988852408">
              <w:marLeft w:val="0"/>
              <w:marRight w:val="0"/>
              <w:marTop w:val="0"/>
              <w:marBottom w:val="0"/>
              <w:divBdr>
                <w:top w:val="none" w:sz="0" w:space="0" w:color="auto"/>
                <w:left w:val="none" w:sz="0" w:space="0" w:color="auto"/>
                <w:bottom w:val="none" w:sz="0" w:space="0" w:color="auto"/>
                <w:right w:val="none" w:sz="0" w:space="0" w:color="auto"/>
              </w:divBdr>
            </w:div>
            <w:div w:id="361442438">
              <w:marLeft w:val="0"/>
              <w:marRight w:val="0"/>
              <w:marTop w:val="0"/>
              <w:marBottom w:val="0"/>
              <w:divBdr>
                <w:top w:val="none" w:sz="0" w:space="0" w:color="auto"/>
                <w:left w:val="none" w:sz="0" w:space="0" w:color="auto"/>
                <w:bottom w:val="none" w:sz="0" w:space="0" w:color="auto"/>
                <w:right w:val="none" w:sz="0" w:space="0" w:color="auto"/>
              </w:divBdr>
            </w:div>
            <w:div w:id="661855671">
              <w:marLeft w:val="0"/>
              <w:marRight w:val="0"/>
              <w:marTop w:val="0"/>
              <w:marBottom w:val="0"/>
              <w:divBdr>
                <w:top w:val="none" w:sz="0" w:space="0" w:color="auto"/>
                <w:left w:val="none" w:sz="0" w:space="0" w:color="auto"/>
                <w:bottom w:val="none" w:sz="0" w:space="0" w:color="auto"/>
                <w:right w:val="none" w:sz="0" w:space="0" w:color="auto"/>
              </w:divBdr>
            </w:div>
            <w:div w:id="389349751">
              <w:marLeft w:val="0"/>
              <w:marRight w:val="0"/>
              <w:marTop w:val="0"/>
              <w:marBottom w:val="0"/>
              <w:divBdr>
                <w:top w:val="none" w:sz="0" w:space="0" w:color="auto"/>
                <w:left w:val="none" w:sz="0" w:space="0" w:color="auto"/>
                <w:bottom w:val="none" w:sz="0" w:space="0" w:color="auto"/>
                <w:right w:val="none" w:sz="0" w:space="0" w:color="auto"/>
              </w:divBdr>
            </w:div>
            <w:div w:id="1029380726">
              <w:marLeft w:val="0"/>
              <w:marRight w:val="0"/>
              <w:marTop w:val="0"/>
              <w:marBottom w:val="0"/>
              <w:divBdr>
                <w:top w:val="none" w:sz="0" w:space="0" w:color="auto"/>
                <w:left w:val="none" w:sz="0" w:space="0" w:color="auto"/>
                <w:bottom w:val="none" w:sz="0" w:space="0" w:color="auto"/>
                <w:right w:val="none" w:sz="0" w:space="0" w:color="auto"/>
              </w:divBdr>
            </w:div>
            <w:div w:id="883251122">
              <w:marLeft w:val="0"/>
              <w:marRight w:val="0"/>
              <w:marTop w:val="0"/>
              <w:marBottom w:val="0"/>
              <w:divBdr>
                <w:top w:val="none" w:sz="0" w:space="0" w:color="auto"/>
                <w:left w:val="none" w:sz="0" w:space="0" w:color="auto"/>
                <w:bottom w:val="none" w:sz="0" w:space="0" w:color="auto"/>
                <w:right w:val="none" w:sz="0" w:space="0" w:color="auto"/>
              </w:divBdr>
            </w:div>
            <w:div w:id="1839348504">
              <w:marLeft w:val="0"/>
              <w:marRight w:val="0"/>
              <w:marTop w:val="0"/>
              <w:marBottom w:val="0"/>
              <w:divBdr>
                <w:top w:val="none" w:sz="0" w:space="0" w:color="auto"/>
                <w:left w:val="none" w:sz="0" w:space="0" w:color="auto"/>
                <w:bottom w:val="none" w:sz="0" w:space="0" w:color="auto"/>
                <w:right w:val="none" w:sz="0" w:space="0" w:color="auto"/>
              </w:divBdr>
            </w:div>
            <w:div w:id="305282607">
              <w:marLeft w:val="0"/>
              <w:marRight w:val="0"/>
              <w:marTop w:val="0"/>
              <w:marBottom w:val="0"/>
              <w:divBdr>
                <w:top w:val="none" w:sz="0" w:space="0" w:color="auto"/>
                <w:left w:val="none" w:sz="0" w:space="0" w:color="auto"/>
                <w:bottom w:val="none" w:sz="0" w:space="0" w:color="auto"/>
                <w:right w:val="none" w:sz="0" w:space="0" w:color="auto"/>
              </w:divBdr>
            </w:div>
            <w:div w:id="931817658">
              <w:marLeft w:val="0"/>
              <w:marRight w:val="0"/>
              <w:marTop w:val="0"/>
              <w:marBottom w:val="0"/>
              <w:divBdr>
                <w:top w:val="none" w:sz="0" w:space="0" w:color="auto"/>
                <w:left w:val="none" w:sz="0" w:space="0" w:color="auto"/>
                <w:bottom w:val="none" w:sz="0" w:space="0" w:color="auto"/>
                <w:right w:val="none" w:sz="0" w:space="0" w:color="auto"/>
              </w:divBdr>
            </w:div>
            <w:div w:id="1027873983">
              <w:marLeft w:val="0"/>
              <w:marRight w:val="0"/>
              <w:marTop w:val="0"/>
              <w:marBottom w:val="0"/>
              <w:divBdr>
                <w:top w:val="none" w:sz="0" w:space="0" w:color="auto"/>
                <w:left w:val="none" w:sz="0" w:space="0" w:color="auto"/>
                <w:bottom w:val="none" w:sz="0" w:space="0" w:color="auto"/>
                <w:right w:val="none" w:sz="0" w:space="0" w:color="auto"/>
              </w:divBdr>
            </w:div>
            <w:div w:id="1817140498">
              <w:marLeft w:val="0"/>
              <w:marRight w:val="0"/>
              <w:marTop w:val="0"/>
              <w:marBottom w:val="0"/>
              <w:divBdr>
                <w:top w:val="none" w:sz="0" w:space="0" w:color="auto"/>
                <w:left w:val="none" w:sz="0" w:space="0" w:color="auto"/>
                <w:bottom w:val="none" w:sz="0" w:space="0" w:color="auto"/>
                <w:right w:val="none" w:sz="0" w:space="0" w:color="auto"/>
              </w:divBdr>
            </w:div>
            <w:div w:id="1399749730">
              <w:marLeft w:val="0"/>
              <w:marRight w:val="0"/>
              <w:marTop w:val="0"/>
              <w:marBottom w:val="0"/>
              <w:divBdr>
                <w:top w:val="none" w:sz="0" w:space="0" w:color="auto"/>
                <w:left w:val="none" w:sz="0" w:space="0" w:color="auto"/>
                <w:bottom w:val="none" w:sz="0" w:space="0" w:color="auto"/>
                <w:right w:val="none" w:sz="0" w:space="0" w:color="auto"/>
              </w:divBdr>
            </w:div>
            <w:div w:id="828785036">
              <w:marLeft w:val="0"/>
              <w:marRight w:val="0"/>
              <w:marTop w:val="0"/>
              <w:marBottom w:val="0"/>
              <w:divBdr>
                <w:top w:val="none" w:sz="0" w:space="0" w:color="auto"/>
                <w:left w:val="none" w:sz="0" w:space="0" w:color="auto"/>
                <w:bottom w:val="none" w:sz="0" w:space="0" w:color="auto"/>
                <w:right w:val="none" w:sz="0" w:space="0" w:color="auto"/>
              </w:divBdr>
            </w:div>
            <w:div w:id="383143508">
              <w:marLeft w:val="0"/>
              <w:marRight w:val="0"/>
              <w:marTop w:val="0"/>
              <w:marBottom w:val="0"/>
              <w:divBdr>
                <w:top w:val="none" w:sz="0" w:space="0" w:color="auto"/>
                <w:left w:val="none" w:sz="0" w:space="0" w:color="auto"/>
                <w:bottom w:val="none" w:sz="0" w:space="0" w:color="auto"/>
                <w:right w:val="none" w:sz="0" w:space="0" w:color="auto"/>
              </w:divBdr>
            </w:div>
            <w:div w:id="1549872781">
              <w:marLeft w:val="0"/>
              <w:marRight w:val="0"/>
              <w:marTop w:val="0"/>
              <w:marBottom w:val="0"/>
              <w:divBdr>
                <w:top w:val="none" w:sz="0" w:space="0" w:color="auto"/>
                <w:left w:val="none" w:sz="0" w:space="0" w:color="auto"/>
                <w:bottom w:val="none" w:sz="0" w:space="0" w:color="auto"/>
                <w:right w:val="none" w:sz="0" w:space="0" w:color="auto"/>
              </w:divBdr>
            </w:div>
            <w:div w:id="1792552157">
              <w:marLeft w:val="0"/>
              <w:marRight w:val="0"/>
              <w:marTop w:val="0"/>
              <w:marBottom w:val="0"/>
              <w:divBdr>
                <w:top w:val="none" w:sz="0" w:space="0" w:color="auto"/>
                <w:left w:val="none" w:sz="0" w:space="0" w:color="auto"/>
                <w:bottom w:val="none" w:sz="0" w:space="0" w:color="auto"/>
                <w:right w:val="none" w:sz="0" w:space="0" w:color="auto"/>
              </w:divBdr>
            </w:div>
            <w:div w:id="88572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40602">
      <w:bodyDiv w:val="1"/>
      <w:marLeft w:val="0"/>
      <w:marRight w:val="0"/>
      <w:marTop w:val="0"/>
      <w:marBottom w:val="0"/>
      <w:divBdr>
        <w:top w:val="none" w:sz="0" w:space="0" w:color="auto"/>
        <w:left w:val="none" w:sz="0" w:space="0" w:color="auto"/>
        <w:bottom w:val="none" w:sz="0" w:space="0" w:color="auto"/>
        <w:right w:val="none" w:sz="0" w:space="0" w:color="auto"/>
      </w:divBdr>
      <w:divsChild>
        <w:div w:id="1816796263">
          <w:marLeft w:val="0"/>
          <w:marRight w:val="0"/>
          <w:marTop w:val="0"/>
          <w:marBottom w:val="0"/>
          <w:divBdr>
            <w:top w:val="none" w:sz="0" w:space="0" w:color="auto"/>
            <w:left w:val="none" w:sz="0" w:space="0" w:color="auto"/>
            <w:bottom w:val="none" w:sz="0" w:space="0" w:color="auto"/>
            <w:right w:val="none" w:sz="0" w:space="0" w:color="auto"/>
          </w:divBdr>
        </w:div>
        <w:div w:id="809596617">
          <w:marLeft w:val="0"/>
          <w:marRight w:val="0"/>
          <w:marTop w:val="0"/>
          <w:marBottom w:val="0"/>
          <w:divBdr>
            <w:top w:val="none" w:sz="0" w:space="0" w:color="auto"/>
            <w:left w:val="none" w:sz="0" w:space="0" w:color="auto"/>
            <w:bottom w:val="none" w:sz="0" w:space="0" w:color="auto"/>
            <w:right w:val="none" w:sz="0" w:space="0" w:color="auto"/>
          </w:divBdr>
        </w:div>
        <w:div w:id="948437636">
          <w:marLeft w:val="0"/>
          <w:marRight w:val="0"/>
          <w:marTop w:val="0"/>
          <w:marBottom w:val="0"/>
          <w:divBdr>
            <w:top w:val="none" w:sz="0" w:space="0" w:color="auto"/>
            <w:left w:val="none" w:sz="0" w:space="0" w:color="auto"/>
            <w:bottom w:val="none" w:sz="0" w:space="0" w:color="auto"/>
            <w:right w:val="none" w:sz="0" w:space="0" w:color="auto"/>
          </w:divBdr>
        </w:div>
        <w:div w:id="177623954">
          <w:marLeft w:val="0"/>
          <w:marRight w:val="0"/>
          <w:marTop w:val="0"/>
          <w:marBottom w:val="0"/>
          <w:divBdr>
            <w:top w:val="none" w:sz="0" w:space="0" w:color="auto"/>
            <w:left w:val="none" w:sz="0" w:space="0" w:color="auto"/>
            <w:bottom w:val="none" w:sz="0" w:space="0" w:color="auto"/>
            <w:right w:val="none" w:sz="0" w:space="0" w:color="auto"/>
          </w:divBdr>
        </w:div>
        <w:div w:id="939294671">
          <w:marLeft w:val="0"/>
          <w:marRight w:val="0"/>
          <w:marTop w:val="0"/>
          <w:marBottom w:val="0"/>
          <w:divBdr>
            <w:top w:val="none" w:sz="0" w:space="0" w:color="auto"/>
            <w:left w:val="none" w:sz="0" w:space="0" w:color="auto"/>
            <w:bottom w:val="none" w:sz="0" w:space="0" w:color="auto"/>
            <w:right w:val="none" w:sz="0" w:space="0" w:color="auto"/>
          </w:divBdr>
        </w:div>
        <w:div w:id="1569225210">
          <w:marLeft w:val="0"/>
          <w:marRight w:val="0"/>
          <w:marTop w:val="0"/>
          <w:marBottom w:val="0"/>
          <w:divBdr>
            <w:top w:val="none" w:sz="0" w:space="0" w:color="auto"/>
            <w:left w:val="none" w:sz="0" w:space="0" w:color="auto"/>
            <w:bottom w:val="none" w:sz="0" w:space="0" w:color="auto"/>
            <w:right w:val="none" w:sz="0" w:space="0" w:color="auto"/>
          </w:divBdr>
        </w:div>
        <w:div w:id="439421618">
          <w:marLeft w:val="0"/>
          <w:marRight w:val="0"/>
          <w:marTop w:val="0"/>
          <w:marBottom w:val="0"/>
          <w:divBdr>
            <w:top w:val="none" w:sz="0" w:space="0" w:color="auto"/>
            <w:left w:val="none" w:sz="0" w:space="0" w:color="auto"/>
            <w:bottom w:val="none" w:sz="0" w:space="0" w:color="auto"/>
            <w:right w:val="none" w:sz="0" w:space="0" w:color="auto"/>
          </w:divBdr>
        </w:div>
        <w:div w:id="1781561999">
          <w:marLeft w:val="0"/>
          <w:marRight w:val="0"/>
          <w:marTop w:val="0"/>
          <w:marBottom w:val="0"/>
          <w:divBdr>
            <w:top w:val="none" w:sz="0" w:space="0" w:color="auto"/>
            <w:left w:val="none" w:sz="0" w:space="0" w:color="auto"/>
            <w:bottom w:val="none" w:sz="0" w:space="0" w:color="auto"/>
            <w:right w:val="none" w:sz="0" w:space="0" w:color="auto"/>
          </w:divBdr>
        </w:div>
        <w:div w:id="1790314660">
          <w:marLeft w:val="0"/>
          <w:marRight w:val="0"/>
          <w:marTop w:val="0"/>
          <w:marBottom w:val="0"/>
          <w:divBdr>
            <w:top w:val="none" w:sz="0" w:space="0" w:color="auto"/>
            <w:left w:val="none" w:sz="0" w:space="0" w:color="auto"/>
            <w:bottom w:val="none" w:sz="0" w:space="0" w:color="auto"/>
            <w:right w:val="none" w:sz="0" w:space="0" w:color="auto"/>
          </w:divBdr>
        </w:div>
        <w:div w:id="2107965863">
          <w:marLeft w:val="0"/>
          <w:marRight w:val="0"/>
          <w:marTop w:val="0"/>
          <w:marBottom w:val="0"/>
          <w:divBdr>
            <w:top w:val="none" w:sz="0" w:space="0" w:color="auto"/>
            <w:left w:val="none" w:sz="0" w:space="0" w:color="auto"/>
            <w:bottom w:val="none" w:sz="0" w:space="0" w:color="auto"/>
            <w:right w:val="none" w:sz="0" w:space="0" w:color="auto"/>
          </w:divBdr>
        </w:div>
        <w:div w:id="1585262638">
          <w:marLeft w:val="0"/>
          <w:marRight w:val="0"/>
          <w:marTop w:val="0"/>
          <w:marBottom w:val="0"/>
          <w:divBdr>
            <w:top w:val="none" w:sz="0" w:space="0" w:color="auto"/>
            <w:left w:val="none" w:sz="0" w:space="0" w:color="auto"/>
            <w:bottom w:val="none" w:sz="0" w:space="0" w:color="auto"/>
            <w:right w:val="none" w:sz="0" w:space="0" w:color="auto"/>
          </w:divBdr>
        </w:div>
        <w:div w:id="2018728849">
          <w:marLeft w:val="0"/>
          <w:marRight w:val="0"/>
          <w:marTop w:val="0"/>
          <w:marBottom w:val="0"/>
          <w:divBdr>
            <w:top w:val="none" w:sz="0" w:space="0" w:color="auto"/>
            <w:left w:val="none" w:sz="0" w:space="0" w:color="auto"/>
            <w:bottom w:val="none" w:sz="0" w:space="0" w:color="auto"/>
            <w:right w:val="none" w:sz="0" w:space="0" w:color="auto"/>
          </w:divBdr>
        </w:div>
        <w:div w:id="1735085187">
          <w:marLeft w:val="0"/>
          <w:marRight w:val="0"/>
          <w:marTop w:val="0"/>
          <w:marBottom w:val="0"/>
          <w:divBdr>
            <w:top w:val="none" w:sz="0" w:space="0" w:color="auto"/>
            <w:left w:val="none" w:sz="0" w:space="0" w:color="auto"/>
            <w:bottom w:val="none" w:sz="0" w:space="0" w:color="auto"/>
            <w:right w:val="none" w:sz="0" w:space="0" w:color="auto"/>
          </w:divBdr>
        </w:div>
        <w:div w:id="1249731302">
          <w:marLeft w:val="0"/>
          <w:marRight w:val="0"/>
          <w:marTop w:val="0"/>
          <w:marBottom w:val="0"/>
          <w:divBdr>
            <w:top w:val="none" w:sz="0" w:space="0" w:color="auto"/>
            <w:left w:val="none" w:sz="0" w:space="0" w:color="auto"/>
            <w:bottom w:val="none" w:sz="0" w:space="0" w:color="auto"/>
            <w:right w:val="none" w:sz="0" w:space="0" w:color="auto"/>
          </w:divBdr>
        </w:div>
        <w:div w:id="1221021481">
          <w:marLeft w:val="0"/>
          <w:marRight w:val="0"/>
          <w:marTop w:val="0"/>
          <w:marBottom w:val="0"/>
          <w:divBdr>
            <w:top w:val="none" w:sz="0" w:space="0" w:color="auto"/>
            <w:left w:val="none" w:sz="0" w:space="0" w:color="auto"/>
            <w:bottom w:val="none" w:sz="0" w:space="0" w:color="auto"/>
            <w:right w:val="none" w:sz="0" w:space="0" w:color="auto"/>
          </w:divBdr>
        </w:div>
        <w:div w:id="1692561460">
          <w:marLeft w:val="0"/>
          <w:marRight w:val="0"/>
          <w:marTop w:val="0"/>
          <w:marBottom w:val="0"/>
          <w:divBdr>
            <w:top w:val="none" w:sz="0" w:space="0" w:color="auto"/>
            <w:left w:val="none" w:sz="0" w:space="0" w:color="auto"/>
            <w:bottom w:val="none" w:sz="0" w:space="0" w:color="auto"/>
            <w:right w:val="none" w:sz="0" w:space="0" w:color="auto"/>
          </w:divBdr>
        </w:div>
        <w:div w:id="927345596">
          <w:marLeft w:val="0"/>
          <w:marRight w:val="0"/>
          <w:marTop w:val="0"/>
          <w:marBottom w:val="0"/>
          <w:divBdr>
            <w:top w:val="none" w:sz="0" w:space="0" w:color="auto"/>
            <w:left w:val="none" w:sz="0" w:space="0" w:color="auto"/>
            <w:bottom w:val="none" w:sz="0" w:space="0" w:color="auto"/>
            <w:right w:val="none" w:sz="0" w:space="0" w:color="auto"/>
          </w:divBdr>
        </w:div>
        <w:div w:id="1462188055">
          <w:marLeft w:val="0"/>
          <w:marRight w:val="0"/>
          <w:marTop w:val="0"/>
          <w:marBottom w:val="0"/>
          <w:divBdr>
            <w:top w:val="none" w:sz="0" w:space="0" w:color="auto"/>
            <w:left w:val="none" w:sz="0" w:space="0" w:color="auto"/>
            <w:bottom w:val="none" w:sz="0" w:space="0" w:color="auto"/>
            <w:right w:val="none" w:sz="0" w:space="0" w:color="auto"/>
          </w:divBdr>
        </w:div>
      </w:divsChild>
    </w:div>
    <w:div w:id="2135514972">
      <w:bodyDiv w:val="1"/>
      <w:marLeft w:val="0"/>
      <w:marRight w:val="0"/>
      <w:marTop w:val="0"/>
      <w:marBottom w:val="0"/>
      <w:divBdr>
        <w:top w:val="none" w:sz="0" w:space="0" w:color="auto"/>
        <w:left w:val="none" w:sz="0" w:space="0" w:color="auto"/>
        <w:bottom w:val="none" w:sz="0" w:space="0" w:color="auto"/>
        <w:right w:val="none" w:sz="0" w:space="0" w:color="auto"/>
      </w:divBdr>
      <w:divsChild>
        <w:div w:id="1873877887">
          <w:marLeft w:val="30"/>
          <w:marRight w:val="285"/>
          <w:marTop w:val="120"/>
          <w:marBottom w:val="120"/>
          <w:divBdr>
            <w:top w:val="none" w:sz="0" w:space="0" w:color="auto"/>
            <w:left w:val="none" w:sz="0" w:space="0" w:color="auto"/>
            <w:bottom w:val="none" w:sz="0" w:space="0" w:color="auto"/>
            <w:right w:val="none" w:sz="0" w:space="0" w:color="auto"/>
          </w:divBdr>
          <w:divsChild>
            <w:div w:id="1517694315">
              <w:marLeft w:val="0"/>
              <w:marRight w:val="0"/>
              <w:marTop w:val="0"/>
              <w:marBottom w:val="0"/>
              <w:divBdr>
                <w:top w:val="none" w:sz="0" w:space="0" w:color="auto"/>
                <w:left w:val="none" w:sz="0" w:space="0" w:color="auto"/>
                <w:bottom w:val="none" w:sz="0" w:space="0" w:color="auto"/>
                <w:right w:val="none" w:sz="0" w:space="0" w:color="auto"/>
              </w:divBdr>
              <w:divsChild>
                <w:div w:id="2015767974">
                  <w:marLeft w:val="0"/>
                  <w:marRight w:val="0"/>
                  <w:marTop w:val="0"/>
                  <w:marBottom w:val="0"/>
                  <w:divBdr>
                    <w:top w:val="none" w:sz="0" w:space="0" w:color="auto"/>
                    <w:left w:val="none" w:sz="0" w:space="0" w:color="auto"/>
                    <w:bottom w:val="none" w:sz="0" w:space="0" w:color="auto"/>
                    <w:right w:val="none" w:sz="0" w:space="0" w:color="auto"/>
                  </w:divBdr>
                  <w:divsChild>
                    <w:div w:id="2028215204">
                      <w:marLeft w:val="0"/>
                      <w:marRight w:val="0"/>
                      <w:marTop w:val="0"/>
                      <w:marBottom w:val="0"/>
                      <w:divBdr>
                        <w:top w:val="none" w:sz="0" w:space="0" w:color="auto"/>
                        <w:left w:val="none" w:sz="0" w:space="0" w:color="auto"/>
                        <w:bottom w:val="none" w:sz="0" w:space="0" w:color="auto"/>
                        <w:right w:val="none" w:sz="0" w:space="0" w:color="auto"/>
                      </w:divBdr>
                      <w:divsChild>
                        <w:div w:id="1513445879">
                          <w:marLeft w:val="0"/>
                          <w:marRight w:val="0"/>
                          <w:marTop w:val="0"/>
                          <w:marBottom w:val="0"/>
                          <w:divBdr>
                            <w:top w:val="none" w:sz="0" w:space="0" w:color="auto"/>
                            <w:left w:val="none" w:sz="0" w:space="0" w:color="auto"/>
                            <w:bottom w:val="none" w:sz="0" w:space="0" w:color="auto"/>
                            <w:right w:val="none" w:sz="0" w:space="0" w:color="auto"/>
                          </w:divBdr>
                          <w:divsChild>
                            <w:div w:id="1612199899">
                              <w:marLeft w:val="0"/>
                              <w:marRight w:val="0"/>
                              <w:marTop w:val="0"/>
                              <w:marBottom w:val="0"/>
                              <w:divBdr>
                                <w:top w:val="none" w:sz="0" w:space="0" w:color="auto"/>
                                <w:left w:val="none" w:sz="0" w:space="0" w:color="auto"/>
                                <w:bottom w:val="none" w:sz="0" w:space="0" w:color="auto"/>
                                <w:right w:val="none" w:sz="0" w:space="0" w:color="auto"/>
                              </w:divBdr>
                              <w:divsChild>
                                <w:div w:id="1273436888">
                                  <w:marLeft w:val="0"/>
                                  <w:marRight w:val="0"/>
                                  <w:marTop w:val="0"/>
                                  <w:marBottom w:val="0"/>
                                  <w:divBdr>
                                    <w:top w:val="none" w:sz="0" w:space="0" w:color="auto"/>
                                    <w:left w:val="none" w:sz="0" w:space="0" w:color="auto"/>
                                    <w:bottom w:val="none" w:sz="0" w:space="0" w:color="auto"/>
                                    <w:right w:val="none" w:sz="0" w:space="0" w:color="auto"/>
                                  </w:divBdr>
                                  <w:divsChild>
                                    <w:div w:id="1385525455">
                                      <w:marLeft w:val="0"/>
                                      <w:marRight w:val="0"/>
                                      <w:marTop w:val="0"/>
                                      <w:marBottom w:val="0"/>
                                      <w:divBdr>
                                        <w:top w:val="none" w:sz="0" w:space="0" w:color="auto"/>
                                        <w:left w:val="none" w:sz="0" w:space="0" w:color="auto"/>
                                        <w:bottom w:val="none" w:sz="0" w:space="0" w:color="auto"/>
                                        <w:right w:val="none" w:sz="0" w:space="0" w:color="auto"/>
                                      </w:divBdr>
                                      <w:divsChild>
                                        <w:div w:id="147429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0991022">
          <w:marLeft w:val="0"/>
          <w:marRight w:val="0"/>
          <w:marTop w:val="0"/>
          <w:marBottom w:val="0"/>
          <w:divBdr>
            <w:top w:val="none" w:sz="0" w:space="0" w:color="auto"/>
            <w:left w:val="none" w:sz="0" w:space="0" w:color="auto"/>
            <w:bottom w:val="none" w:sz="0" w:space="0" w:color="auto"/>
            <w:right w:val="none" w:sz="0" w:space="0" w:color="auto"/>
          </w:divBdr>
          <w:divsChild>
            <w:div w:id="1287541339">
              <w:marLeft w:val="0"/>
              <w:marRight w:val="0"/>
              <w:marTop w:val="0"/>
              <w:marBottom w:val="0"/>
              <w:divBdr>
                <w:top w:val="none" w:sz="0" w:space="0" w:color="auto"/>
                <w:left w:val="none" w:sz="0" w:space="0" w:color="auto"/>
                <w:bottom w:val="none" w:sz="0" w:space="0" w:color="auto"/>
                <w:right w:val="none" w:sz="0" w:space="0" w:color="auto"/>
              </w:divBdr>
              <w:divsChild>
                <w:div w:id="271278789">
                  <w:marLeft w:val="0"/>
                  <w:marRight w:val="0"/>
                  <w:marTop w:val="0"/>
                  <w:marBottom w:val="0"/>
                  <w:divBdr>
                    <w:top w:val="none" w:sz="0" w:space="0" w:color="auto"/>
                    <w:left w:val="none" w:sz="0" w:space="0" w:color="auto"/>
                    <w:bottom w:val="none" w:sz="0" w:space="0" w:color="auto"/>
                    <w:right w:val="none" w:sz="0" w:space="0" w:color="auto"/>
                  </w:divBdr>
                  <w:divsChild>
                    <w:div w:id="549926970">
                      <w:marLeft w:val="0"/>
                      <w:marRight w:val="0"/>
                      <w:marTop w:val="0"/>
                      <w:marBottom w:val="0"/>
                      <w:divBdr>
                        <w:top w:val="none" w:sz="0" w:space="0" w:color="auto"/>
                        <w:left w:val="none" w:sz="0" w:space="0" w:color="auto"/>
                        <w:bottom w:val="none" w:sz="0" w:space="0" w:color="auto"/>
                        <w:right w:val="none" w:sz="0" w:space="0" w:color="auto"/>
                      </w:divBdr>
                      <w:divsChild>
                        <w:div w:id="507718306">
                          <w:marLeft w:val="0"/>
                          <w:marRight w:val="0"/>
                          <w:marTop w:val="0"/>
                          <w:marBottom w:val="0"/>
                          <w:divBdr>
                            <w:top w:val="none" w:sz="0" w:space="0" w:color="auto"/>
                            <w:left w:val="none" w:sz="0" w:space="0" w:color="auto"/>
                            <w:bottom w:val="none" w:sz="0" w:space="0" w:color="auto"/>
                            <w:right w:val="none" w:sz="0" w:space="0" w:color="auto"/>
                          </w:divBdr>
                          <w:divsChild>
                            <w:div w:id="650257745">
                              <w:marLeft w:val="0"/>
                              <w:marRight w:val="0"/>
                              <w:marTop w:val="0"/>
                              <w:marBottom w:val="0"/>
                              <w:divBdr>
                                <w:top w:val="none" w:sz="0" w:space="0" w:color="auto"/>
                                <w:left w:val="none" w:sz="0" w:space="0" w:color="auto"/>
                                <w:bottom w:val="none" w:sz="0" w:space="0" w:color="auto"/>
                                <w:right w:val="none" w:sz="0" w:space="0" w:color="auto"/>
                              </w:divBdr>
                              <w:divsChild>
                                <w:div w:id="572204209">
                                  <w:marLeft w:val="30"/>
                                  <w:marRight w:val="30"/>
                                  <w:marTop w:val="30"/>
                                  <w:marBottom w:val="120"/>
                                  <w:divBdr>
                                    <w:top w:val="none" w:sz="0" w:space="0" w:color="auto"/>
                                    <w:left w:val="none" w:sz="0" w:space="0" w:color="auto"/>
                                    <w:bottom w:val="none" w:sz="0" w:space="0" w:color="auto"/>
                                    <w:right w:val="none" w:sz="0" w:space="0" w:color="auto"/>
                                  </w:divBdr>
                                  <w:divsChild>
                                    <w:div w:id="1300378614">
                                      <w:marLeft w:val="0"/>
                                      <w:marRight w:val="0"/>
                                      <w:marTop w:val="0"/>
                                      <w:marBottom w:val="0"/>
                                      <w:divBdr>
                                        <w:top w:val="none" w:sz="0" w:space="0" w:color="auto"/>
                                        <w:left w:val="none" w:sz="0" w:space="0" w:color="auto"/>
                                        <w:bottom w:val="none" w:sz="0" w:space="0" w:color="auto"/>
                                        <w:right w:val="none" w:sz="0" w:space="0" w:color="auto"/>
                                      </w:divBdr>
                                      <w:divsChild>
                                        <w:div w:id="1690138528">
                                          <w:marLeft w:val="0"/>
                                          <w:marRight w:val="0"/>
                                          <w:marTop w:val="0"/>
                                          <w:marBottom w:val="0"/>
                                          <w:divBdr>
                                            <w:top w:val="none" w:sz="0" w:space="0" w:color="auto"/>
                                            <w:left w:val="none" w:sz="0" w:space="0" w:color="auto"/>
                                            <w:bottom w:val="none" w:sz="0" w:space="0" w:color="auto"/>
                                            <w:right w:val="none" w:sz="0" w:space="0" w:color="auto"/>
                                          </w:divBdr>
                                          <w:divsChild>
                                            <w:div w:id="552153163">
                                              <w:marLeft w:val="0"/>
                                              <w:marRight w:val="0"/>
                                              <w:marTop w:val="0"/>
                                              <w:marBottom w:val="0"/>
                                              <w:divBdr>
                                                <w:top w:val="none" w:sz="0" w:space="0" w:color="auto"/>
                                                <w:left w:val="none" w:sz="0" w:space="0" w:color="auto"/>
                                                <w:bottom w:val="none" w:sz="0" w:space="0" w:color="auto"/>
                                                <w:right w:val="none" w:sz="0" w:space="0" w:color="auto"/>
                                              </w:divBdr>
                                              <w:divsChild>
                                                <w:div w:id="1624731481">
                                                  <w:marLeft w:val="0"/>
                                                  <w:marRight w:val="120"/>
                                                  <w:marTop w:val="0"/>
                                                  <w:marBottom w:val="0"/>
                                                  <w:divBdr>
                                                    <w:top w:val="none" w:sz="0" w:space="0" w:color="auto"/>
                                                    <w:left w:val="none" w:sz="0" w:space="0" w:color="auto"/>
                                                    <w:bottom w:val="none" w:sz="0" w:space="0" w:color="auto"/>
                                                    <w:right w:val="none" w:sz="0" w:space="0" w:color="auto"/>
                                                  </w:divBdr>
                                                </w:div>
                                                <w:div w:id="920529607">
                                                  <w:marLeft w:val="60"/>
                                                  <w:marRight w:val="0"/>
                                                  <w:marTop w:val="0"/>
                                                  <w:marBottom w:val="60"/>
                                                  <w:divBdr>
                                                    <w:top w:val="none" w:sz="0" w:space="0" w:color="auto"/>
                                                    <w:left w:val="none" w:sz="0" w:space="0" w:color="auto"/>
                                                    <w:bottom w:val="none" w:sz="0" w:space="0" w:color="auto"/>
                                                    <w:right w:val="none" w:sz="0" w:space="0" w:color="auto"/>
                                                  </w:divBdr>
                                                  <w:divsChild>
                                                    <w:div w:id="1346203303">
                                                      <w:marLeft w:val="0"/>
                                                      <w:marRight w:val="0"/>
                                                      <w:marTop w:val="0"/>
                                                      <w:marBottom w:val="0"/>
                                                      <w:divBdr>
                                                        <w:top w:val="none" w:sz="0" w:space="0" w:color="auto"/>
                                                        <w:left w:val="none" w:sz="0" w:space="0" w:color="auto"/>
                                                        <w:bottom w:val="none" w:sz="0" w:space="0" w:color="auto"/>
                                                        <w:right w:val="none" w:sz="0" w:space="0" w:color="auto"/>
                                                      </w:divBdr>
                                                      <w:divsChild>
                                                        <w:div w:id="150119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994744">
                                              <w:marLeft w:val="0"/>
                                              <w:marRight w:val="0"/>
                                              <w:marTop w:val="0"/>
                                              <w:marBottom w:val="0"/>
                                              <w:divBdr>
                                                <w:top w:val="none" w:sz="0" w:space="0" w:color="auto"/>
                                                <w:left w:val="none" w:sz="0" w:space="0" w:color="auto"/>
                                                <w:bottom w:val="none" w:sz="0" w:space="0" w:color="auto"/>
                                                <w:right w:val="none" w:sz="0" w:space="0" w:color="auto"/>
                                              </w:divBdr>
                                              <w:divsChild>
                                                <w:div w:id="312416154">
                                                  <w:marLeft w:val="0"/>
                                                  <w:marRight w:val="0"/>
                                                  <w:marTop w:val="0"/>
                                                  <w:marBottom w:val="0"/>
                                                  <w:divBdr>
                                                    <w:top w:val="none" w:sz="0" w:space="0" w:color="auto"/>
                                                    <w:left w:val="none" w:sz="0" w:space="0" w:color="auto"/>
                                                    <w:bottom w:val="none" w:sz="0" w:space="0" w:color="auto"/>
                                                    <w:right w:val="none" w:sz="0" w:space="0" w:color="auto"/>
                                                  </w:divBdr>
                                                  <w:divsChild>
                                                    <w:div w:id="209197695">
                                                      <w:marLeft w:val="0"/>
                                                      <w:marRight w:val="0"/>
                                                      <w:marTop w:val="0"/>
                                                      <w:marBottom w:val="0"/>
                                                      <w:divBdr>
                                                        <w:top w:val="none" w:sz="0" w:space="0" w:color="auto"/>
                                                        <w:left w:val="none" w:sz="0" w:space="0" w:color="auto"/>
                                                        <w:bottom w:val="none" w:sz="0" w:space="0" w:color="auto"/>
                                                        <w:right w:val="none" w:sz="0" w:space="0" w:color="auto"/>
                                                      </w:divBdr>
                                                      <w:divsChild>
                                                        <w:div w:id="542644993">
                                                          <w:marLeft w:val="0"/>
                                                          <w:marRight w:val="0"/>
                                                          <w:marTop w:val="0"/>
                                                          <w:marBottom w:val="0"/>
                                                          <w:divBdr>
                                                            <w:top w:val="none" w:sz="0" w:space="0" w:color="auto"/>
                                                            <w:left w:val="none" w:sz="0" w:space="0" w:color="auto"/>
                                                            <w:bottom w:val="none" w:sz="0" w:space="0" w:color="auto"/>
                                                            <w:right w:val="none" w:sz="0" w:space="0" w:color="auto"/>
                                                          </w:divBdr>
                                                          <w:divsChild>
                                                            <w:div w:id="1857840950">
                                                              <w:marLeft w:val="0"/>
                                                              <w:marRight w:val="0"/>
                                                              <w:marTop w:val="0"/>
                                                              <w:marBottom w:val="0"/>
                                                              <w:divBdr>
                                                                <w:top w:val="none" w:sz="0" w:space="0" w:color="auto"/>
                                                                <w:left w:val="none" w:sz="0" w:space="0" w:color="auto"/>
                                                                <w:bottom w:val="none" w:sz="0" w:space="0" w:color="auto"/>
                                                                <w:right w:val="none" w:sz="0" w:space="0" w:color="auto"/>
                                                              </w:divBdr>
                                                              <w:divsChild>
                                                                <w:div w:id="141481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69811">
                                                      <w:marLeft w:val="0"/>
                                                      <w:marRight w:val="0"/>
                                                      <w:marTop w:val="0"/>
                                                      <w:marBottom w:val="0"/>
                                                      <w:divBdr>
                                                        <w:top w:val="none" w:sz="0" w:space="0" w:color="auto"/>
                                                        <w:left w:val="none" w:sz="0" w:space="0" w:color="auto"/>
                                                        <w:bottom w:val="none" w:sz="0" w:space="0" w:color="auto"/>
                                                        <w:right w:val="none" w:sz="0" w:space="0" w:color="auto"/>
                                                      </w:divBdr>
                                                      <w:divsChild>
                                                        <w:div w:id="611590646">
                                                          <w:marLeft w:val="0"/>
                                                          <w:marRight w:val="0"/>
                                                          <w:marTop w:val="0"/>
                                                          <w:marBottom w:val="0"/>
                                                          <w:divBdr>
                                                            <w:top w:val="none" w:sz="0" w:space="0" w:color="auto"/>
                                                            <w:left w:val="none" w:sz="0" w:space="0" w:color="auto"/>
                                                            <w:bottom w:val="none" w:sz="0" w:space="0" w:color="auto"/>
                                                            <w:right w:val="none" w:sz="0" w:space="0" w:color="auto"/>
                                                          </w:divBdr>
                                                          <w:divsChild>
                                                            <w:div w:id="8207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896765">
                                                      <w:marLeft w:val="0"/>
                                                      <w:marRight w:val="0"/>
                                                      <w:marTop w:val="0"/>
                                                      <w:marBottom w:val="0"/>
                                                      <w:divBdr>
                                                        <w:top w:val="none" w:sz="0" w:space="0" w:color="auto"/>
                                                        <w:left w:val="none" w:sz="0" w:space="0" w:color="auto"/>
                                                        <w:bottom w:val="none" w:sz="0" w:space="0" w:color="auto"/>
                                                        <w:right w:val="none" w:sz="0" w:space="0" w:color="auto"/>
                                                      </w:divBdr>
                                                      <w:divsChild>
                                                        <w:div w:id="747650258">
                                                          <w:marLeft w:val="0"/>
                                                          <w:marRight w:val="0"/>
                                                          <w:marTop w:val="0"/>
                                                          <w:marBottom w:val="0"/>
                                                          <w:divBdr>
                                                            <w:top w:val="none" w:sz="0" w:space="0" w:color="auto"/>
                                                            <w:left w:val="none" w:sz="0" w:space="0" w:color="auto"/>
                                                            <w:bottom w:val="none" w:sz="0" w:space="0" w:color="auto"/>
                                                            <w:right w:val="none" w:sz="0" w:space="0" w:color="auto"/>
                                                          </w:divBdr>
                                                          <w:divsChild>
                                                            <w:div w:id="98659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322820">
                                                      <w:marLeft w:val="0"/>
                                                      <w:marRight w:val="0"/>
                                                      <w:marTop w:val="0"/>
                                                      <w:marBottom w:val="0"/>
                                                      <w:divBdr>
                                                        <w:top w:val="none" w:sz="0" w:space="0" w:color="auto"/>
                                                        <w:left w:val="none" w:sz="0" w:space="0" w:color="auto"/>
                                                        <w:bottom w:val="none" w:sz="0" w:space="0" w:color="auto"/>
                                                        <w:right w:val="none" w:sz="0" w:space="0" w:color="auto"/>
                                                      </w:divBdr>
                                                      <w:divsChild>
                                                        <w:div w:id="1242327870">
                                                          <w:marLeft w:val="0"/>
                                                          <w:marRight w:val="0"/>
                                                          <w:marTop w:val="0"/>
                                                          <w:marBottom w:val="0"/>
                                                          <w:divBdr>
                                                            <w:top w:val="none" w:sz="0" w:space="0" w:color="auto"/>
                                                            <w:left w:val="none" w:sz="0" w:space="0" w:color="auto"/>
                                                            <w:bottom w:val="none" w:sz="0" w:space="0" w:color="auto"/>
                                                            <w:right w:val="none" w:sz="0" w:space="0" w:color="auto"/>
                                                          </w:divBdr>
                                                          <w:divsChild>
                                                            <w:div w:id="36406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553900">
                                                      <w:marLeft w:val="0"/>
                                                      <w:marRight w:val="0"/>
                                                      <w:marTop w:val="0"/>
                                                      <w:marBottom w:val="0"/>
                                                      <w:divBdr>
                                                        <w:top w:val="none" w:sz="0" w:space="0" w:color="auto"/>
                                                        <w:left w:val="none" w:sz="0" w:space="0" w:color="auto"/>
                                                        <w:bottom w:val="none" w:sz="0" w:space="0" w:color="auto"/>
                                                        <w:right w:val="none" w:sz="0" w:space="0" w:color="auto"/>
                                                      </w:divBdr>
                                                      <w:divsChild>
                                                        <w:div w:id="121701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998696">
                                          <w:marLeft w:val="720"/>
                                          <w:marRight w:val="0"/>
                                          <w:marTop w:val="0"/>
                                          <w:marBottom w:val="0"/>
                                          <w:divBdr>
                                            <w:top w:val="none" w:sz="0" w:space="0" w:color="auto"/>
                                            <w:left w:val="none" w:sz="0" w:space="0" w:color="auto"/>
                                            <w:bottom w:val="none" w:sz="0" w:space="0" w:color="auto"/>
                                            <w:right w:val="none" w:sz="0" w:space="0" w:color="auto"/>
                                          </w:divBdr>
                                          <w:divsChild>
                                            <w:div w:id="344289400">
                                              <w:marLeft w:val="0"/>
                                              <w:marRight w:val="0"/>
                                              <w:marTop w:val="0"/>
                                              <w:marBottom w:val="0"/>
                                              <w:divBdr>
                                                <w:top w:val="none" w:sz="0" w:space="0" w:color="auto"/>
                                                <w:left w:val="none" w:sz="0" w:space="0" w:color="auto"/>
                                                <w:bottom w:val="none" w:sz="0" w:space="0" w:color="auto"/>
                                                <w:right w:val="none" w:sz="0" w:space="0" w:color="auto"/>
                                              </w:divBdr>
                                              <w:divsChild>
                                                <w:div w:id="53166155">
                                                  <w:marLeft w:val="0"/>
                                                  <w:marRight w:val="0"/>
                                                  <w:marTop w:val="0"/>
                                                  <w:marBottom w:val="0"/>
                                                  <w:divBdr>
                                                    <w:top w:val="none" w:sz="0" w:space="0" w:color="auto"/>
                                                    <w:left w:val="none" w:sz="0" w:space="0" w:color="auto"/>
                                                    <w:bottom w:val="none" w:sz="0" w:space="0" w:color="auto"/>
                                                    <w:right w:val="none" w:sz="0" w:space="0" w:color="auto"/>
                                                  </w:divBdr>
                                                  <w:divsChild>
                                                    <w:div w:id="763645494">
                                                      <w:marLeft w:val="0"/>
                                                      <w:marRight w:val="0"/>
                                                      <w:marTop w:val="0"/>
                                                      <w:marBottom w:val="0"/>
                                                      <w:divBdr>
                                                        <w:top w:val="none" w:sz="0" w:space="0" w:color="auto"/>
                                                        <w:left w:val="none" w:sz="0" w:space="0" w:color="auto"/>
                                                        <w:bottom w:val="none" w:sz="0" w:space="0" w:color="auto"/>
                                                        <w:right w:val="none" w:sz="0" w:space="0" w:color="auto"/>
                                                      </w:divBdr>
                                                      <w:divsChild>
                                                        <w:div w:id="205794388">
                                                          <w:marLeft w:val="0"/>
                                                          <w:marRight w:val="0"/>
                                                          <w:marTop w:val="0"/>
                                                          <w:marBottom w:val="0"/>
                                                          <w:divBdr>
                                                            <w:top w:val="none" w:sz="0" w:space="0" w:color="auto"/>
                                                            <w:left w:val="none" w:sz="0" w:space="0" w:color="auto"/>
                                                            <w:bottom w:val="none" w:sz="0" w:space="0" w:color="auto"/>
                                                            <w:right w:val="none" w:sz="0" w:space="0" w:color="auto"/>
                                                          </w:divBdr>
                                                          <w:divsChild>
                                                            <w:div w:id="156614550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369183943">
                                              <w:marLeft w:val="270"/>
                                              <w:marRight w:val="150"/>
                                              <w:marTop w:val="0"/>
                                              <w:marBottom w:val="0"/>
                                              <w:divBdr>
                                                <w:top w:val="none" w:sz="0" w:space="0" w:color="auto"/>
                                                <w:left w:val="none" w:sz="0" w:space="0" w:color="auto"/>
                                                <w:bottom w:val="none" w:sz="0" w:space="0" w:color="auto"/>
                                                <w:right w:val="none" w:sz="0" w:space="0" w:color="auto"/>
                                              </w:divBdr>
                                            </w:div>
                                          </w:divsChild>
                                        </w:div>
                                        <w:div w:id="1093014408">
                                          <w:marLeft w:val="-180"/>
                                          <w:marRight w:val="-180"/>
                                          <w:marTop w:val="0"/>
                                          <w:marBottom w:val="0"/>
                                          <w:divBdr>
                                            <w:top w:val="none" w:sz="0" w:space="0" w:color="auto"/>
                                            <w:left w:val="none" w:sz="0" w:space="0" w:color="auto"/>
                                            <w:bottom w:val="none" w:sz="0" w:space="0" w:color="auto"/>
                                            <w:right w:val="none" w:sz="0" w:space="0" w:color="auto"/>
                                          </w:divBdr>
                                          <w:divsChild>
                                            <w:div w:id="612858980">
                                              <w:marLeft w:val="0"/>
                                              <w:marRight w:val="0"/>
                                              <w:marTop w:val="0"/>
                                              <w:marBottom w:val="0"/>
                                              <w:divBdr>
                                                <w:top w:val="none" w:sz="0" w:space="0" w:color="auto"/>
                                                <w:left w:val="none" w:sz="0" w:space="0" w:color="auto"/>
                                                <w:bottom w:val="none" w:sz="0" w:space="0" w:color="auto"/>
                                                <w:right w:val="none" w:sz="0" w:space="0" w:color="auto"/>
                                              </w:divBdr>
                                              <w:divsChild>
                                                <w:div w:id="1021708056">
                                                  <w:marLeft w:val="0"/>
                                                  <w:marRight w:val="0"/>
                                                  <w:marTop w:val="0"/>
                                                  <w:marBottom w:val="0"/>
                                                  <w:divBdr>
                                                    <w:top w:val="single" w:sz="6" w:space="0" w:color="D1D1D1"/>
                                                    <w:left w:val="none" w:sz="0" w:space="0" w:color="F5F5F5"/>
                                                    <w:bottom w:val="single" w:sz="6" w:space="0" w:color="D1D1D1"/>
                                                    <w:right w:val="none" w:sz="0" w:space="0" w:color="F5F5F5"/>
                                                  </w:divBdr>
                                                  <w:divsChild>
                                                    <w:div w:id="1845782621">
                                                      <w:marLeft w:val="0"/>
                                                      <w:marRight w:val="0"/>
                                                      <w:marTop w:val="0"/>
                                                      <w:marBottom w:val="0"/>
                                                      <w:divBdr>
                                                        <w:top w:val="none" w:sz="0" w:space="0" w:color="auto"/>
                                                        <w:left w:val="none" w:sz="0" w:space="0" w:color="auto"/>
                                                        <w:bottom w:val="none" w:sz="0" w:space="0" w:color="auto"/>
                                                        <w:right w:val="none" w:sz="0" w:space="0" w:color="auto"/>
                                                      </w:divBdr>
                                                    </w:div>
                                                    <w:div w:id="1809980539">
                                                      <w:marLeft w:val="0"/>
                                                      <w:marRight w:val="0"/>
                                                      <w:marTop w:val="0"/>
                                                      <w:marBottom w:val="0"/>
                                                      <w:divBdr>
                                                        <w:top w:val="none" w:sz="0" w:space="0" w:color="auto"/>
                                                        <w:left w:val="none" w:sz="0" w:space="0" w:color="auto"/>
                                                        <w:bottom w:val="none" w:sz="0" w:space="0" w:color="auto"/>
                                                        <w:right w:val="none" w:sz="0" w:space="0" w:color="auto"/>
                                                      </w:divBdr>
                                                      <w:divsChild>
                                                        <w:div w:id="152675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8770415">
                                      <w:marLeft w:val="780"/>
                                      <w:marRight w:val="0"/>
                                      <w:marTop w:val="180"/>
                                      <w:marBottom w:val="0"/>
                                      <w:divBdr>
                                        <w:top w:val="none" w:sz="0" w:space="0" w:color="auto"/>
                                        <w:left w:val="none" w:sz="0" w:space="0" w:color="auto"/>
                                        <w:bottom w:val="none" w:sz="0" w:space="0" w:color="auto"/>
                                        <w:right w:val="none" w:sz="0" w:space="0" w:color="auto"/>
                                      </w:divBdr>
                                    </w:div>
                                    <w:div w:id="1755206289">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564424">
              <w:marLeft w:val="0"/>
              <w:marRight w:val="0"/>
              <w:marTop w:val="0"/>
              <w:marBottom w:val="0"/>
              <w:divBdr>
                <w:top w:val="none" w:sz="0" w:space="0" w:color="auto"/>
                <w:left w:val="none" w:sz="0" w:space="0" w:color="auto"/>
                <w:bottom w:val="none" w:sz="0" w:space="0" w:color="auto"/>
                <w:right w:val="none" w:sz="0" w:space="0" w:color="auto"/>
              </w:divBdr>
              <w:divsChild>
                <w:div w:id="1055933387">
                  <w:marLeft w:val="0"/>
                  <w:marRight w:val="0"/>
                  <w:marTop w:val="0"/>
                  <w:marBottom w:val="0"/>
                  <w:divBdr>
                    <w:top w:val="none" w:sz="0" w:space="0" w:color="auto"/>
                    <w:left w:val="none" w:sz="0" w:space="0" w:color="auto"/>
                    <w:bottom w:val="none" w:sz="0" w:space="0" w:color="auto"/>
                    <w:right w:val="none" w:sz="0" w:space="0" w:color="auto"/>
                  </w:divBdr>
                  <w:divsChild>
                    <w:div w:id="1850557349">
                      <w:marLeft w:val="30"/>
                      <w:marRight w:val="30"/>
                      <w:marTop w:val="120"/>
                      <w:marBottom w:val="120"/>
                      <w:divBdr>
                        <w:top w:val="none" w:sz="0" w:space="0" w:color="auto"/>
                        <w:left w:val="none" w:sz="0" w:space="0" w:color="auto"/>
                        <w:bottom w:val="none" w:sz="0" w:space="0" w:color="auto"/>
                        <w:right w:val="none" w:sz="0" w:space="0" w:color="auto"/>
                      </w:divBdr>
                      <w:divsChild>
                        <w:div w:id="105348982">
                          <w:marLeft w:val="0"/>
                          <w:marRight w:val="120"/>
                          <w:marTop w:val="0"/>
                          <w:marBottom w:val="0"/>
                          <w:divBdr>
                            <w:top w:val="none" w:sz="0" w:space="0" w:color="auto"/>
                            <w:left w:val="none" w:sz="0" w:space="0" w:color="auto"/>
                            <w:bottom w:val="none" w:sz="0" w:space="0" w:color="auto"/>
                            <w:right w:val="none" w:sz="0" w:space="0" w:color="auto"/>
                          </w:divBdr>
                        </w:div>
                        <w:div w:id="72896751">
                          <w:marLeft w:val="780"/>
                          <w:marRight w:val="135"/>
                          <w:marTop w:val="0"/>
                          <w:marBottom w:val="0"/>
                          <w:divBdr>
                            <w:top w:val="none" w:sz="0" w:space="0" w:color="auto"/>
                            <w:left w:val="none" w:sz="0" w:space="0" w:color="auto"/>
                            <w:bottom w:val="none" w:sz="0" w:space="0" w:color="auto"/>
                            <w:right w:val="none" w:sz="0" w:space="0" w:color="auto"/>
                          </w:divBdr>
                          <w:divsChild>
                            <w:div w:id="12612621">
                              <w:marLeft w:val="0"/>
                              <w:marRight w:val="0"/>
                              <w:marTop w:val="0"/>
                              <w:marBottom w:val="0"/>
                              <w:divBdr>
                                <w:top w:val="none" w:sz="0" w:space="0" w:color="auto"/>
                                <w:left w:val="none" w:sz="0" w:space="0" w:color="auto"/>
                                <w:bottom w:val="none" w:sz="0" w:space="0" w:color="auto"/>
                                <w:right w:val="none" w:sz="0" w:space="0" w:color="auto"/>
                              </w:divBdr>
                            </w:div>
                            <w:div w:id="1325402660">
                              <w:marLeft w:val="0"/>
                              <w:marRight w:val="0"/>
                              <w:marTop w:val="75"/>
                              <w:marBottom w:val="0"/>
                              <w:divBdr>
                                <w:top w:val="none" w:sz="0" w:space="0" w:color="auto"/>
                                <w:left w:val="none" w:sz="0" w:space="0" w:color="auto"/>
                                <w:bottom w:val="none" w:sz="0" w:space="0" w:color="auto"/>
                                <w:right w:val="none" w:sz="0" w:space="0" w:color="auto"/>
                              </w:divBdr>
                              <w:divsChild>
                                <w:div w:id="1394156541">
                                  <w:marLeft w:val="900"/>
                                  <w:marRight w:val="0"/>
                                  <w:marTop w:val="0"/>
                                  <w:marBottom w:val="0"/>
                                  <w:divBdr>
                                    <w:top w:val="none" w:sz="0" w:space="0" w:color="auto"/>
                                    <w:left w:val="none" w:sz="0" w:space="0" w:color="auto"/>
                                    <w:bottom w:val="none" w:sz="0" w:space="0" w:color="auto"/>
                                    <w:right w:val="none" w:sz="0" w:space="0" w:color="auto"/>
                                  </w:divBdr>
                                </w:div>
                                <w:div w:id="84424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533671">
              <w:marLeft w:val="0"/>
              <w:marRight w:val="0"/>
              <w:marTop w:val="0"/>
              <w:marBottom w:val="0"/>
              <w:divBdr>
                <w:top w:val="none" w:sz="0" w:space="0" w:color="auto"/>
                <w:left w:val="none" w:sz="0" w:space="0" w:color="auto"/>
                <w:bottom w:val="none" w:sz="0" w:space="0" w:color="auto"/>
                <w:right w:val="none" w:sz="0" w:space="0" w:color="auto"/>
              </w:divBdr>
              <w:divsChild>
                <w:div w:id="1274094026">
                  <w:marLeft w:val="0"/>
                  <w:marRight w:val="0"/>
                  <w:marTop w:val="0"/>
                  <w:marBottom w:val="0"/>
                  <w:divBdr>
                    <w:top w:val="none" w:sz="0" w:space="0" w:color="auto"/>
                    <w:left w:val="none" w:sz="0" w:space="0" w:color="auto"/>
                    <w:bottom w:val="none" w:sz="0" w:space="0" w:color="auto"/>
                    <w:right w:val="none" w:sz="0" w:space="0" w:color="auto"/>
                  </w:divBdr>
                  <w:divsChild>
                    <w:div w:id="1829252208">
                      <w:marLeft w:val="0"/>
                      <w:marRight w:val="0"/>
                      <w:marTop w:val="0"/>
                      <w:marBottom w:val="0"/>
                      <w:divBdr>
                        <w:top w:val="none" w:sz="0" w:space="0" w:color="auto"/>
                        <w:left w:val="none" w:sz="0" w:space="0" w:color="auto"/>
                        <w:bottom w:val="none" w:sz="0" w:space="0" w:color="auto"/>
                        <w:right w:val="none" w:sz="0" w:space="0" w:color="auto"/>
                      </w:divBdr>
                      <w:divsChild>
                        <w:div w:id="17196919">
                          <w:marLeft w:val="0"/>
                          <w:marRight w:val="0"/>
                          <w:marTop w:val="0"/>
                          <w:marBottom w:val="0"/>
                          <w:divBdr>
                            <w:top w:val="none" w:sz="0" w:space="0" w:color="auto"/>
                            <w:left w:val="none" w:sz="0" w:space="0" w:color="auto"/>
                            <w:bottom w:val="none" w:sz="0" w:space="0" w:color="auto"/>
                            <w:right w:val="none" w:sz="0" w:space="0" w:color="auto"/>
                          </w:divBdr>
                          <w:divsChild>
                            <w:div w:id="938870291">
                              <w:marLeft w:val="0"/>
                              <w:marRight w:val="0"/>
                              <w:marTop w:val="0"/>
                              <w:marBottom w:val="0"/>
                              <w:divBdr>
                                <w:top w:val="none" w:sz="0" w:space="0" w:color="auto"/>
                                <w:left w:val="none" w:sz="0" w:space="0" w:color="auto"/>
                                <w:bottom w:val="none" w:sz="0" w:space="0" w:color="auto"/>
                                <w:right w:val="none" w:sz="0" w:space="0" w:color="auto"/>
                              </w:divBdr>
                              <w:divsChild>
                                <w:div w:id="1736539773">
                                  <w:marLeft w:val="30"/>
                                  <w:marRight w:val="30"/>
                                  <w:marTop w:val="120"/>
                                  <w:marBottom w:val="120"/>
                                  <w:divBdr>
                                    <w:top w:val="none" w:sz="0" w:space="0" w:color="auto"/>
                                    <w:left w:val="none" w:sz="0" w:space="0" w:color="auto"/>
                                    <w:bottom w:val="none" w:sz="0" w:space="0" w:color="auto"/>
                                    <w:right w:val="none" w:sz="0" w:space="0" w:color="auto"/>
                                  </w:divBdr>
                                  <w:divsChild>
                                    <w:div w:id="275672765">
                                      <w:marLeft w:val="0"/>
                                      <w:marRight w:val="0"/>
                                      <w:marTop w:val="0"/>
                                      <w:marBottom w:val="0"/>
                                      <w:divBdr>
                                        <w:top w:val="none" w:sz="0" w:space="0" w:color="auto"/>
                                        <w:left w:val="none" w:sz="0" w:space="0" w:color="auto"/>
                                        <w:bottom w:val="none" w:sz="0" w:space="0" w:color="auto"/>
                                        <w:right w:val="none" w:sz="0" w:space="0" w:color="auto"/>
                                      </w:divBdr>
                                      <w:divsChild>
                                        <w:div w:id="302270291">
                                          <w:marLeft w:val="0"/>
                                          <w:marRight w:val="0"/>
                                          <w:marTop w:val="0"/>
                                          <w:marBottom w:val="0"/>
                                          <w:divBdr>
                                            <w:top w:val="none" w:sz="0" w:space="0" w:color="auto"/>
                                            <w:left w:val="none" w:sz="0" w:space="0" w:color="auto"/>
                                            <w:bottom w:val="none" w:sz="0" w:space="0" w:color="auto"/>
                                            <w:right w:val="none" w:sz="0" w:space="0" w:color="auto"/>
                                          </w:divBdr>
                                          <w:divsChild>
                                            <w:div w:id="170491576">
                                              <w:marLeft w:val="0"/>
                                              <w:marRight w:val="0"/>
                                              <w:marTop w:val="0"/>
                                              <w:marBottom w:val="0"/>
                                              <w:divBdr>
                                                <w:top w:val="none" w:sz="0" w:space="0" w:color="auto"/>
                                                <w:left w:val="none" w:sz="0" w:space="0" w:color="auto"/>
                                                <w:bottom w:val="none" w:sz="0" w:space="0" w:color="auto"/>
                                                <w:right w:val="none" w:sz="0" w:space="0" w:color="auto"/>
                                              </w:divBdr>
                                              <w:divsChild>
                                                <w:div w:id="162595252">
                                                  <w:marLeft w:val="0"/>
                                                  <w:marRight w:val="120"/>
                                                  <w:marTop w:val="0"/>
                                                  <w:marBottom w:val="0"/>
                                                  <w:divBdr>
                                                    <w:top w:val="none" w:sz="0" w:space="0" w:color="auto"/>
                                                    <w:left w:val="none" w:sz="0" w:space="0" w:color="auto"/>
                                                    <w:bottom w:val="none" w:sz="0" w:space="0" w:color="auto"/>
                                                    <w:right w:val="none" w:sz="0" w:space="0" w:color="auto"/>
                                                  </w:divBdr>
                                                </w:div>
                                                <w:div w:id="239758270">
                                                  <w:marLeft w:val="60"/>
                                                  <w:marRight w:val="0"/>
                                                  <w:marTop w:val="0"/>
                                                  <w:marBottom w:val="60"/>
                                                  <w:divBdr>
                                                    <w:top w:val="none" w:sz="0" w:space="0" w:color="auto"/>
                                                    <w:left w:val="none" w:sz="0" w:space="0" w:color="auto"/>
                                                    <w:bottom w:val="none" w:sz="0" w:space="0" w:color="auto"/>
                                                    <w:right w:val="none" w:sz="0" w:space="0" w:color="auto"/>
                                                  </w:divBdr>
                                                  <w:divsChild>
                                                    <w:div w:id="1891765709">
                                                      <w:marLeft w:val="0"/>
                                                      <w:marRight w:val="0"/>
                                                      <w:marTop w:val="0"/>
                                                      <w:marBottom w:val="0"/>
                                                      <w:divBdr>
                                                        <w:top w:val="none" w:sz="0" w:space="0" w:color="auto"/>
                                                        <w:left w:val="none" w:sz="0" w:space="0" w:color="auto"/>
                                                        <w:bottom w:val="none" w:sz="0" w:space="0" w:color="auto"/>
                                                        <w:right w:val="none" w:sz="0" w:space="0" w:color="auto"/>
                                                      </w:divBdr>
                                                      <w:divsChild>
                                                        <w:div w:id="130373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701405">
                                              <w:marLeft w:val="0"/>
                                              <w:marRight w:val="0"/>
                                              <w:marTop w:val="0"/>
                                              <w:marBottom w:val="0"/>
                                              <w:divBdr>
                                                <w:top w:val="none" w:sz="0" w:space="0" w:color="auto"/>
                                                <w:left w:val="none" w:sz="0" w:space="0" w:color="auto"/>
                                                <w:bottom w:val="none" w:sz="0" w:space="0" w:color="auto"/>
                                                <w:right w:val="none" w:sz="0" w:space="0" w:color="auto"/>
                                              </w:divBdr>
                                              <w:divsChild>
                                                <w:div w:id="1180698132">
                                                  <w:marLeft w:val="0"/>
                                                  <w:marRight w:val="0"/>
                                                  <w:marTop w:val="0"/>
                                                  <w:marBottom w:val="0"/>
                                                  <w:divBdr>
                                                    <w:top w:val="none" w:sz="0" w:space="0" w:color="auto"/>
                                                    <w:left w:val="none" w:sz="0" w:space="0" w:color="auto"/>
                                                    <w:bottom w:val="none" w:sz="0" w:space="0" w:color="auto"/>
                                                    <w:right w:val="none" w:sz="0" w:space="0" w:color="auto"/>
                                                  </w:divBdr>
                                                  <w:divsChild>
                                                    <w:div w:id="1138500194">
                                                      <w:marLeft w:val="0"/>
                                                      <w:marRight w:val="0"/>
                                                      <w:marTop w:val="0"/>
                                                      <w:marBottom w:val="0"/>
                                                      <w:divBdr>
                                                        <w:top w:val="none" w:sz="0" w:space="0" w:color="auto"/>
                                                        <w:left w:val="none" w:sz="0" w:space="0" w:color="auto"/>
                                                        <w:bottom w:val="none" w:sz="0" w:space="0" w:color="auto"/>
                                                        <w:right w:val="none" w:sz="0" w:space="0" w:color="auto"/>
                                                      </w:divBdr>
                                                      <w:divsChild>
                                                        <w:div w:id="1027218462">
                                                          <w:marLeft w:val="0"/>
                                                          <w:marRight w:val="0"/>
                                                          <w:marTop w:val="0"/>
                                                          <w:marBottom w:val="0"/>
                                                          <w:divBdr>
                                                            <w:top w:val="none" w:sz="0" w:space="0" w:color="auto"/>
                                                            <w:left w:val="none" w:sz="0" w:space="0" w:color="auto"/>
                                                            <w:bottom w:val="none" w:sz="0" w:space="0" w:color="auto"/>
                                                            <w:right w:val="none" w:sz="0" w:space="0" w:color="auto"/>
                                                          </w:divBdr>
                                                          <w:divsChild>
                                                            <w:div w:id="1683973792">
                                                              <w:marLeft w:val="0"/>
                                                              <w:marRight w:val="0"/>
                                                              <w:marTop w:val="0"/>
                                                              <w:marBottom w:val="0"/>
                                                              <w:divBdr>
                                                                <w:top w:val="none" w:sz="0" w:space="0" w:color="auto"/>
                                                                <w:left w:val="none" w:sz="0" w:space="0" w:color="auto"/>
                                                                <w:bottom w:val="none" w:sz="0" w:space="0" w:color="auto"/>
                                                                <w:right w:val="none" w:sz="0" w:space="0" w:color="auto"/>
                                                              </w:divBdr>
                                                              <w:divsChild>
                                                                <w:div w:id="206421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5653">
                                                      <w:marLeft w:val="0"/>
                                                      <w:marRight w:val="0"/>
                                                      <w:marTop w:val="0"/>
                                                      <w:marBottom w:val="0"/>
                                                      <w:divBdr>
                                                        <w:top w:val="none" w:sz="0" w:space="0" w:color="auto"/>
                                                        <w:left w:val="none" w:sz="0" w:space="0" w:color="auto"/>
                                                        <w:bottom w:val="none" w:sz="0" w:space="0" w:color="auto"/>
                                                        <w:right w:val="none" w:sz="0" w:space="0" w:color="auto"/>
                                                      </w:divBdr>
                                                      <w:divsChild>
                                                        <w:div w:id="2070031887">
                                                          <w:marLeft w:val="0"/>
                                                          <w:marRight w:val="0"/>
                                                          <w:marTop w:val="0"/>
                                                          <w:marBottom w:val="0"/>
                                                          <w:divBdr>
                                                            <w:top w:val="none" w:sz="0" w:space="0" w:color="auto"/>
                                                            <w:left w:val="none" w:sz="0" w:space="0" w:color="auto"/>
                                                            <w:bottom w:val="none" w:sz="0" w:space="0" w:color="auto"/>
                                                            <w:right w:val="none" w:sz="0" w:space="0" w:color="auto"/>
                                                          </w:divBdr>
                                                          <w:divsChild>
                                                            <w:div w:id="60361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1567">
                                                      <w:marLeft w:val="0"/>
                                                      <w:marRight w:val="0"/>
                                                      <w:marTop w:val="0"/>
                                                      <w:marBottom w:val="0"/>
                                                      <w:divBdr>
                                                        <w:top w:val="none" w:sz="0" w:space="0" w:color="auto"/>
                                                        <w:left w:val="none" w:sz="0" w:space="0" w:color="auto"/>
                                                        <w:bottom w:val="none" w:sz="0" w:space="0" w:color="auto"/>
                                                        <w:right w:val="none" w:sz="0" w:space="0" w:color="auto"/>
                                                      </w:divBdr>
                                                      <w:divsChild>
                                                        <w:div w:id="51588359">
                                                          <w:marLeft w:val="0"/>
                                                          <w:marRight w:val="0"/>
                                                          <w:marTop w:val="0"/>
                                                          <w:marBottom w:val="0"/>
                                                          <w:divBdr>
                                                            <w:top w:val="none" w:sz="0" w:space="0" w:color="auto"/>
                                                            <w:left w:val="none" w:sz="0" w:space="0" w:color="auto"/>
                                                            <w:bottom w:val="none" w:sz="0" w:space="0" w:color="auto"/>
                                                            <w:right w:val="none" w:sz="0" w:space="0" w:color="auto"/>
                                                          </w:divBdr>
                                                          <w:divsChild>
                                                            <w:div w:id="61421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556264">
                                                      <w:marLeft w:val="0"/>
                                                      <w:marRight w:val="0"/>
                                                      <w:marTop w:val="0"/>
                                                      <w:marBottom w:val="0"/>
                                                      <w:divBdr>
                                                        <w:top w:val="none" w:sz="0" w:space="0" w:color="auto"/>
                                                        <w:left w:val="none" w:sz="0" w:space="0" w:color="auto"/>
                                                        <w:bottom w:val="none" w:sz="0" w:space="0" w:color="auto"/>
                                                        <w:right w:val="none" w:sz="0" w:space="0" w:color="auto"/>
                                                      </w:divBdr>
                                                      <w:divsChild>
                                                        <w:div w:id="622883148">
                                                          <w:marLeft w:val="0"/>
                                                          <w:marRight w:val="0"/>
                                                          <w:marTop w:val="0"/>
                                                          <w:marBottom w:val="0"/>
                                                          <w:divBdr>
                                                            <w:top w:val="none" w:sz="0" w:space="0" w:color="auto"/>
                                                            <w:left w:val="none" w:sz="0" w:space="0" w:color="auto"/>
                                                            <w:bottom w:val="none" w:sz="0" w:space="0" w:color="auto"/>
                                                            <w:right w:val="none" w:sz="0" w:space="0" w:color="auto"/>
                                                          </w:divBdr>
                                                          <w:divsChild>
                                                            <w:div w:id="163717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397192">
                                                      <w:marLeft w:val="0"/>
                                                      <w:marRight w:val="0"/>
                                                      <w:marTop w:val="0"/>
                                                      <w:marBottom w:val="0"/>
                                                      <w:divBdr>
                                                        <w:top w:val="none" w:sz="0" w:space="0" w:color="auto"/>
                                                        <w:left w:val="none" w:sz="0" w:space="0" w:color="auto"/>
                                                        <w:bottom w:val="none" w:sz="0" w:space="0" w:color="auto"/>
                                                        <w:right w:val="none" w:sz="0" w:space="0" w:color="auto"/>
                                                      </w:divBdr>
                                                      <w:divsChild>
                                                        <w:div w:id="1563103980">
                                                          <w:marLeft w:val="0"/>
                                                          <w:marRight w:val="0"/>
                                                          <w:marTop w:val="0"/>
                                                          <w:marBottom w:val="0"/>
                                                          <w:divBdr>
                                                            <w:top w:val="none" w:sz="0" w:space="0" w:color="auto"/>
                                                            <w:left w:val="none" w:sz="0" w:space="0" w:color="auto"/>
                                                            <w:bottom w:val="none" w:sz="0" w:space="0" w:color="auto"/>
                                                            <w:right w:val="none" w:sz="0" w:space="0" w:color="auto"/>
                                                          </w:divBdr>
                                                          <w:divsChild>
                                                            <w:div w:id="87169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8783">
                                                      <w:marLeft w:val="0"/>
                                                      <w:marRight w:val="0"/>
                                                      <w:marTop w:val="0"/>
                                                      <w:marBottom w:val="0"/>
                                                      <w:divBdr>
                                                        <w:top w:val="none" w:sz="0" w:space="0" w:color="auto"/>
                                                        <w:left w:val="none" w:sz="0" w:space="0" w:color="auto"/>
                                                        <w:bottom w:val="none" w:sz="0" w:space="0" w:color="auto"/>
                                                        <w:right w:val="none" w:sz="0" w:space="0" w:color="auto"/>
                                                      </w:divBdr>
                                                      <w:divsChild>
                                                        <w:div w:id="111302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637172">
                                          <w:marLeft w:val="720"/>
                                          <w:marRight w:val="0"/>
                                          <w:marTop w:val="0"/>
                                          <w:marBottom w:val="0"/>
                                          <w:divBdr>
                                            <w:top w:val="none" w:sz="0" w:space="0" w:color="auto"/>
                                            <w:left w:val="none" w:sz="0" w:space="0" w:color="auto"/>
                                            <w:bottom w:val="none" w:sz="0" w:space="0" w:color="auto"/>
                                            <w:right w:val="none" w:sz="0" w:space="0" w:color="auto"/>
                                          </w:divBdr>
                                          <w:divsChild>
                                            <w:div w:id="799306705">
                                              <w:marLeft w:val="0"/>
                                              <w:marRight w:val="0"/>
                                              <w:marTop w:val="0"/>
                                              <w:marBottom w:val="0"/>
                                              <w:divBdr>
                                                <w:top w:val="none" w:sz="0" w:space="0" w:color="auto"/>
                                                <w:left w:val="none" w:sz="0" w:space="0" w:color="auto"/>
                                                <w:bottom w:val="none" w:sz="0" w:space="0" w:color="auto"/>
                                                <w:right w:val="none" w:sz="0" w:space="0" w:color="auto"/>
                                              </w:divBdr>
                                              <w:divsChild>
                                                <w:div w:id="436143803">
                                                  <w:marLeft w:val="0"/>
                                                  <w:marRight w:val="0"/>
                                                  <w:marTop w:val="0"/>
                                                  <w:marBottom w:val="0"/>
                                                  <w:divBdr>
                                                    <w:top w:val="none" w:sz="0" w:space="0" w:color="auto"/>
                                                    <w:left w:val="none" w:sz="0" w:space="0" w:color="auto"/>
                                                    <w:bottom w:val="none" w:sz="0" w:space="0" w:color="auto"/>
                                                    <w:right w:val="none" w:sz="0" w:space="0" w:color="auto"/>
                                                  </w:divBdr>
                                                  <w:divsChild>
                                                    <w:div w:id="1144005472">
                                                      <w:marLeft w:val="0"/>
                                                      <w:marRight w:val="0"/>
                                                      <w:marTop w:val="0"/>
                                                      <w:marBottom w:val="0"/>
                                                      <w:divBdr>
                                                        <w:top w:val="none" w:sz="0" w:space="0" w:color="auto"/>
                                                        <w:left w:val="none" w:sz="0" w:space="0" w:color="auto"/>
                                                        <w:bottom w:val="none" w:sz="0" w:space="0" w:color="auto"/>
                                                        <w:right w:val="none" w:sz="0" w:space="0" w:color="auto"/>
                                                      </w:divBdr>
                                                      <w:divsChild>
                                                        <w:div w:id="449975816">
                                                          <w:marLeft w:val="0"/>
                                                          <w:marRight w:val="0"/>
                                                          <w:marTop w:val="0"/>
                                                          <w:marBottom w:val="0"/>
                                                          <w:divBdr>
                                                            <w:top w:val="none" w:sz="0" w:space="0" w:color="auto"/>
                                                            <w:left w:val="none" w:sz="0" w:space="0" w:color="auto"/>
                                                            <w:bottom w:val="none" w:sz="0" w:space="0" w:color="auto"/>
                                                            <w:right w:val="none" w:sz="0" w:space="0" w:color="auto"/>
                                                          </w:divBdr>
                                                          <w:divsChild>
                                                            <w:div w:id="134054007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188107910">
                                              <w:marLeft w:val="270"/>
                                              <w:marRight w:val="150"/>
                                              <w:marTop w:val="0"/>
                                              <w:marBottom w:val="0"/>
                                              <w:divBdr>
                                                <w:top w:val="none" w:sz="0" w:space="0" w:color="auto"/>
                                                <w:left w:val="none" w:sz="0" w:space="0" w:color="auto"/>
                                                <w:bottom w:val="none" w:sz="0" w:space="0" w:color="auto"/>
                                                <w:right w:val="none" w:sz="0" w:space="0" w:color="auto"/>
                                              </w:divBdr>
                                            </w:div>
                                          </w:divsChild>
                                        </w:div>
                                        <w:div w:id="592397948">
                                          <w:marLeft w:val="-180"/>
                                          <w:marRight w:val="-180"/>
                                          <w:marTop w:val="0"/>
                                          <w:marBottom w:val="0"/>
                                          <w:divBdr>
                                            <w:top w:val="none" w:sz="0" w:space="0" w:color="auto"/>
                                            <w:left w:val="none" w:sz="0" w:space="0" w:color="auto"/>
                                            <w:bottom w:val="none" w:sz="0" w:space="0" w:color="auto"/>
                                            <w:right w:val="none" w:sz="0" w:space="0" w:color="auto"/>
                                          </w:divBdr>
                                          <w:divsChild>
                                            <w:div w:id="231543607">
                                              <w:marLeft w:val="0"/>
                                              <w:marRight w:val="0"/>
                                              <w:marTop w:val="0"/>
                                              <w:marBottom w:val="0"/>
                                              <w:divBdr>
                                                <w:top w:val="none" w:sz="0" w:space="0" w:color="auto"/>
                                                <w:left w:val="none" w:sz="0" w:space="0" w:color="auto"/>
                                                <w:bottom w:val="none" w:sz="0" w:space="0" w:color="auto"/>
                                                <w:right w:val="none" w:sz="0" w:space="0" w:color="auto"/>
                                              </w:divBdr>
                                              <w:divsChild>
                                                <w:div w:id="1289701835">
                                                  <w:marLeft w:val="0"/>
                                                  <w:marRight w:val="0"/>
                                                  <w:marTop w:val="0"/>
                                                  <w:marBottom w:val="0"/>
                                                  <w:divBdr>
                                                    <w:top w:val="single" w:sz="6" w:space="0" w:color="D1D1D1"/>
                                                    <w:left w:val="none" w:sz="0" w:space="0" w:color="F5F5F5"/>
                                                    <w:bottom w:val="single" w:sz="6" w:space="0" w:color="D1D1D1"/>
                                                    <w:right w:val="none" w:sz="0" w:space="0" w:color="F5F5F5"/>
                                                  </w:divBdr>
                                                  <w:divsChild>
                                                    <w:div w:id="1581253687">
                                                      <w:marLeft w:val="0"/>
                                                      <w:marRight w:val="0"/>
                                                      <w:marTop w:val="0"/>
                                                      <w:marBottom w:val="0"/>
                                                      <w:divBdr>
                                                        <w:top w:val="none" w:sz="0" w:space="0" w:color="auto"/>
                                                        <w:left w:val="none" w:sz="0" w:space="0" w:color="auto"/>
                                                        <w:bottom w:val="none" w:sz="0" w:space="0" w:color="auto"/>
                                                        <w:right w:val="none" w:sz="0" w:space="0" w:color="auto"/>
                                                      </w:divBdr>
                                                    </w:div>
                                                    <w:div w:id="1660302412">
                                                      <w:marLeft w:val="0"/>
                                                      <w:marRight w:val="0"/>
                                                      <w:marTop w:val="0"/>
                                                      <w:marBottom w:val="0"/>
                                                      <w:divBdr>
                                                        <w:top w:val="none" w:sz="0" w:space="0" w:color="auto"/>
                                                        <w:left w:val="none" w:sz="0" w:space="0" w:color="auto"/>
                                                        <w:bottom w:val="none" w:sz="0" w:space="0" w:color="auto"/>
                                                        <w:right w:val="none" w:sz="0" w:space="0" w:color="auto"/>
                                                      </w:divBdr>
                                                      <w:divsChild>
                                                        <w:div w:id="113741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4299339">
                                      <w:marLeft w:val="0"/>
                                      <w:marRight w:val="0"/>
                                      <w:marTop w:val="0"/>
                                      <w:marBottom w:val="0"/>
                                      <w:divBdr>
                                        <w:top w:val="none" w:sz="0" w:space="0" w:color="auto"/>
                                        <w:left w:val="none" w:sz="0" w:space="0" w:color="auto"/>
                                        <w:bottom w:val="none" w:sz="0" w:space="0" w:color="auto"/>
                                        <w:right w:val="none" w:sz="0" w:space="0" w:color="auto"/>
                                      </w:divBdr>
                                      <w:divsChild>
                                        <w:div w:id="1529565551">
                                          <w:marLeft w:val="780"/>
                                          <w:marRight w:val="240"/>
                                          <w:marTop w:val="180"/>
                                          <w:marBottom w:val="0"/>
                                          <w:divBdr>
                                            <w:top w:val="none" w:sz="0" w:space="0" w:color="auto"/>
                                            <w:left w:val="none" w:sz="0" w:space="0" w:color="auto"/>
                                            <w:bottom w:val="none" w:sz="0" w:space="0" w:color="auto"/>
                                            <w:right w:val="none" w:sz="0" w:space="0" w:color="auto"/>
                                          </w:divBdr>
                                          <w:divsChild>
                                            <w:div w:id="747730464">
                                              <w:marLeft w:val="0"/>
                                              <w:marRight w:val="0"/>
                                              <w:marTop w:val="0"/>
                                              <w:marBottom w:val="0"/>
                                              <w:divBdr>
                                                <w:top w:val="none" w:sz="0" w:space="0" w:color="auto"/>
                                                <w:left w:val="none" w:sz="0" w:space="0" w:color="auto"/>
                                                <w:bottom w:val="none" w:sz="0" w:space="0" w:color="auto"/>
                                                <w:right w:val="none" w:sz="0" w:space="0" w:color="auto"/>
                                              </w:divBdr>
                                              <w:divsChild>
                                                <w:div w:id="1130585716">
                                                  <w:marLeft w:val="0"/>
                                                  <w:marRight w:val="0"/>
                                                  <w:marTop w:val="0"/>
                                                  <w:marBottom w:val="0"/>
                                                  <w:divBdr>
                                                    <w:top w:val="none" w:sz="0" w:space="0" w:color="auto"/>
                                                    <w:left w:val="none" w:sz="0" w:space="0" w:color="auto"/>
                                                    <w:bottom w:val="none" w:sz="0" w:space="0" w:color="auto"/>
                                                    <w:right w:val="none" w:sz="0" w:space="0" w:color="auto"/>
                                                  </w:divBdr>
                                                  <w:divsChild>
                                                    <w:div w:id="622613919">
                                                      <w:marLeft w:val="0"/>
                                                      <w:marRight w:val="0"/>
                                                      <w:marTop w:val="0"/>
                                                      <w:marBottom w:val="0"/>
                                                      <w:divBdr>
                                                        <w:top w:val="none" w:sz="0" w:space="0" w:color="auto"/>
                                                        <w:left w:val="none" w:sz="0" w:space="0" w:color="auto"/>
                                                        <w:bottom w:val="none" w:sz="0" w:space="0" w:color="auto"/>
                                                        <w:right w:val="none" w:sz="0" w:space="0" w:color="auto"/>
                                                      </w:divBdr>
                                                      <w:divsChild>
                                                        <w:div w:id="192887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anaw/2014/4/cont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afeguarding.wales/" TargetMode="External"/><Relationship Id="rId5" Type="http://schemas.openxmlformats.org/officeDocument/2006/relationships/hyperlink" Target="https://www.legislation.gov.uk/mwa/2011/2/content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1506</Words>
  <Characters>8587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10073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Tomiak (BCUHB - Adult Mental Health &amp; Social Care)</dc:creator>
  <cp:keywords/>
  <dc:description/>
  <cp:lastModifiedBy>Lydia</cp:lastModifiedBy>
  <cp:revision>2</cp:revision>
  <dcterms:created xsi:type="dcterms:W3CDTF">2026-07-16T09:40:00Z</dcterms:created>
  <dcterms:modified xsi:type="dcterms:W3CDTF">2026-07-16T09:40:00Z</dcterms:modified>
</cp:coreProperties>
</file>