
<file path=[Content_Types].xml><?xml version="1.0" encoding="utf-8"?>
<Types xmlns="http://schemas.openxmlformats.org/package/2006/content-types">
  <Default Extension="png" ContentType="image/png"/>
  <Default Extension="webp"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B5255" w:rsidRPr="007065E8" w:rsidRDefault="00A81F1C" w:rsidP="00A81F1C">
      <w:pPr>
        <w:jc w:val="center"/>
        <w:rPr>
          <w:b/>
          <w:sz w:val="44"/>
          <w:szCs w:val="44"/>
          <w:lang w:val="en-GB"/>
        </w:rPr>
      </w:pPr>
      <w:r w:rsidRPr="007065E8">
        <w:rPr>
          <w:b/>
          <w:sz w:val="44"/>
          <w:szCs w:val="44"/>
          <w:lang w:val="en-GB"/>
        </w:rPr>
        <w:t>International financial management</w:t>
      </w:r>
    </w:p>
    <w:p w:rsidR="00A81F1C" w:rsidRPr="00A81F1C" w:rsidRDefault="00A81F1C" w:rsidP="00A81F1C">
      <w:pPr>
        <w:jc w:val="center"/>
        <w:rPr>
          <w:b/>
          <w:sz w:val="36"/>
          <w:szCs w:val="36"/>
          <w:lang w:val="en-GB"/>
        </w:rPr>
      </w:pPr>
    </w:p>
    <w:p w:rsidR="00A81F1C" w:rsidRPr="00A81F1C" w:rsidRDefault="00A81F1C" w:rsidP="00A81F1C">
      <w:pPr>
        <w:jc w:val="center"/>
        <w:rPr>
          <w:sz w:val="36"/>
          <w:szCs w:val="36"/>
          <w:lang w:val="en-GB"/>
        </w:rPr>
      </w:pPr>
      <w:r w:rsidRPr="00A81F1C">
        <w:rPr>
          <w:sz w:val="36"/>
          <w:szCs w:val="36"/>
          <w:lang w:val="en-GB"/>
        </w:rPr>
        <w:t>Assessment 1</w:t>
      </w:r>
    </w:p>
    <w:p w:rsidR="00A81F1C" w:rsidRDefault="00A81F1C">
      <w:pPr>
        <w:rPr>
          <w:lang w:val="en-GB"/>
        </w:rPr>
      </w:pPr>
    </w:p>
    <w:p w:rsidR="00A81F1C" w:rsidRDefault="00A81F1C">
      <w:pPr>
        <w:rPr>
          <w:lang w:val="en-GB"/>
        </w:rPr>
      </w:pPr>
    </w:p>
    <w:p w:rsidR="00A81F1C" w:rsidRDefault="00A81F1C">
      <w:pPr>
        <w:rPr>
          <w:lang w:val="en-GB"/>
        </w:rPr>
      </w:pPr>
    </w:p>
    <w:p w:rsidR="00A81F1C" w:rsidRDefault="00A81F1C">
      <w:pPr>
        <w:rPr>
          <w:lang w:val="en-GB"/>
        </w:rPr>
      </w:pPr>
    </w:p>
    <w:p w:rsidR="00A81F1C" w:rsidRDefault="00A81F1C" w:rsidP="00A81F1C">
      <w:pPr>
        <w:jc w:val="center"/>
        <w:rPr>
          <w:i/>
          <w:sz w:val="36"/>
          <w:szCs w:val="36"/>
          <w:lang w:val="en-GB"/>
        </w:rPr>
      </w:pPr>
    </w:p>
    <w:p w:rsidR="00A81F1C" w:rsidRDefault="00A81F1C">
      <w:pPr>
        <w:rPr>
          <w:lang w:val="en-GB"/>
        </w:rPr>
      </w:pPr>
      <w:r>
        <w:rPr>
          <w:noProof/>
          <w:lang w:eastAsia="bg-BG"/>
        </w:rPr>
        <mc:AlternateContent>
          <mc:Choice Requires="wps">
            <w:drawing>
              <wp:anchor distT="0" distB="0" distL="114300" distR="114300" simplePos="0" relativeHeight="251659264" behindDoc="0" locked="0" layoutInCell="1" allowOverlap="1" wp14:anchorId="63EB1542" wp14:editId="4C9B8374">
                <wp:simplePos x="0" y="0"/>
                <wp:positionH relativeFrom="margin">
                  <wp:align>center</wp:align>
                </wp:positionH>
                <wp:positionV relativeFrom="paragraph">
                  <wp:posOffset>0</wp:posOffset>
                </wp:positionV>
                <wp:extent cx="1828800" cy="1828800"/>
                <wp:effectExtent l="0" t="0" r="0" b="7620"/>
                <wp:wrapSquare wrapText="bothSides"/>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rsidR="00A81F1C" w:rsidRPr="00C714FF" w:rsidRDefault="001B5A2C" w:rsidP="00C714FF">
                            <w:pPr>
                              <w:pStyle w:val="Title"/>
                              <w:rPr>
                                <w:rFonts w:eastAsiaTheme="minorHAnsi"/>
                                <w:b/>
                                <w:i/>
                                <w:u w:val="single"/>
                                <w:lang w:val="en-GB"/>
                              </w:rPr>
                            </w:pPr>
                            <w:r>
                              <w:rPr>
                                <w:b/>
                                <w:i/>
                                <w:u w:val="single"/>
                                <w:lang w:val="en-GB"/>
                              </w:rPr>
                              <w:t>Astra</w:t>
                            </w:r>
                            <w:r w:rsidR="00A81F1C" w:rsidRPr="00C714FF">
                              <w:rPr>
                                <w:b/>
                                <w:i/>
                                <w:u w:val="single"/>
                                <w:lang w:val="en-GB"/>
                              </w:rPr>
                              <w:t>Zeneca</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63EB1542" id="_x0000_t202" coordsize="21600,21600" o:spt="202" path="m,l,21600r21600,l21600,xe">
                <v:stroke joinstyle="miter"/>
                <v:path gradientshapeok="t" o:connecttype="rect"/>
              </v:shapetype>
              <v:shape id="Text Box 1" o:spid="_x0000_s1026" type="#_x0000_t202" style="position:absolute;margin-left:0;margin-top:0;width:2in;height:2in;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" filled="f" stroked="f">
                <v:fill o:detectmouseclick="t"/>
                <v:textbox style="mso-fit-shape-to-text:t">
                  <w:txbxContent>
                    <w:p w:rsidR="00A81F1C" w:rsidRPr="00C714FF" w:rsidRDefault="001B5A2C" w:rsidP="00C714FF">
                      <w:pPr>
                        <w:pStyle w:val="Title"/>
                        <w:rPr>
                          <w:rFonts w:eastAsiaTheme="minorHAnsi"/>
                          <w:b/>
                          <w:i/>
                          <w:u w:val="single"/>
                          <w:lang w:val="en-GB"/>
                        </w:rPr>
                      </w:pPr>
                      <w:r>
                        <w:rPr>
                          <w:b/>
                          <w:i/>
                          <w:u w:val="single"/>
                          <w:lang w:val="en-GB"/>
                        </w:rPr>
                        <w:t>Astra</w:t>
                      </w:r>
                      <w:r w:rsidR="00A81F1C" w:rsidRPr="00C714FF">
                        <w:rPr>
                          <w:b/>
                          <w:i/>
                          <w:u w:val="single"/>
                          <w:lang w:val="en-GB"/>
                        </w:rPr>
                        <w:t>Zeneca</w:t>
                      </w:r>
                    </w:p>
                  </w:txbxContent>
                </v:textbox>
                <w10:wrap type="square" anchorx="margin"/>
              </v:shape>
            </w:pict>
          </mc:Fallback>
        </mc:AlternateContent>
      </w:r>
      <w:r w:rsidR="00C714FF">
        <w:rPr>
          <w:noProof/>
          <w:lang w:eastAsia="bg-BG"/>
        </w:rPr>
        <mc:AlternateContent>
          <mc:Choice Requires="wps">
            <w:drawing>
              <wp:anchor distT="0" distB="0" distL="114300" distR="114300" simplePos="0" relativeHeight="251661312" behindDoc="0" locked="0" layoutInCell="1" allowOverlap="1" wp14:anchorId="2B20FAB1" wp14:editId="2B3E2674">
                <wp:simplePos x="0" y="0"/>
                <wp:positionH relativeFrom="column">
                  <wp:posOffset>2052320</wp:posOffset>
                </wp:positionH>
                <wp:positionV relativeFrom="paragraph">
                  <wp:posOffset>152400</wp:posOffset>
                </wp:positionV>
                <wp:extent cx="1960245" cy="52578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rsidR="00C714FF" w:rsidRPr="00C714FF" w:rsidRDefault="00C714FF" w:rsidP="00C714FF">
                            <w:pPr>
                              <w:pStyle w:val="Title"/>
                              <w:rPr>
                                <w:rFonts w:eastAsiaTheme="minorHAnsi"/>
                                <w:b/>
                                <w:color w:val="262626" w:themeColor="text1" w:themeTint="D9"/>
                                <w:spacing w:val="0"/>
                                <w:sz w:val="72"/>
                                <w:szCs w:val="72"/>
                                <w:lang w:val="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B20FAB1" id="Text Box 2" o:spid="_x0000_s1027" type="#_x0000_t202" style="position:absolute;margin-left:161.6pt;margin-top:12pt;width:154.35pt;height:41.4pt;z-index:2516613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" filled="f" stroked="f">
                <v:fill o:detectmouseclick="t"/>
                <v:textbox style="mso-fit-shape-to-text:t">
                  <w:txbxContent>
                    <w:p w:rsidR="00C714FF" w:rsidRPr="00C714FF" w:rsidRDefault="00C714FF" w:rsidP="00C714FF">
                      <w:pPr>
                        <w:pStyle w:val="Title"/>
                        <w:rPr>
                          <w:rFonts w:eastAsiaTheme="minorHAnsi"/>
                          <w:b/>
                          <w:color w:val="262626" w:themeColor="text1" w:themeTint="D9"/>
                          <w:spacing w:val="0"/>
                          <w:sz w:val="72"/>
                          <w:szCs w:val="72"/>
                          <w:lang w:val="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txbxContent>
                </v:textbox>
              </v:shape>
            </w:pict>
          </mc:Fallback>
        </mc:AlternateContent>
      </w:r>
    </w:p>
    <w:p w:rsidR="00A81F1C" w:rsidRDefault="00A81F1C">
      <w:pPr>
        <w:rPr>
          <w:lang w:val="en-GB"/>
        </w:rPr>
      </w:pPr>
    </w:p>
    <w:p w:rsidR="00A81F1C" w:rsidRDefault="00A81F1C">
      <w:pPr>
        <w:rPr>
          <w:lang w:val="en-GB"/>
        </w:rPr>
      </w:pPr>
    </w:p>
    <w:p w:rsidR="00A81F1C" w:rsidRDefault="00A81F1C">
      <w:pPr>
        <w:rPr>
          <w:lang w:val="en-GB"/>
        </w:rPr>
      </w:pPr>
    </w:p>
    <w:p w:rsidR="00A81F1C" w:rsidRDefault="00A81F1C">
      <w:pPr>
        <w:rPr>
          <w:lang w:val="en-GB"/>
        </w:rPr>
      </w:pPr>
    </w:p>
    <w:p w:rsidR="00A81F1C" w:rsidRDefault="00A81F1C">
      <w:pPr>
        <w:rPr>
          <w:lang w:val="en-GB"/>
        </w:rPr>
      </w:pPr>
    </w:p>
    <w:p w:rsidR="00A81F1C" w:rsidRDefault="00A81F1C">
      <w:pPr>
        <w:rPr>
          <w:lang w:val="en-GB"/>
        </w:rPr>
      </w:pPr>
    </w:p>
    <w:p w:rsidR="00A81F1C" w:rsidRDefault="00A81F1C">
      <w:pPr>
        <w:rPr>
          <w:lang w:val="en-GB"/>
        </w:rPr>
      </w:pPr>
    </w:p>
    <w:p w:rsidR="00A81F1C" w:rsidRDefault="00A81F1C">
      <w:pPr>
        <w:rPr>
          <w:lang w:val="en-GB"/>
        </w:rPr>
      </w:pPr>
    </w:p>
    <w:p w:rsidR="00A81F1C" w:rsidRDefault="00A81F1C">
      <w:pPr>
        <w:rPr>
          <w:lang w:val="en-GB"/>
        </w:rPr>
      </w:pPr>
    </w:p>
    <w:p w:rsidR="00A81F1C" w:rsidRDefault="00A81F1C">
      <w:pPr>
        <w:rPr>
          <w:lang w:val="en-GB"/>
        </w:rPr>
      </w:pPr>
    </w:p>
    <w:p w:rsidR="00A81F1C" w:rsidRPr="00A81F1C" w:rsidRDefault="00A81F1C" w:rsidP="00A81F1C">
      <w:pPr>
        <w:jc w:val="center"/>
        <w:rPr>
          <w:sz w:val="24"/>
          <w:szCs w:val="24"/>
          <w:lang w:val="en-GB"/>
        </w:rPr>
      </w:pPr>
      <w:r w:rsidRPr="00A81F1C">
        <w:rPr>
          <w:sz w:val="24"/>
          <w:szCs w:val="24"/>
          <w:lang w:val="en-GB"/>
        </w:rPr>
        <w:t xml:space="preserve">Student name: </w:t>
      </w:r>
      <w:proofErr w:type="spellStart"/>
      <w:r w:rsidRPr="00A81F1C">
        <w:rPr>
          <w:sz w:val="24"/>
          <w:szCs w:val="24"/>
          <w:lang w:val="en-GB"/>
        </w:rPr>
        <w:t>Dimitar</w:t>
      </w:r>
      <w:proofErr w:type="spellEnd"/>
      <w:r w:rsidRPr="00A81F1C">
        <w:rPr>
          <w:sz w:val="24"/>
          <w:szCs w:val="24"/>
          <w:lang w:val="en-GB"/>
        </w:rPr>
        <w:t xml:space="preserve"> </w:t>
      </w:r>
      <w:proofErr w:type="spellStart"/>
      <w:r w:rsidRPr="00A81F1C">
        <w:rPr>
          <w:sz w:val="24"/>
          <w:szCs w:val="24"/>
          <w:lang w:val="en-GB"/>
        </w:rPr>
        <w:t>Gadov</w:t>
      </w:r>
      <w:proofErr w:type="spellEnd"/>
    </w:p>
    <w:p w:rsidR="00A81F1C" w:rsidRPr="00A81F1C" w:rsidRDefault="00A81F1C" w:rsidP="00A81F1C">
      <w:pPr>
        <w:jc w:val="center"/>
        <w:rPr>
          <w:sz w:val="24"/>
          <w:szCs w:val="24"/>
          <w:lang w:val="en-GB"/>
        </w:rPr>
      </w:pPr>
      <w:r w:rsidRPr="00A81F1C">
        <w:rPr>
          <w:sz w:val="24"/>
          <w:szCs w:val="24"/>
          <w:lang w:val="en-GB"/>
        </w:rPr>
        <w:t>Student number: 1913486</w:t>
      </w:r>
    </w:p>
    <w:p w:rsidR="00A81F1C" w:rsidRPr="00A81F1C" w:rsidRDefault="00F12B0E" w:rsidP="00A81F1C">
      <w:pPr>
        <w:jc w:val="center"/>
        <w:rPr>
          <w:sz w:val="24"/>
          <w:szCs w:val="24"/>
          <w:lang w:val="en-GB"/>
        </w:rPr>
      </w:pPr>
      <w:r>
        <w:rPr>
          <w:sz w:val="24"/>
          <w:szCs w:val="24"/>
          <w:lang w:val="en-GB"/>
        </w:rPr>
        <w:t>Module name: International Financial M</w:t>
      </w:r>
      <w:r w:rsidR="00A81F1C" w:rsidRPr="00A81F1C">
        <w:rPr>
          <w:sz w:val="24"/>
          <w:szCs w:val="24"/>
          <w:lang w:val="en-GB"/>
        </w:rPr>
        <w:t>anagement</w:t>
      </w:r>
    </w:p>
    <w:p w:rsidR="00A81F1C" w:rsidRPr="00A81F1C" w:rsidRDefault="00A81F1C" w:rsidP="00A81F1C">
      <w:pPr>
        <w:jc w:val="center"/>
        <w:rPr>
          <w:sz w:val="24"/>
          <w:szCs w:val="24"/>
          <w:lang w:val="en-GB"/>
        </w:rPr>
      </w:pPr>
      <w:r w:rsidRPr="00A81F1C">
        <w:rPr>
          <w:sz w:val="24"/>
          <w:szCs w:val="24"/>
          <w:lang w:val="en-GB"/>
        </w:rPr>
        <w:t xml:space="preserve">Module lecturer: Isaiah </w:t>
      </w:r>
      <w:proofErr w:type="spellStart"/>
      <w:r w:rsidRPr="00A81F1C">
        <w:rPr>
          <w:sz w:val="24"/>
          <w:szCs w:val="24"/>
          <w:lang w:val="en-GB"/>
        </w:rPr>
        <w:t>Oino</w:t>
      </w:r>
      <w:proofErr w:type="spellEnd"/>
    </w:p>
    <w:p w:rsidR="00A81F1C" w:rsidRPr="00A81F1C" w:rsidRDefault="00A81F1C" w:rsidP="00A81F1C">
      <w:pPr>
        <w:jc w:val="center"/>
        <w:rPr>
          <w:sz w:val="24"/>
          <w:szCs w:val="24"/>
          <w:lang w:val="en-GB"/>
        </w:rPr>
      </w:pPr>
      <w:r w:rsidRPr="00A81F1C">
        <w:rPr>
          <w:sz w:val="24"/>
          <w:szCs w:val="24"/>
          <w:lang w:val="en-GB"/>
        </w:rPr>
        <w:t>Module number: LCBB6002</w:t>
      </w:r>
    </w:p>
    <w:p w:rsidR="00A81F1C" w:rsidRPr="00A81F1C" w:rsidRDefault="00A81F1C" w:rsidP="00A81F1C">
      <w:pPr>
        <w:jc w:val="center"/>
        <w:rPr>
          <w:sz w:val="24"/>
          <w:szCs w:val="24"/>
          <w:lang w:val="en-GB"/>
        </w:rPr>
      </w:pPr>
      <w:r w:rsidRPr="00A81F1C">
        <w:rPr>
          <w:sz w:val="24"/>
          <w:szCs w:val="24"/>
          <w:lang w:val="en-GB"/>
        </w:rPr>
        <w:t>2022</w:t>
      </w:r>
    </w:p>
    <w:p w:rsidR="00A81F1C" w:rsidRDefault="00A81F1C">
      <w:pPr>
        <w:rPr>
          <w:lang w:val="en-GB"/>
        </w:rPr>
      </w:pPr>
    </w:p>
    <w:p w:rsidR="00A81F1C" w:rsidRDefault="00A81F1C">
      <w:pPr>
        <w:rPr>
          <w:lang w:val="en-GB"/>
        </w:rPr>
      </w:pPr>
    </w:p>
    <w:p w:rsidR="00A81F1C" w:rsidRDefault="00A81F1C">
      <w:pPr>
        <w:rPr>
          <w:lang w:val="en-GB"/>
        </w:rPr>
      </w:pPr>
    </w:p>
    <w:p w:rsidR="00A81F1C" w:rsidRDefault="00A81F1C">
      <w:pPr>
        <w:rPr>
          <w:lang w:val="en-GB"/>
        </w:rPr>
      </w:pPr>
    </w:p>
    <w:sdt>
      <w:sdtPr>
        <w:rPr>
          <w:rFonts w:asciiTheme="minorHAnsi" w:eastAsiaTheme="minorHAnsi" w:hAnsiTheme="minorHAnsi" w:cstheme="minorBidi"/>
          <w:color w:val="auto"/>
          <w:sz w:val="24"/>
          <w:szCs w:val="24"/>
          <w:lang w:val="bg-BG"/>
        </w:rPr>
        <w:id w:val="-1724136056"/>
        <w:docPartObj>
          <w:docPartGallery w:val="Table of Contents"/>
          <w:docPartUnique/>
        </w:docPartObj>
      </w:sdtPr>
      <w:sdtEndPr>
        <w:rPr>
          <w:b/>
          <w:bCs/>
          <w:noProof/>
        </w:rPr>
      </w:sdtEndPr>
      <w:sdtContent>
        <w:p w:rsidR="00066884" w:rsidRDefault="00066884">
          <w:pPr>
            <w:pStyle w:val="TOCHeading"/>
            <w:rPr>
              <w:rFonts w:asciiTheme="minorHAnsi" w:eastAsiaTheme="minorHAnsi" w:hAnsiTheme="minorHAnsi" w:cstheme="minorBidi"/>
              <w:color w:val="auto"/>
              <w:sz w:val="24"/>
              <w:szCs w:val="24"/>
              <w:lang w:val="bg-BG"/>
            </w:rPr>
          </w:pPr>
        </w:p>
        <w:p w:rsidR="00066884" w:rsidRDefault="00066884">
          <w:pPr>
            <w:pStyle w:val="TOCHeading"/>
            <w:rPr>
              <w:rFonts w:asciiTheme="minorHAnsi" w:eastAsiaTheme="minorHAnsi" w:hAnsiTheme="minorHAnsi" w:cstheme="minorBidi"/>
              <w:color w:val="auto"/>
              <w:sz w:val="24"/>
              <w:szCs w:val="24"/>
              <w:lang w:val="bg-BG"/>
            </w:rPr>
          </w:pPr>
        </w:p>
        <w:p w:rsidR="00C714FF" w:rsidRPr="00762E08" w:rsidRDefault="00C714FF">
          <w:pPr>
            <w:pStyle w:val="TOCHeading"/>
            <w:rPr>
              <w:color w:val="000000" w:themeColor="text1"/>
              <w:sz w:val="24"/>
              <w:szCs w:val="24"/>
            </w:rPr>
          </w:pPr>
          <w:r w:rsidRPr="00762E08">
            <w:rPr>
              <w:color w:val="000000" w:themeColor="text1"/>
              <w:sz w:val="24"/>
              <w:szCs w:val="24"/>
            </w:rPr>
            <w:t>Contents</w:t>
          </w:r>
        </w:p>
        <w:p w:rsidR="008C565C" w:rsidRDefault="00C714FF">
          <w:pPr>
            <w:pStyle w:val="TOC1"/>
            <w:tabs>
              <w:tab w:val="right" w:leader="dot" w:pos="9062"/>
            </w:tabs>
            <w:rPr>
              <w:rFonts w:eastAsiaTheme="minorEastAsia"/>
              <w:noProof/>
              <w:lang w:eastAsia="bg-BG"/>
            </w:rPr>
          </w:pPr>
          <w:r w:rsidRPr="00762E08">
            <w:rPr>
              <w:color w:val="000000" w:themeColor="text1"/>
              <w:sz w:val="24"/>
              <w:szCs w:val="24"/>
            </w:rPr>
            <w:fldChar w:fldCharType="begin"/>
          </w:r>
          <w:r w:rsidRPr="00762E08">
            <w:rPr>
              <w:color w:val="000000" w:themeColor="text1"/>
              <w:sz w:val="24"/>
              <w:szCs w:val="24"/>
            </w:rPr>
            <w:instrText xml:space="preserve"> TOC \o "1-3" \h \z \u </w:instrText>
          </w:r>
          <w:r w:rsidRPr="00762E08">
            <w:rPr>
              <w:color w:val="000000" w:themeColor="text1"/>
              <w:sz w:val="24"/>
              <w:szCs w:val="24"/>
            </w:rPr>
            <w:fldChar w:fldCharType="separate"/>
          </w:r>
          <w:hyperlink w:anchor="_Toc110631975" w:history="1">
            <w:r w:rsidR="008C565C" w:rsidRPr="00A403EA">
              <w:rPr>
                <w:rStyle w:val="Hyperlink"/>
                <w:noProof/>
                <w:lang w:val="en-GB"/>
              </w:rPr>
              <w:t>Introduction</w:t>
            </w:r>
            <w:r w:rsidR="008C565C">
              <w:rPr>
                <w:noProof/>
                <w:webHidden/>
              </w:rPr>
              <w:tab/>
            </w:r>
            <w:r w:rsidR="008C565C">
              <w:rPr>
                <w:noProof/>
                <w:webHidden/>
              </w:rPr>
              <w:fldChar w:fldCharType="begin"/>
            </w:r>
            <w:r w:rsidR="008C565C">
              <w:rPr>
                <w:noProof/>
                <w:webHidden/>
              </w:rPr>
              <w:instrText xml:space="preserve"> PAGEREF _Toc110631975 \h </w:instrText>
            </w:r>
            <w:r w:rsidR="008C565C">
              <w:rPr>
                <w:noProof/>
                <w:webHidden/>
              </w:rPr>
            </w:r>
            <w:r w:rsidR="008C565C">
              <w:rPr>
                <w:noProof/>
                <w:webHidden/>
              </w:rPr>
              <w:fldChar w:fldCharType="separate"/>
            </w:r>
            <w:r w:rsidR="008C565C">
              <w:rPr>
                <w:noProof/>
                <w:webHidden/>
              </w:rPr>
              <w:t>3</w:t>
            </w:r>
            <w:r w:rsidR="008C565C">
              <w:rPr>
                <w:noProof/>
                <w:webHidden/>
              </w:rPr>
              <w:fldChar w:fldCharType="end"/>
            </w:r>
          </w:hyperlink>
        </w:p>
        <w:p w:rsidR="008C565C" w:rsidRDefault="008C565C">
          <w:pPr>
            <w:pStyle w:val="TOC1"/>
            <w:tabs>
              <w:tab w:val="right" w:leader="dot" w:pos="9062"/>
            </w:tabs>
            <w:rPr>
              <w:rFonts w:eastAsiaTheme="minorEastAsia"/>
              <w:noProof/>
              <w:lang w:eastAsia="bg-BG"/>
            </w:rPr>
          </w:pPr>
          <w:hyperlink w:anchor="_Toc110631976" w:history="1">
            <w:r w:rsidRPr="00A403EA">
              <w:rPr>
                <w:rStyle w:val="Hyperlink"/>
                <w:noProof/>
                <w:lang w:val="en-GB"/>
              </w:rPr>
              <w:t>Analysis</w:t>
            </w:r>
            <w:r>
              <w:rPr>
                <w:noProof/>
                <w:webHidden/>
              </w:rPr>
              <w:tab/>
            </w:r>
            <w:r>
              <w:rPr>
                <w:noProof/>
                <w:webHidden/>
              </w:rPr>
              <w:fldChar w:fldCharType="begin"/>
            </w:r>
            <w:r>
              <w:rPr>
                <w:noProof/>
                <w:webHidden/>
              </w:rPr>
              <w:instrText xml:space="preserve"> PAGEREF _Toc110631976 \h </w:instrText>
            </w:r>
            <w:r>
              <w:rPr>
                <w:noProof/>
                <w:webHidden/>
              </w:rPr>
            </w:r>
            <w:r>
              <w:rPr>
                <w:noProof/>
                <w:webHidden/>
              </w:rPr>
              <w:fldChar w:fldCharType="separate"/>
            </w:r>
            <w:r>
              <w:rPr>
                <w:noProof/>
                <w:webHidden/>
              </w:rPr>
              <w:t>3</w:t>
            </w:r>
            <w:r>
              <w:rPr>
                <w:noProof/>
                <w:webHidden/>
              </w:rPr>
              <w:fldChar w:fldCharType="end"/>
            </w:r>
          </w:hyperlink>
        </w:p>
        <w:p w:rsidR="008C565C" w:rsidRDefault="008C565C">
          <w:pPr>
            <w:pStyle w:val="TOC2"/>
            <w:tabs>
              <w:tab w:val="right" w:leader="dot" w:pos="9062"/>
            </w:tabs>
            <w:rPr>
              <w:rFonts w:eastAsiaTheme="minorEastAsia"/>
              <w:noProof/>
              <w:lang w:eastAsia="bg-BG"/>
            </w:rPr>
          </w:pPr>
          <w:hyperlink w:anchor="_Toc110631977" w:history="1">
            <w:r w:rsidRPr="00A403EA">
              <w:rPr>
                <w:rStyle w:val="Hyperlink"/>
                <w:noProof/>
                <w:lang w:val="en-GB"/>
              </w:rPr>
              <w:t>Values</w:t>
            </w:r>
            <w:r>
              <w:rPr>
                <w:noProof/>
                <w:webHidden/>
              </w:rPr>
              <w:tab/>
            </w:r>
            <w:r>
              <w:rPr>
                <w:noProof/>
                <w:webHidden/>
              </w:rPr>
              <w:fldChar w:fldCharType="begin"/>
            </w:r>
            <w:r>
              <w:rPr>
                <w:noProof/>
                <w:webHidden/>
              </w:rPr>
              <w:instrText xml:space="preserve"> PAGEREF _Toc110631977 \h </w:instrText>
            </w:r>
            <w:r>
              <w:rPr>
                <w:noProof/>
                <w:webHidden/>
              </w:rPr>
            </w:r>
            <w:r>
              <w:rPr>
                <w:noProof/>
                <w:webHidden/>
              </w:rPr>
              <w:fldChar w:fldCharType="separate"/>
            </w:r>
            <w:r>
              <w:rPr>
                <w:noProof/>
                <w:webHidden/>
              </w:rPr>
              <w:t>3</w:t>
            </w:r>
            <w:r>
              <w:rPr>
                <w:noProof/>
                <w:webHidden/>
              </w:rPr>
              <w:fldChar w:fldCharType="end"/>
            </w:r>
          </w:hyperlink>
        </w:p>
        <w:p w:rsidR="008C565C" w:rsidRDefault="008C565C">
          <w:pPr>
            <w:pStyle w:val="TOC2"/>
            <w:tabs>
              <w:tab w:val="right" w:leader="dot" w:pos="9062"/>
            </w:tabs>
            <w:rPr>
              <w:rFonts w:eastAsiaTheme="minorEastAsia"/>
              <w:noProof/>
              <w:lang w:eastAsia="bg-BG"/>
            </w:rPr>
          </w:pPr>
          <w:hyperlink w:anchor="_Toc110631978" w:history="1">
            <w:r w:rsidRPr="00A403EA">
              <w:rPr>
                <w:rStyle w:val="Hyperlink"/>
                <w:noProof/>
                <w:lang w:val="en-GB"/>
              </w:rPr>
              <w:t>Operational regions</w:t>
            </w:r>
            <w:r>
              <w:rPr>
                <w:noProof/>
                <w:webHidden/>
              </w:rPr>
              <w:tab/>
            </w:r>
            <w:r>
              <w:rPr>
                <w:noProof/>
                <w:webHidden/>
              </w:rPr>
              <w:fldChar w:fldCharType="begin"/>
            </w:r>
            <w:r>
              <w:rPr>
                <w:noProof/>
                <w:webHidden/>
              </w:rPr>
              <w:instrText xml:space="preserve"> PAGEREF _Toc110631978 \h </w:instrText>
            </w:r>
            <w:r>
              <w:rPr>
                <w:noProof/>
                <w:webHidden/>
              </w:rPr>
            </w:r>
            <w:r>
              <w:rPr>
                <w:noProof/>
                <w:webHidden/>
              </w:rPr>
              <w:fldChar w:fldCharType="separate"/>
            </w:r>
            <w:r>
              <w:rPr>
                <w:noProof/>
                <w:webHidden/>
              </w:rPr>
              <w:t>3</w:t>
            </w:r>
            <w:r>
              <w:rPr>
                <w:noProof/>
                <w:webHidden/>
              </w:rPr>
              <w:fldChar w:fldCharType="end"/>
            </w:r>
          </w:hyperlink>
        </w:p>
        <w:p w:rsidR="008C565C" w:rsidRDefault="008C565C">
          <w:pPr>
            <w:pStyle w:val="TOC2"/>
            <w:tabs>
              <w:tab w:val="right" w:leader="dot" w:pos="9062"/>
            </w:tabs>
            <w:rPr>
              <w:rFonts w:eastAsiaTheme="minorEastAsia"/>
              <w:noProof/>
              <w:lang w:eastAsia="bg-BG"/>
            </w:rPr>
          </w:pPr>
          <w:hyperlink w:anchor="_Toc110631979" w:history="1">
            <w:r w:rsidRPr="00A403EA">
              <w:rPr>
                <w:rStyle w:val="Hyperlink"/>
                <w:noProof/>
                <w:lang w:val="en-GB"/>
              </w:rPr>
              <w:t>Corporation structure</w:t>
            </w:r>
            <w:r>
              <w:rPr>
                <w:noProof/>
                <w:webHidden/>
              </w:rPr>
              <w:tab/>
            </w:r>
            <w:r>
              <w:rPr>
                <w:noProof/>
                <w:webHidden/>
              </w:rPr>
              <w:fldChar w:fldCharType="begin"/>
            </w:r>
            <w:r>
              <w:rPr>
                <w:noProof/>
                <w:webHidden/>
              </w:rPr>
              <w:instrText xml:space="preserve"> PAGEREF _Toc110631979 \h </w:instrText>
            </w:r>
            <w:r>
              <w:rPr>
                <w:noProof/>
                <w:webHidden/>
              </w:rPr>
            </w:r>
            <w:r>
              <w:rPr>
                <w:noProof/>
                <w:webHidden/>
              </w:rPr>
              <w:fldChar w:fldCharType="separate"/>
            </w:r>
            <w:r>
              <w:rPr>
                <w:noProof/>
                <w:webHidden/>
              </w:rPr>
              <w:t>4</w:t>
            </w:r>
            <w:r>
              <w:rPr>
                <w:noProof/>
                <w:webHidden/>
              </w:rPr>
              <w:fldChar w:fldCharType="end"/>
            </w:r>
          </w:hyperlink>
        </w:p>
        <w:p w:rsidR="008C565C" w:rsidRDefault="008C565C">
          <w:pPr>
            <w:pStyle w:val="TOC2"/>
            <w:tabs>
              <w:tab w:val="right" w:leader="dot" w:pos="9062"/>
            </w:tabs>
            <w:rPr>
              <w:rFonts w:eastAsiaTheme="minorEastAsia"/>
              <w:noProof/>
              <w:lang w:eastAsia="bg-BG"/>
            </w:rPr>
          </w:pPr>
          <w:hyperlink w:anchor="_Toc110631980" w:history="1">
            <w:r w:rsidRPr="00A403EA">
              <w:rPr>
                <w:rStyle w:val="Hyperlink"/>
                <w:noProof/>
                <w:lang w:val="en-GB"/>
              </w:rPr>
              <w:t>Employees</w:t>
            </w:r>
            <w:r>
              <w:rPr>
                <w:noProof/>
                <w:webHidden/>
              </w:rPr>
              <w:tab/>
            </w:r>
            <w:r>
              <w:rPr>
                <w:noProof/>
                <w:webHidden/>
              </w:rPr>
              <w:fldChar w:fldCharType="begin"/>
            </w:r>
            <w:r>
              <w:rPr>
                <w:noProof/>
                <w:webHidden/>
              </w:rPr>
              <w:instrText xml:space="preserve"> PAGEREF _Toc110631980 \h </w:instrText>
            </w:r>
            <w:r>
              <w:rPr>
                <w:noProof/>
                <w:webHidden/>
              </w:rPr>
            </w:r>
            <w:r>
              <w:rPr>
                <w:noProof/>
                <w:webHidden/>
              </w:rPr>
              <w:fldChar w:fldCharType="separate"/>
            </w:r>
            <w:r>
              <w:rPr>
                <w:noProof/>
                <w:webHidden/>
              </w:rPr>
              <w:t>6</w:t>
            </w:r>
            <w:r>
              <w:rPr>
                <w:noProof/>
                <w:webHidden/>
              </w:rPr>
              <w:fldChar w:fldCharType="end"/>
            </w:r>
          </w:hyperlink>
        </w:p>
        <w:p w:rsidR="008C565C" w:rsidRDefault="008C565C">
          <w:pPr>
            <w:pStyle w:val="TOC2"/>
            <w:tabs>
              <w:tab w:val="right" w:leader="dot" w:pos="9062"/>
            </w:tabs>
            <w:rPr>
              <w:rFonts w:eastAsiaTheme="minorEastAsia"/>
              <w:noProof/>
              <w:lang w:eastAsia="bg-BG"/>
            </w:rPr>
          </w:pPr>
          <w:hyperlink w:anchor="_Toc110631981" w:history="1">
            <w:r w:rsidRPr="00A403EA">
              <w:rPr>
                <w:rStyle w:val="Hyperlink"/>
                <w:noProof/>
                <w:lang w:val="en-GB"/>
              </w:rPr>
              <w:t>Goals, Strategies, Challenges</w:t>
            </w:r>
            <w:r>
              <w:rPr>
                <w:noProof/>
                <w:webHidden/>
              </w:rPr>
              <w:tab/>
            </w:r>
            <w:r>
              <w:rPr>
                <w:noProof/>
                <w:webHidden/>
              </w:rPr>
              <w:fldChar w:fldCharType="begin"/>
            </w:r>
            <w:r>
              <w:rPr>
                <w:noProof/>
                <w:webHidden/>
              </w:rPr>
              <w:instrText xml:space="preserve"> PAGEREF _Toc110631981 \h </w:instrText>
            </w:r>
            <w:r>
              <w:rPr>
                <w:noProof/>
                <w:webHidden/>
              </w:rPr>
            </w:r>
            <w:r>
              <w:rPr>
                <w:noProof/>
                <w:webHidden/>
              </w:rPr>
              <w:fldChar w:fldCharType="separate"/>
            </w:r>
            <w:r>
              <w:rPr>
                <w:noProof/>
                <w:webHidden/>
              </w:rPr>
              <w:t>6</w:t>
            </w:r>
            <w:r>
              <w:rPr>
                <w:noProof/>
                <w:webHidden/>
              </w:rPr>
              <w:fldChar w:fldCharType="end"/>
            </w:r>
          </w:hyperlink>
        </w:p>
        <w:p w:rsidR="008C565C" w:rsidRDefault="008C565C">
          <w:pPr>
            <w:pStyle w:val="TOC2"/>
            <w:tabs>
              <w:tab w:val="right" w:leader="dot" w:pos="9062"/>
            </w:tabs>
            <w:rPr>
              <w:rFonts w:eastAsiaTheme="minorEastAsia"/>
              <w:noProof/>
              <w:lang w:eastAsia="bg-BG"/>
            </w:rPr>
          </w:pPr>
          <w:hyperlink w:anchor="_Toc110631982" w:history="1">
            <w:r w:rsidRPr="00A403EA">
              <w:rPr>
                <w:rStyle w:val="Hyperlink"/>
                <w:noProof/>
                <w:lang w:val="en-GB"/>
              </w:rPr>
              <w:t>Financial performance</w:t>
            </w:r>
            <w:r>
              <w:rPr>
                <w:noProof/>
                <w:webHidden/>
              </w:rPr>
              <w:tab/>
            </w:r>
            <w:r>
              <w:rPr>
                <w:noProof/>
                <w:webHidden/>
              </w:rPr>
              <w:fldChar w:fldCharType="begin"/>
            </w:r>
            <w:r>
              <w:rPr>
                <w:noProof/>
                <w:webHidden/>
              </w:rPr>
              <w:instrText xml:space="preserve"> PAGEREF _Toc110631982 \h </w:instrText>
            </w:r>
            <w:r>
              <w:rPr>
                <w:noProof/>
                <w:webHidden/>
              </w:rPr>
            </w:r>
            <w:r>
              <w:rPr>
                <w:noProof/>
                <w:webHidden/>
              </w:rPr>
              <w:fldChar w:fldCharType="separate"/>
            </w:r>
            <w:r>
              <w:rPr>
                <w:noProof/>
                <w:webHidden/>
              </w:rPr>
              <w:t>7</w:t>
            </w:r>
            <w:r>
              <w:rPr>
                <w:noProof/>
                <w:webHidden/>
              </w:rPr>
              <w:fldChar w:fldCharType="end"/>
            </w:r>
          </w:hyperlink>
        </w:p>
        <w:p w:rsidR="008C565C" w:rsidRDefault="008C565C">
          <w:pPr>
            <w:pStyle w:val="TOC1"/>
            <w:tabs>
              <w:tab w:val="right" w:leader="dot" w:pos="9062"/>
            </w:tabs>
            <w:rPr>
              <w:rFonts w:eastAsiaTheme="minorEastAsia"/>
              <w:noProof/>
              <w:lang w:eastAsia="bg-BG"/>
            </w:rPr>
          </w:pPr>
          <w:hyperlink w:anchor="_Toc110631983" w:history="1">
            <w:r w:rsidRPr="00A403EA">
              <w:rPr>
                <w:rStyle w:val="Hyperlink"/>
                <w:noProof/>
                <w:lang w:val="en-GB"/>
              </w:rPr>
              <w:t>Conclusion</w:t>
            </w:r>
            <w:r>
              <w:rPr>
                <w:noProof/>
                <w:webHidden/>
              </w:rPr>
              <w:tab/>
            </w:r>
            <w:r>
              <w:rPr>
                <w:noProof/>
                <w:webHidden/>
              </w:rPr>
              <w:fldChar w:fldCharType="begin"/>
            </w:r>
            <w:r>
              <w:rPr>
                <w:noProof/>
                <w:webHidden/>
              </w:rPr>
              <w:instrText xml:space="preserve"> PAGEREF _Toc110631983 \h </w:instrText>
            </w:r>
            <w:r>
              <w:rPr>
                <w:noProof/>
                <w:webHidden/>
              </w:rPr>
            </w:r>
            <w:r>
              <w:rPr>
                <w:noProof/>
                <w:webHidden/>
              </w:rPr>
              <w:fldChar w:fldCharType="separate"/>
            </w:r>
            <w:r>
              <w:rPr>
                <w:noProof/>
                <w:webHidden/>
              </w:rPr>
              <w:t>11</w:t>
            </w:r>
            <w:r>
              <w:rPr>
                <w:noProof/>
                <w:webHidden/>
              </w:rPr>
              <w:fldChar w:fldCharType="end"/>
            </w:r>
          </w:hyperlink>
        </w:p>
        <w:p w:rsidR="008C565C" w:rsidRDefault="008C565C">
          <w:pPr>
            <w:pStyle w:val="TOC1"/>
            <w:tabs>
              <w:tab w:val="right" w:leader="dot" w:pos="9062"/>
            </w:tabs>
            <w:rPr>
              <w:rFonts w:eastAsiaTheme="minorEastAsia"/>
              <w:noProof/>
              <w:lang w:eastAsia="bg-BG"/>
            </w:rPr>
          </w:pPr>
          <w:hyperlink w:anchor="_Toc110631984" w:history="1">
            <w:r w:rsidRPr="00A403EA">
              <w:rPr>
                <w:rStyle w:val="Hyperlink"/>
                <w:noProof/>
              </w:rPr>
              <w:t>References</w:t>
            </w:r>
            <w:r>
              <w:rPr>
                <w:noProof/>
                <w:webHidden/>
              </w:rPr>
              <w:tab/>
            </w:r>
            <w:r>
              <w:rPr>
                <w:noProof/>
                <w:webHidden/>
              </w:rPr>
              <w:fldChar w:fldCharType="begin"/>
            </w:r>
            <w:r>
              <w:rPr>
                <w:noProof/>
                <w:webHidden/>
              </w:rPr>
              <w:instrText xml:space="preserve"> PAGEREF _Toc110631984 \h </w:instrText>
            </w:r>
            <w:r>
              <w:rPr>
                <w:noProof/>
                <w:webHidden/>
              </w:rPr>
            </w:r>
            <w:r>
              <w:rPr>
                <w:noProof/>
                <w:webHidden/>
              </w:rPr>
              <w:fldChar w:fldCharType="separate"/>
            </w:r>
            <w:r>
              <w:rPr>
                <w:noProof/>
                <w:webHidden/>
              </w:rPr>
              <w:t>12</w:t>
            </w:r>
            <w:r>
              <w:rPr>
                <w:noProof/>
                <w:webHidden/>
              </w:rPr>
              <w:fldChar w:fldCharType="end"/>
            </w:r>
          </w:hyperlink>
        </w:p>
        <w:p w:rsidR="00C714FF" w:rsidRPr="006847A1" w:rsidRDefault="00C714FF">
          <w:pPr>
            <w:rPr>
              <w:sz w:val="24"/>
              <w:szCs w:val="24"/>
            </w:rPr>
          </w:pPr>
          <w:r w:rsidRPr="00762E08">
            <w:rPr>
              <w:b/>
              <w:bCs/>
              <w:noProof/>
              <w:color w:val="000000" w:themeColor="text1"/>
              <w:sz w:val="24"/>
              <w:szCs w:val="24"/>
            </w:rPr>
            <w:fldChar w:fldCharType="end"/>
          </w:r>
        </w:p>
      </w:sdtContent>
    </w:sdt>
    <w:p w:rsidR="00A81F1C" w:rsidRPr="006847A1" w:rsidRDefault="00A81F1C">
      <w:pPr>
        <w:rPr>
          <w:sz w:val="24"/>
          <w:szCs w:val="24"/>
          <w:lang w:val="en-GB"/>
        </w:rPr>
      </w:pPr>
    </w:p>
    <w:p w:rsidR="00A81F1C" w:rsidRPr="006847A1" w:rsidRDefault="00A81F1C">
      <w:pPr>
        <w:rPr>
          <w:sz w:val="24"/>
          <w:szCs w:val="24"/>
          <w:lang w:val="en-GB"/>
        </w:rPr>
      </w:pPr>
    </w:p>
    <w:p w:rsidR="00A81F1C" w:rsidRPr="006847A1" w:rsidRDefault="00A81F1C">
      <w:pPr>
        <w:rPr>
          <w:sz w:val="24"/>
          <w:szCs w:val="24"/>
          <w:lang w:val="en-GB"/>
        </w:rPr>
      </w:pPr>
    </w:p>
    <w:p w:rsidR="005C4F77" w:rsidRPr="006847A1" w:rsidRDefault="005C4F77">
      <w:pPr>
        <w:rPr>
          <w:sz w:val="24"/>
          <w:szCs w:val="24"/>
          <w:lang w:val="en-GB"/>
        </w:rPr>
      </w:pPr>
    </w:p>
    <w:p w:rsidR="00A81F1C" w:rsidRPr="006847A1" w:rsidRDefault="00A81F1C">
      <w:pPr>
        <w:rPr>
          <w:sz w:val="24"/>
          <w:szCs w:val="24"/>
          <w:lang w:val="en-GB"/>
        </w:rPr>
      </w:pPr>
    </w:p>
    <w:p w:rsidR="00A81F1C" w:rsidRPr="006847A1" w:rsidRDefault="00A81F1C">
      <w:pPr>
        <w:rPr>
          <w:sz w:val="24"/>
          <w:szCs w:val="24"/>
          <w:lang w:val="en-GB"/>
        </w:rPr>
      </w:pPr>
    </w:p>
    <w:p w:rsidR="00A81F1C" w:rsidRPr="006847A1" w:rsidRDefault="00A81F1C">
      <w:pPr>
        <w:rPr>
          <w:sz w:val="24"/>
          <w:szCs w:val="24"/>
          <w:lang w:val="en-GB"/>
        </w:rPr>
      </w:pPr>
    </w:p>
    <w:p w:rsidR="00A81F1C" w:rsidRPr="006847A1" w:rsidRDefault="00A81F1C">
      <w:pPr>
        <w:rPr>
          <w:sz w:val="24"/>
          <w:szCs w:val="24"/>
          <w:lang w:val="en-GB"/>
        </w:rPr>
      </w:pPr>
    </w:p>
    <w:p w:rsidR="00A81F1C" w:rsidRPr="006847A1" w:rsidRDefault="00A81F1C">
      <w:pPr>
        <w:rPr>
          <w:sz w:val="24"/>
          <w:szCs w:val="24"/>
          <w:lang w:val="en-GB"/>
        </w:rPr>
      </w:pPr>
    </w:p>
    <w:p w:rsidR="00A81F1C" w:rsidRPr="006847A1" w:rsidRDefault="00A81F1C">
      <w:pPr>
        <w:rPr>
          <w:sz w:val="24"/>
          <w:szCs w:val="24"/>
          <w:lang w:val="en-GB"/>
        </w:rPr>
      </w:pPr>
    </w:p>
    <w:p w:rsidR="00A81F1C" w:rsidRPr="006847A1" w:rsidRDefault="00A81F1C">
      <w:pPr>
        <w:rPr>
          <w:sz w:val="24"/>
          <w:szCs w:val="24"/>
          <w:lang w:val="en-GB"/>
        </w:rPr>
      </w:pPr>
    </w:p>
    <w:p w:rsidR="00A81F1C" w:rsidRPr="006847A1" w:rsidRDefault="00A81F1C">
      <w:pPr>
        <w:rPr>
          <w:sz w:val="24"/>
          <w:szCs w:val="24"/>
          <w:lang w:val="en-GB"/>
        </w:rPr>
      </w:pPr>
    </w:p>
    <w:p w:rsidR="00A81F1C" w:rsidRPr="006847A1" w:rsidRDefault="00A81F1C">
      <w:pPr>
        <w:rPr>
          <w:sz w:val="24"/>
          <w:szCs w:val="24"/>
          <w:lang w:val="en-GB"/>
        </w:rPr>
      </w:pPr>
    </w:p>
    <w:p w:rsidR="00A81F1C" w:rsidRPr="006847A1" w:rsidRDefault="00A81F1C">
      <w:pPr>
        <w:rPr>
          <w:sz w:val="24"/>
          <w:szCs w:val="24"/>
          <w:lang w:val="en-GB"/>
        </w:rPr>
      </w:pPr>
    </w:p>
    <w:p w:rsidR="00A81F1C" w:rsidRPr="006847A1" w:rsidRDefault="00A81F1C">
      <w:pPr>
        <w:rPr>
          <w:sz w:val="24"/>
          <w:szCs w:val="24"/>
          <w:lang w:val="en-GB"/>
        </w:rPr>
      </w:pPr>
    </w:p>
    <w:p w:rsidR="00A81F1C" w:rsidRPr="006847A1" w:rsidRDefault="00A81F1C">
      <w:pPr>
        <w:rPr>
          <w:sz w:val="24"/>
          <w:szCs w:val="24"/>
          <w:lang w:val="en-GB"/>
        </w:rPr>
      </w:pPr>
    </w:p>
    <w:p w:rsidR="00A05F99" w:rsidRPr="006847A1" w:rsidRDefault="00A05F99">
      <w:pPr>
        <w:rPr>
          <w:sz w:val="24"/>
          <w:szCs w:val="24"/>
          <w:lang w:val="en-GB"/>
        </w:rPr>
      </w:pPr>
    </w:p>
    <w:p w:rsidR="00D31811" w:rsidRPr="00762E08" w:rsidRDefault="00D31811" w:rsidP="00D31811">
      <w:pPr>
        <w:pStyle w:val="Heading1"/>
        <w:rPr>
          <w:color w:val="000000" w:themeColor="text1"/>
          <w:sz w:val="24"/>
          <w:szCs w:val="24"/>
          <w:lang w:val="en-GB"/>
        </w:rPr>
      </w:pPr>
      <w:bookmarkStart w:id="0" w:name="_Toc110631975"/>
      <w:r w:rsidRPr="00762E08">
        <w:rPr>
          <w:color w:val="000000" w:themeColor="text1"/>
          <w:sz w:val="24"/>
          <w:szCs w:val="24"/>
          <w:lang w:val="en-GB"/>
        </w:rPr>
        <w:lastRenderedPageBreak/>
        <w:t>Introduction</w:t>
      </w:r>
      <w:bookmarkEnd w:id="0"/>
    </w:p>
    <w:p w:rsidR="00155FCE" w:rsidRPr="00762E08" w:rsidRDefault="00155FCE" w:rsidP="00155FCE">
      <w:pPr>
        <w:rPr>
          <w:color w:val="000000" w:themeColor="text1"/>
          <w:sz w:val="24"/>
          <w:szCs w:val="24"/>
          <w:lang w:val="en-GB"/>
        </w:rPr>
      </w:pPr>
    </w:p>
    <w:p w:rsidR="00155FCE" w:rsidRPr="00762E08" w:rsidRDefault="00054A41" w:rsidP="00155FCE">
      <w:pPr>
        <w:rPr>
          <w:color w:val="000000" w:themeColor="text1"/>
          <w:sz w:val="24"/>
          <w:szCs w:val="24"/>
          <w:lang w:val="en-GB"/>
        </w:rPr>
      </w:pPr>
      <w:r w:rsidRPr="00762E08">
        <w:rPr>
          <w:color w:val="000000" w:themeColor="text1"/>
          <w:sz w:val="24"/>
          <w:szCs w:val="24"/>
          <w:lang w:val="en-GB"/>
        </w:rPr>
        <w:t>The globe economy has become more transnational and enlarged in the past decade</w:t>
      </w:r>
      <w:r w:rsidR="00053B8F" w:rsidRPr="00762E08">
        <w:rPr>
          <w:color w:val="000000" w:themeColor="text1"/>
          <w:sz w:val="24"/>
          <w:szCs w:val="24"/>
          <w:lang w:val="en-GB"/>
        </w:rPr>
        <w:t>s</w:t>
      </w:r>
      <w:r w:rsidRPr="00762E08">
        <w:rPr>
          <w:color w:val="000000" w:themeColor="text1"/>
          <w:sz w:val="24"/>
          <w:szCs w:val="24"/>
          <w:lang w:val="en-GB"/>
        </w:rPr>
        <w:t>. Globalization of the world propel companies to expand their market internationally and to reduce borders for capital investments. Since 1980s’ financial markets ha</w:t>
      </w:r>
      <w:r w:rsidR="00053B8F" w:rsidRPr="00762E08">
        <w:rPr>
          <w:color w:val="000000" w:themeColor="text1"/>
          <w:sz w:val="24"/>
          <w:szCs w:val="24"/>
          <w:lang w:val="en-GB"/>
        </w:rPr>
        <w:t>ve significantly changed, allowing multinational corporations</w:t>
      </w:r>
      <w:r w:rsidR="000D4DAB" w:rsidRPr="00762E08">
        <w:rPr>
          <w:color w:val="000000" w:themeColor="text1"/>
          <w:sz w:val="24"/>
          <w:szCs w:val="24"/>
          <w:lang w:val="en-GB"/>
        </w:rPr>
        <w:t xml:space="preserve"> </w:t>
      </w:r>
      <w:r w:rsidR="00053B8F" w:rsidRPr="00762E08">
        <w:rPr>
          <w:color w:val="000000" w:themeColor="text1"/>
          <w:sz w:val="24"/>
          <w:szCs w:val="24"/>
          <w:lang w:val="en-GB"/>
        </w:rPr>
        <w:t xml:space="preserve">(MNC) to become leaders world-wide. Nowadays, the capital landscape depends of computer securitization and technology development. However, there are many opportunities for MNC to enter the global market, such as: franchising, joint venture, foreign direct investments. </w:t>
      </w:r>
      <w:sdt>
        <w:sdtPr>
          <w:rPr>
            <w:color w:val="000000" w:themeColor="text1"/>
            <w:sz w:val="24"/>
            <w:szCs w:val="24"/>
            <w:lang w:val="en-GB"/>
          </w:rPr>
          <w:id w:val="1112318528"/>
          <w:citation/>
        </w:sdtPr>
        <w:sdtEndPr/>
        <w:sdtContent>
          <w:r w:rsidR="00053B8F" w:rsidRPr="00762E08">
            <w:rPr>
              <w:color w:val="000000" w:themeColor="text1"/>
              <w:sz w:val="24"/>
              <w:szCs w:val="24"/>
              <w:lang w:val="en-GB"/>
            </w:rPr>
            <w:fldChar w:fldCharType="begin"/>
          </w:r>
          <w:r w:rsidR="00053B8F" w:rsidRPr="00762E08">
            <w:rPr>
              <w:color w:val="000000" w:themeColor="text1"/>
              <w:sz w:val="24"/>
              <w:szCs w:val="24"/>
              <w:lang w:val="en-GB"/>
            </w:rPr>
            <w:instrText xml:space="preserve"> CITATION Bek13 \l 2057 </w:instrText>
          </w:r>
          <w:r w:rsidR="00053B8F" w:rsidRPr="00762E08">
            <w:rPr>
              <w:color w:val="000000" w:themeColor="text1"/>
              <w:sz w:val="24"/>
              <w:szCs w:val="24"/>
              <w:lang w:val="en-GB"/>
            </w:rPr>
            <w:fldChar w:fldCharType="separate"/>
          </w:r>
          <w:r w:rsidR="00397765" w:rsidRPr="00397765">
            <w:rPr>
              <w:noProof/>
              <w:color w:val="000000" w:themeColor="text1"/>
              <w:sz w:val="24"/>
              <w:szCs w:val="24"/>
              <w:lang w:val="en-GB"/>
            </w:rPr>
            <w:t>(Bekaert &amp; Hodrick, 2013)</w:t>
          </w:r>
          <w:r w:rsidR="00053B8F" w:rsidRPr="00762E08">
            <w:rPr>
              <w:color w:val="000000" w:themeColor="text1"/>
              <w:sz w:val="24"/>
              <w:szCs w:val="24"/>
              <w:lang w:val="en-GB"/>
            </w:rPr>
            <w:fldChar w:fldCharType="end"/>
          </w:r>
        </w:sdtContent>
      </w:sdt>
    </w:p>
    <w:p w:rsidR="00D31811" w:rsidRPr="00762E08" w:rsidRDefault="008C565C" w:rsidP="00D31811">
      <w:pPr>
        <w:rPr>
          <w:color w:val="000000" w:themeColor="text1"/>
          <w:sz w:val="24"/>
          <w:szCs w:val="24"/>
          <w:lang w:val="en-GB"/>
        </w:rPr>
      </w:pPr>
      <w:r>
        <w:rPr>
          <w:color w:val="000000" w:themeColor="text1"/>
          <w:sz w:val="24"/>
          <w:szCs w:val="24"/>
          <w:lang w:val="en-GB"/>
        </w:rPr>
        <w:t>Astra</w:t>
      </w:r>
      <w:bookmarkStart w:id="1" w:name="_GoBack"/>
      <w:bookmarkEnd w:id="1"/>
      <w:r w:rsidR="003E2F53" w:rsidRPr="00762E08">
        <w:rPr>
          <w:color w:val="000000" w:themeColor="text1"/>
          <w:sz w:val="24"/>
          <w:szCs w:val="24"/>
          <w:lang w:val="en-GB"/>
        </w:rPr>
        <w:t>Zeneca is a multinational pharmaceutical corporation, which concentrates on the science-based foundation, development and distributing of medical</w:t>
      </w:r>
      <w:r w:rsidR="00143CE4" w:rsidRPr="00762E08">
        <w:rPr>
          <w:color w:val="000000" w:themeColor="text1"/>
          <w:sz w:val="24"/>
          <w:szCs w:val="24"/>
          <w:lang w:val="en-GB"/>
        </w:rPr>
        <w:t xml:space="preserve"> drugs. Its main sectors of operation</w:t>
      </w:r>
      <w:r w:rsidR="003E2F53" w:rsidRPr="00762E08">
        <w:rPr>
          <w:color w:val="000000" w:themeColor="text1"/>
          <w:sz w:val="24"/>
          <w:szCs w:val="24"/>
          <w:lang w:val="en-GB"/>
        </w:rPr>
        <w:t xml:space="preserve"> are: Oncology, rare diseases, Biopharmaceuticals as Cardiovascular, Renal, Immunology and Respiratory. </w:t>
      </w:r>
      <w:r w:rsidR="00143CE4" w:rsidRPr="00762E08">
        <w:rPr>
          <w:color w:val="000000" w:themeColor="text1"/>
          <w:sz w:val="24"/>
          <w:szCs w:val="24"/>
          <w:lang w:val="en-GB"/>
        </w:rPr>
        <w:t xml:space="preserve">The company is British-Swedish, based in Cambridge United Kingdom, but operates in more than a hundred countries around the world and its products help million people globally. </w:t>
      </w:r>
      <w:sdt>
        <w:sdtPr>
          <w:rPr>
            <w:color w:val="000000" w:themeColor="text1"/>
            <w:sz w:val="24"/>
            <w:szCs w:val="24"/>
            <w:lang w:val="en-GB"/>
          </w:rPr>
          <w:id w:val="-32581446"/>
          <w:citation/>
        </w:sdtPr>
        <w:sdtEndPr/>
        <w:sdtContent>
          <w:r w:rsidR="00155FCE" w:rsidRPr="00762E08">
            <w:rPr>
              <w:color w:val="000000" w:themeColor="text1"/>
              <w:sz w:val="24"/>
              <w:szCs w:val="24"/>
              <w:lang w:val="en-GB"/>
            </w:rPr>
            <w:fldChar w:fldCharType="begin"/>
          </w:r>
          <w:r w:rsidR="00155FCE" w:rsidRPr="00762E08">
            <w:rPr>
              <w:color w:val="000000" w:themeColor="text1"/>
              <w:sz w:val="24"/>
              <w:szCs w:val="24"/>
              <w:lang w:val="en-GB"/>
            </w:rPr>
            <w:instrText xml:space="preserve"> CITATION Ast21 \l 2057 </w:instrText>
          </w:r>
          <w:r w:rsidR="00155FCE" w:rsidRPr="00762E08">
            <w:rPr>
              <w:color w:val="000000" w:themeColor="text1"/>
              <w:sz w:val="24"/>
              <w:szCs w:val="24"/>
              <w:lang w:val="en-GB"/>
            </w:rPr>
            <w:fldChar w:fldCharType="separate"/>
          </w:r>
          <w:r w:rsidR="00397765" w:rsidRPr="00397765">
            <w:rPr>
              <w:noProof/>
              <w:color w:val="000000" w:themeColor="text1"/>
              <w:sz w:val="24"/>
              <w:szCs w:val="24"/>
              <w:lang w:val="en-GB"/>
            </w:rPr>
            <w:t>(AstraZeneca, AstraZeneca Sustainability Report 2021, 2021)</w:t>
          </w:r>
          <w:r w:rsidR="00155FCE" w:rsidRPr="00762E08">
            <w:rPr>
              <w:color w:val="000000" w:themeColor="text1"/>
              <w:sz w:val="24"/>
              <w:szCs w:val="24"/>
              <w:lang w:val="en-GB"/>
            </w:rPr>
            <w:fldChar w:fldCharType="end"/>
          </w:r>
        </w:sdtContent>
      </w:sdt>
    </w:p>
    <w:p w:rsidR="00B6221C" w:rsidRPr="00762E08" w:rsidRDefault="009336D4" w:rsidP="009336D4">
      <w:pPr>
        <w:pStyle w:val="Heading1"/>
        <w:rPr>
          <w:color w:val="000000" w:themeColor="text1"/>
          <w:sz w:val="24"/>
          <w:szCs w:val="24"/>
          <w:lang w:val="en-GB"/>
        </w:rPr>
      </w:pPr>
      <w:bookmarkStart w:id="2" w:name="_Toc110631976"/>
      <w:r w:rsidRPr="00762E08">
        <w:rPr>
          <w:color w:val="000000" w:themeColor="text1"/>
          <w:sz w:val="24"/>
          <w:szCs w:val="24"/>
          <w:lang w:val="en-GB"/>
        </w:rPr>
        <w:t>Analysis</w:t>
      </w:r>
      <w:bookmarkEnd w:id="2"/>
    </w:p>
    <w:p w:rsidR="009336D4" w:rsidRPr="00762E08" w:rsidRDefault="009F64C5" w:rsidP="009336D4">
      <w:pPr>
        <w:pStyle w:val="Heading2"/>
        <w:rPr>
          <w:color w:val="000000" w:themeColor="text1"/>
          <w:sz w:val="24"/>
          <w:szCs w:val="24"/>
          <w:lang w:val="en-GB"/>
        </w:rPr>
      </w:pPr>
      <w:bookmarkStart w:id="3" w:name="_Toc110631977"/>
      <w:r w:rsidRPr="00762E08">
        <w:rPr>
          <w:color w:val="000000" w:themeColor="text1"/>
          <w:sz w:val="24"/>
          <w:szCs w:val="24"/>
          <w:lang w:val="en-GB"/>
        </w:rPr>
        <w:t>Values</w:t>
      </w:r>
      <w:bookmarkEnd w:id="3"/>
    </w:p>
    <w:p w:rsidR="00397F0F" w:rsidRPr="006847A1" w:rsidRDefault="00290603" w:rsidP="00397F0F">
      <w:pPr>
        <w:rPr>
          <w:sz w:val="24"/>
          <w:szCs w:val="24"/>
          <w:lang w:val="en-GB"/>
        </w:rPr>
      </w:pPr>
      <w:r w:rsidRPr="00762E08">
        <w:rPr>
          <w:color w:val="000000" w:themeColor="text1"/>
          <w:sz w:val="24"/>
          <w:szCs w:val="24"/>
          <w:lang w:val="en-GB"/>
        </w:rPr>
        <w:t xml:space="preserve">Many of the international companies have been started their multinational business in countries with closer location and similar culture, then further expand globally. It is a huge </w:t>
      </w:r>
      <w:r w:rsidRPr="006847A1">
        <w:rPr>
          <w:sz w:val="24"/>
          <w:szCs w:val="24"/>
          <w:lang w:val="en-GB"/>
        </w:rPr>
        <w:t>advantage for a firm to have core centres in geographically excellent locations, where operational systems, transportation and technology are on the top level</w:t>
      </w:r>
      <w:r w:rsidR="00397F0F" w:rsidRPr="006847A1">
        <w:rPr>
          <w:sz w:val="24"/>
          <w:szCs w:val="24"/>
          <w:lang w:val="en-GB"/>
        </w:rPr>
        <w:t>.</w:t>
      </w:r>
      <w:r w:rsidR="00282360" w:rsidRPr="006847A1">
        <w:rPr>
          <w:sz w:val="24"/>
          <w:szCs w:val="24"/>
          <w:lang w:val="en-GB"/>
        </w:rPr>
        <w:t xml:space="preserve"> </w:t>
      </w:r>
      <w:sdt>
        <w:sdtPr>
          <w:rPr>
            <w:sz w:val="24"/>
            <w:szCs w:val="24"/>
            <w:lang w:val="en-GB"/>
          </w:rPr>
          <w:id w:val="-2003959109"/>
          <w:citation/>
        </w:sdtPr>
        <w:sdtEndPr/>
        <w:sdtContent>
          <w:r w:rsidR="00282360" w:rsidRPr="006847A1">
            <w:rPr>
              <w:sz w:val="24"/>
              <w:szCs w:val="24"/>
              <w:lang w:val="en-GB"/>
            </w:rPr>
            <w:fldChar w:fldCharType="begin"/>
          </w:r>
          <w:r w:rsidR="00282360" w:rsidRPr="006847A1">
            <w:rPr>
              <w:sz w:val="24"/>
              <w:szCs w:val="24"/>
              <w:lang w:val="en-GB"/>
            </w:rPr>
            <w:instrText xml:space="preserve"> CITATION Zha16 \l 2057 </w:instrText>
          </w:r>
          <w:r w:rsidR="00282360" w:rsidRPr="006847A1">
            <w:rPr>
              <w:sz w:val="24"/>
              <w:szCs w:val="24"/>
              <w:lang w:val="en-GB"/>
            </w:rPr>
            <w:fldChar w:fldCharType="separate"/>
          </w:r>
          <w:r w:rsidR="00397765" w:rsidRPr="00397765">
            <w:rPr>
              <w:noProof/>
              <w:sz w:val="24"/>
              <w:szCs w:val="24"/>
              <w:lang w:val="en-GB"/>
            </w:rPr>
            <w:t>(Zhao &amp; et al, 2016)</w:t>
          </w:r>
          <w:r w:rsidR="00282360" w:rsidRPr="006847A1">
            <w:rPr>
              <w:sz w:val="24"/>
              <w:szCs w:val="24"/>
              <w:lang w:val="en-GB"/>
            </w:rPr>
            <w:fldChar w:fldCharType="end"/>
          </w:r>
        </w:sdtContent>
      </w:sdt>
    </w:p>
    <w:p w:rsidR="006F014A" w:rsidRPr="00762E08" w:rsidRDefault="00A2344F" w:rsidP="006F014A">
      <w:pPr>
        <w:rPr>
          <w:color w:val="000000" w:themeColor="text1"/>
          <w:sz w:val="24"/>
          <w:szCs w:val="24"/>
          <w:lang w:val="en-GB"/>
        </w:rPr>
      </w:pPr>
      <w:r w:rsidRPr="006847A1">
        <w:rPr>
          <w:sz w:val="24"/>
          <w:szCs w:val="24"/>
          <w:lang w:val="en-GB"/>
        </w:rPr>
        <w:t xml:space="preserve">AstraZeneca’s priorities are to deliver best possible and life-changing products to its patients by using foremost innovations and technologies. The corporation has seventeen interconnected sustainable development goals in order to face poverty and diversity, </w:t>
      </w:r>
      <w:r w:rsidR="00D44151" w:rsidRPr="006847A1">
        <w:rPr>
          <w:sz w:val="24"/>
          <w:szCs w:val="24"/>
          <w:lang w:val="en-GB"/>
        </w:rPr>
        <w:t>from one side and climate change from the other</w:t>
      </w:r>
      <w:r w:rsidR="006F014A" w:rsidRPr="006847A1">
        <w:rPr>
          <w:sz w:val="24"/>
          <w:szCs w:val="24"/>
          <w:lang w:val="en-GB"/>
        </w:rPr>
        <w:t>.</w:t>
      </w:r>
      <w:sdt>
        <w:sdtPr>
          <w:rPr>
            <w:sz w:val="24"/>
            <w:szCs w:val="24"/>
            <w:lang w:val="en-GB"/>
          </w:rPr>
          <w:id w:val="-2130925383"/>
          <w:citation/>
        </w:sdtPr>
        <w:sdtEndPr>
          <w:rPr>
            <w:color w:val="000000" w:themeColor="text1"/>
          </w:rPr>
        </w:sdtEndPr>
        <w:sdtContent>
          <w:r w:rsidR="006F014A" w:rsidRPr="00762E08">
            <w:rPr>
              <w:color w:val="000000" w:themeColor="text1"/>
              <w:sz w:val="24"/>
              <w:szCs w:val="24"/>
              <w:lang w:val="en-GB"/>
            </w:rPr>
            <w:fldChar w:fldCharType="begin"/>
          </w:r>
          <w:r w:rsidR="006F014A" w:rsidRPr="00762E08">
            <w:rPr>
              <w:color w:val="000000" w:themeColor="text1"/>
              <w:sz w:val="24"/>
              <w:szCs w:val="24"/>
              <w:lang w:val="en-GB"/>
            </w:rPr>
            <w:instrText xml:space="preserve"> CITATION Ast21 \l 2057 </w:instrText>
          </w:r>
          <w:r w:rsidR="006F014A" w:rsidRPr="00762E08">
            <w:rPr>
              <w:color w:val="000000" w:themeColor="text1"/>
              <w:sz w:val="24"/>
              <w:szCs w:val="24"/>
              <w:lang w:val="en-GB"/>
            </w:rPr>
            <w:fldChar w:fldCharType="separate"/>
          </w:r>
          <w:r w:rsidR="00397765">
            <w:rPr>
              <w:noProof/>
              <w:color w:val="000000" w:themeColor="text1"/>
              <w:sz w:val="24"/>
              <w:szCs w:val="24"/>
              <w:lang w:val="en-GB"/>
            </w:rPr>
            <w:t xml:space="preserve"> </w:t>
          </w:r>
          <w:r w:rsidR="00397765" w:rsidRPr="00397765">
            <w:rPr>
              <w:noProof/>
              <w:color w:val="000000" w:themeColor="text1"/>
              <w:sz w:val="24"/>
              <w:szCs w:val="24"/>
              <w:lang w:val="en-GB"/>
            </w:rPr>
            <w:t>(AstraZeneca, AstraZeneca Sustainability Report 2021, 2021)</w:t>
          </w:r>
          <w:r w:rsidR="006F014A" w:rsidRPr="00762E08">
            <w:rPr>
              <w:color w:val="000000" w:themeColor="text1"/>
              <w:sz w:val="24"/>
              <w:szCs w:val="24"/>
              <w:lang w:val="en-GB"/>
            </w:rPr>
            <w:fldChar w:fldCharType="end"/>
          </w:r>
        </w:sdtContent>
      </w:sdt>
    </w:p>
    <w:p w:rsidR="009F64C5" w:rsidRPr="00762E08" w:rsidRDefault="009F64C5" w:rsidP="009F64C5">
      <w:pPr>
        <w:pStyle w:val="Heading2"/>
        <w:rPr>
          <w:color w:val="000000" w:themeColor="text1"/>
          <w:sz w:val="24"/>
          <w:szCs w:val="24"/>
          <w:lang w:val="en-GB"/>
        </w:rPr>
      </w:pPr>
      <w:bookmarkStart w:id="4" w:name="_Toc110631978"/>
      <w:r w:rsidRPr="00762E08">
        <w:rPr>
          <w:color w:val="000000" w:themeColor="text1"/>
          <w:sz w:val="24"/>
          <w:szCs w:val="24"/>
          <w:lang w:val="en-GB"/>
        </w:rPr>
        <w:t>Operational regions</w:t>
      </w:r>
      <w:bookmarkEnd w:id="4"/>
    </w:p>
    <w:p w:rsidR="005C4F77" w:rsidRPr="006847A1" w:rsidRDefault="00B41585" w:rsidP="005C4F77">
      <w:pPr>
        <w:rPr>
          <w:sz w:val="24"/>
          <w:szCs w:val="24"/>
          <w:lang w:val="en-GB"/>
        </w:rPr>
      </w:pPr>
      <w:r w:rsidRPr="00762E08">
        <w:rPr>
          <w:color w:val="000000" w:themeColor="text1"/>
          <w:sz w:val="24"/>
          <w:szCs w:val="24"/>
          <w:lang w:val="en-GB"/>
        </w:rPr>
        <w:t>The company is providing medicines and healthcare equipment to various locations all over</w:t>
      </w:r>
      <w:r w:rsidRPr="006847A1">
        <w:rPr>
          <w:sz w:val="24"/>
          <w:szCs w:val="24"/>
          <w:lang w:val="en-GB"/>
        </w:rPr>
        <w:t xml:space="preserve"> the world, including Europe, USA, UK, Brazil, China, Japan, </w:t>
      </w:r>
      <w:r w:rsidR="00784446" w:rsidRPr="006847A1">
        <w:rPr>
          <w:sz w:val="24"/>
          <w:szCs w:val="24"/>
          <w:lang w:val="en-GB"/>
        </w:rPr>
        <w:t xml:space="preserve">Russia, </w:t>
      </w:r>
      <w:r w:rsidRPr="006847A1">
        <w:rPr>
          <w:sz w:val="24"/>
          <w:szCs w:val="24"/>
          <w:lang w:val="en-GB"/>
        </w:rPr>
        <w:t xml:space="preserve">Africa and other regions. </w:t>
      </w:r>
      <w:sdt>
        <w:sdtPr>
          <w:rPr>
            <w:sz w:val="24"/>
            <w:szCs w:val="24"/>
            <w:lang w:val="en-GB"/>
          </w:rPr>
          <w:id w:val="37712885"/>
          <w:citation/>
        </w:sdtPr>
        <w:sdtEndPr/>
        <w:sdtContent>
          <w:r w:rsidR="005C4F77" w:rsidRPr="006847A1">
            <w:rPr>
              <w:sz w:val="24"/>
              <w:szCs w:val="24"/>
              <w:lang w:val="en-GB"/>
            </w:rPr>
            <w:fldChar w:fldCharType="begin"/>
          </w:r>
          <w:r w:rsidR="005C4F77" w:rsidRPr="006847A1">
            <w:rPr>
              <w:sz w:val="24"/>
              <w:szCs w:val="24"/>
              <w:lang w:val="en-GB"/>
            </w:rPr>
            <w:instrText xml:space="preserve"> CITATION AlG21 \l 2057 </w:instrText>
          </w:r>
          <w:r w:rsidR="005C4F77" w:rsidRPr="006847A1">
            <w:rPr>
              <w:sz w:val="24"/>
              <w:szCs w:val="24"/>
              <w:lang w:val="en-GB"/>
            </w:rPr>
            <w:fldChar w:fldCharType="separate"/>
          </w:r>
          <w:r w:rsidR="00397765" w:rsidRPr="00397765">
            <w:rPr>
              <w:noProof/>
              <w:sz w:val="24"/>
              <w:szCs w:val="24"/>
              <w:lang w:val="en-GB"/>
            </w:rPr>
            <w:t>(Al Ghanem &amp; et al, 2021)</w:t>
          </w:r>
          <w:r w:rsidR="005C4F77" w:rsidRPr="006847A1">
            <w:rPr>
              <w:sz w:val="24"/>
              <w:szCs w:val="24"/>
              <w:lang w:val="en-GB"/>
            </w:rPr>
            <w:fldChar w:fldCharType="end"/>
          </w:r>
        </w:sdtContent>
      </w:sdt>
    </w:p>
    <w:p w:rsidR="005C4F77" w:rsidRPr="006847A1" w:rsidRDefault="00333425" w:rsidP="005C4F77">
      <w:pPr>
        <w:rPr>
          <w:sz w:val="24"/>
          <w:szCs w:val="24"/>
          <w:lang w:val="en-GB"/>
        </w:rPr>
      </w:pPr>
      <w:r w:rsidRPr="006847A1">
        <w:rPr>
          <w:noProof/>
          <w:sz w:val="24"/>
          <w:szCs w:val="24"/>
          <w:lang w:eastAsia="bg-BG"/>
        </w:rPr>
        <w:lastRenderedPageBreak/>
        <w:drawing>
          <wp:inline distT="0" distB="0" distL="0" distR="0" wp14:anchorId="78691010" wp14:editId="719A2AC6">
            <wp:extent cx="6247970" cy="4579620"/>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lobal-operations-astrazeneca-3-638.webp"/>
                    <pic:cNvPicPr/>
                  </pic:nvPicPr>
                  <pic:blipFill>
                    <a:blip r:embed="rId6">
                      <a:extLst>
                        <a:ext uri="{28A0092B-C50C-407E-A947-70E740481C1C}">
                          <a14:useLocalDpi xmlns:a14="http://schemas.microsoft.com/office/drawing/2010/main" val="0"/>
                        </a:ext>
                      </a:extLst>
                    </a:blip>
                    <a:stretch>
                      <a:fillRect/>
                    </a:stretch>
                  </pic:blipFill>
                  <pic:spPr>
                    <a:xfrm>
                      <a:off x="0" y="0"/>
                      <a:ext cx="6271511" cy="4596875"/>
                    </a:xfrm>
                    <a:prstGeom prst="rect">
                      <a:avLst/>
                    </a:prstGeom>
                  </pic:spPr>
                </pic:pic>
              </a:graphicData>
            </a:graphic>
          </wp:inline>
        </w:drawing>
      </w:r>
    </w:p>
    <w:p w:rsidR="00333425" w:rsidRPr="006847A1" w:rsidRDefault="00333425" w:rsidP="00A356CE">
      <w:pPr>
        <w:jc w:val="center"/>
        <w:rPr>
          <w:sz w:val="24"/>
          <w:szCs w:val="24"/>
          <w:lang w:val="en-GB"/>
        </w:rPr>
      </w:pPr>
      <w:r w:rsidRPr="006847A1">
        <w:rPr>
          <w:sz w:val="24"/>
          <w:szCs w:val="24"/>
          <w:lang w:val="en-GB"/>
        </w:rPr>
        <w:t>Source: (</w:t>
      </w:r>
      <w:proofErr w:type="spellStart"/>
      <w:r w:rsidRPr="006847A1">
        <w:rPr>
          <w:sz w:val="24"/>
          <w:szCs w:val="24"/>
          <w:lang w:val="en-GB"/>
        </w:rPr>
        <w:t>Nijhuis</w:t>
      </w:r>
      <w:proofErr w:type="spellEnd"/>
      <w:r w:rsidRPr="006847A1">
        <w:rPr>
          <w:sz w:val="24"/>
          <w:szCs w:val="24"/>
          <w:lang w:val="en-GB"/>
        </w:rPr>
        <w:t>, 2016)</w:t>
      </w:r>
    </w:p>
    <w:p w:rsidR="00333425" w:rsidRPr="006847A1" w:rsidRDefault="00333425" w:rsidP="005C4F77">
      <w:pPr>
        <w:rPr>
          <w:sz w:val="24"/>
          <w:szCs w:val="24"/>
          <w:lang w:val="en-GB"/>
        </w:rPr>
      </w:pPr>
    </w:p>
    <w:p w:rsidR="00282360" w:rsidRPr="00762E08" w:rsidRDefault="00DE7EBA" w:rsidP="00397F0F">
      <w:pPr>
        <w:rPr>
          <w:color w:val="000000" w:themeColor="text1"/>
          <w:sz w:val="24"/>
          <w:szCs w:val="24"/>
          <w:lang w:val="en-GB"/>
        </w:rPr>
      </w:pPr>
      <w:r w:rsidRPr="006847A1">
        <w:rPr>
          <w:sz w:val="24"/>
          <w:szCs w:val="24"/>
          <w:lang w:val="en-GB"/>
        </w:rPr>
        <w:t xml:space="preserve">AstraZeneca uses as regional partnerships to upgrade product range, as </w:t>
      </w:r>
      <w:r w:rsidR="00F5796D" w:rsidRPr="006847A1">
        <w:rPr>
          <w:sz w:val="24"/>
          <w:szCs w:val="24"/>
          <w:lang w:val="en-GB"/>
        </w:rPr>
        <w:t xml:space="preserve">external power and expertise that already exists. One of these centres is China, for example. The country has already enormous availability of resources, technologically based manufacturers and working hand to discover and offer new medicines to the global market rapidly. </w:t>
      </w:r>
      <w:r w:rsidR="00111634" w:rsidRPr="006847A1">
        <w:rPr>
          <w:sz w:val="24"/>
          <w:szCs w:val="24"/>
          <w:lang w:val="en-GB"/>
        </w:rPr>
        <w:t xml:space="preserve">The corporation has agreement in 2011 with the manufacturer </w:t>
      </w:r>
      <w:proofErr w:type="spellStart"/>
      <w:r w:rsidR="005C4F77" w:rsidRPr="006847A1">
        <w:rPr>
          <w:sz w:val="24"/>
          <w:szCs w:val="24"/>
          <w:lang w:val="en-GB"/>
        </w:rPr>
        <w:t>BeiKang</w:t>
      </w:r>
      <w:proofErr w:type="spellEnd"/>
      <w:r w:rsidR="005C4F77" w:rsidRPr="006847A1">
        <w:rPr>
          <w:sz w:val="24"/>
          <w:szCs w:val="24"/>
          <w:lang w:val="en-GB"/>
        </w:rPr>
        <w:t xml:space="preserve"> Pharmaceutical</w:t>
      </w:r>
      <w:r w:rsidR="002D6275">
        <w:rPr>
          <w:sz w:val="24"/>
          <w:szCs w:val="24"/>
          <w:lang w:val="en-GB"/>
        </w:rPr>
        <w:t xml:space="preserve"> Company Ltd</w:t>
      </w:r>
      <w:r w:rsidR="00111634" w:rsidRPr="006847A1">
        <w:rPr>
          <w:sz w:val="24"/>
          <w:szCs w:val="24"/>
          <w:lang w:val="en-GB"/>
        </w:rPr>
        <w:t xml:space="preserve">. </w:t>
      </w:r>
      <w:r w:rsidR="00C5794D" w:rsidRPr="006847A1">
        <w:rPr>
          <w:sz w:val="24"/>
          <w:szCs w:val="24"/>
          <w:lang w:val="en-GB"/>
        </w:rPr>
        <w:t xml:space="preserve">The settlement is giving AstraZeneca permission to use selection of injectable medicines for infection and distribute them to the Chinese people. This type of commitment obligate firm to bring the original and high standard of the generic drugs to the wider market in order to expand </w:t>
      </w:r>
      <w:r w:rsidR="00E424C9" w:rsidRPr="006847A1">
        <w:rPr>
          <w:sz w:val="24"/>
          <w:szCs w:val="24"/>
          <w:lang w:val="en-GB"/>
        </w:rPr>
        <w:t xml:space="preserve">approachability and competitiveness in prices for patients who did not have access to them before. </w:t>
      </w:r>
      <w:r w:rsidR="00742BC2" w:rsidRPr="006847A1">
        <w:rPr>
          <w:sz w:val="24"/>
          <w:szCs w:val="24"/>
          <w:lang w:val="en-GB"/>
        </w:rPr>
        <w:t xml:space="preserve">AstraZeneca-China evolve medicaments not only for local purposes, but for global distribution also. That was the first step for the company to become world-wide benefactor and provider of alteration and </w:t>
      </w:r>
      <w:r w:rsidR="00742BC2" w:rsidRPr="00762E08">
        <w:rPr>
          <w:color w:val="000000" w:themeColor="text1"/>
          <w:sz w:val="24"/>
          <w:szCs w:val="24"/>
          <w:lang w:val="en-GB"/>
        </w:rPr>
        <w:t xml:space="preserve">innovation. </w:t>
      </w:r>
      <w:r w:rsidR="005C4F77" w:rsidRPr="00762E08">
        <w:rPr>
          <w:color w:val="000000" w:themeColor="text1"/>
          <w:sz w:val="24"/>
          <w:szCs w:val="24"/>
          <w:lang w:val="en-GB"/>
        </w:rPr>
        <w:t xml:space="preserve"> (Zhao &amp; et al, 2016)</w:t>
      </w:r>
    </w:p>
    <w:p w:rsidR="009F64C5" w:rsidRPr="00762E08" w:rsidRDefault="009F64C5" w:rsidP="009F64C5">
      <w:pPr>
        <w:pStyle w:val="Heading2"/>
        <w:rPr>
          <w:color w:val="000000" w:themeColor="text1"/>
          <w:sz w:val="24"/>
          <w:szCs w:val="24"/>
          <w:lang w:val="en-GB"/>
        </w:rPr>
      </w:pPr>
      <w:bookmarkStart w:id="5" w:name="_Toc110631979"/>
      <w:r w:rsidRPr="00762E08">
        <w:rPr>
          <w:color w:val="000000" w:themeColor="text1"/>
          <w:sz w:val="24"/>
          <w:szCs w:val="24"/>
          <w:lang w:val="en-GB"/>
        </w:rPr>
        <w:t>Corporation structure</w:t>
      </w:r>
      <w:bookmarkEnd w:id="5"/>
    </w:p>
    <w:p w:rsidR="00282360" w:rsidRPr="006847A1" w:rsidRDefault="00E57A39" w:rsidP="00EE47DF">
      <w:pPr>
        <w:rPr>
          <w:sz w:val="24"/>
          <w:szCs w:val="24"/>
          <w:lang w:val="en-GB"/>
        </w:rPr>
      </w:pPr>
      <w:r w:rsidRPr="00762E08">
        <w:rPr>
          <w:color w:val="000000" w:themeColor="text1"/>
          <w:sz w:val="24"/>
          <w:szCs w:val="24"/>
          <w:lang w:val="en-GB"/>
        </w:rPr>
        <w:t>The Board of Directors have strictly co</w:t>
      </w:r>
      <w:r w:rsidR="00800AC5" w:rsidRPr="00762E08">
        <w:rPr>
          <w:color w:val="000000" w:themeColor="text1"/>
          <w:sz w:val="24"/>
          <w:szCs w:val="24"/>
          <w:lang w:val="en-GB"/>
        </w:rPr>
        <w:t xml:space="preserve">mmitments and responsibilities, including taking own risk by implementing the chosen strategy, observing the progress and preparing annual </w:t>
      </w:r>
      <w:r w:rsidR="00800AC5" w:rsidRPr="006847A1">
        <w:rPr>
          <w:sz w:val="24"/>
          <w:szCs w:val="24"/>
          <w:lang w:val="en-GB"/>
        </w:rPr>
        <w:t xml:space="preserve">proposition of action. </w:t>
      </w:r>
      <w:r w:rsidRPr="006847A1">
        <w:rPr>
          <w:sz w:val="24"/>
          <w:szCs w:val="24"/>
          <w:lang w:val="en-GB"/>
        </w:rPr>
        <w:t xml:space="preserve">They sustain </w:t>
      </w:r>
      <w:r w:rsidR="00800AC5" w:rsidRPr="006847A1">
        <w:rPr>
          <w:sz w:val="24"/>
          <w:szCs w:val="24"/>
          <w:lang w:val="en-GB"/>
        </w:rPr>
        <w:t xml:space="preserve">and regularly review a checklist of business ideas, making sure they </w:t>
      </w:r>
      <w:r w:rsidR="00F17AA3" w:rsidRPr="006847A1">
        <w:rPr>
          <w:sz w:val="24"/>
          <w:szCs w:val="24"/>
          <w:lang w:val="en-GB"/>
        </w:rPr>
        <w:t xml:space="preserve">represent dividends of the stakeholders also. </w:t>
      </w:r>
      <w:r w:rsidR="00800AC5" w:rsidRPr="006847A1">
        <w:rPr>
          <w:sz w:val="24"/>
          <w:szCs w:val="24"/>
          <w:lang w:val="en-GB"/>
        </w:rPr>
        <w:t xml:space="preserve">The list of the most relevant matters </w:t>
      </w:r>
      <w:r w:rsidR="00800AC5" w:rsidRPr="006847A1">
        <w:rPr>
          <w:sz w:val="24"/>
          <w:szCs w:val="24"/>
          <w:lang w:val="en-GB"/>
        </w:rPr>
        <w:lastRenderedPageBreak/>
        <w:t>is being transferred to the CEO or one of the five Committees of the Board. The picture below represents the structure of the company in the top level management</w:t>
      </w:r>
      <w:r w:rsidR="00EE47DF" w:rsidRPr="006847A1">
        <w:rPr>
          <w:sz w:val="24"/>
          <w:szCs w:val="24"/>
          <w:lang w:val="en-GB"/>
        </w:rPr>
        <w:t xml:space="preserve">. </w:t>
      </w:r>
      <w:sdt>
        <w:sdtPr>
          <w:rPr>
            <w:sz w:val="24"/>
            <w:szCs w:val="24"/>
            <w:lang w:val="en-GB"/>
          </w:rPr>
          <w:id w:val="-71434836"/>
          <w:citation/>
        </w:sdtPr>
        <w:sdtEndPr/>
        <w:sdtContent>
          <w:r w:rsidR="00EE47DF" w:rsidRPr="006847A1">
            <w:rPr>
              <w:sz w:val="24"/>
              <w:szCs w:val="24"/>
              <w:lang w:val="en-GB"/>
            </w:rPr>
            <w:fldChar w:fldCharType="begin"/>
          </w:r>
          <w:r w:rsidR="00EE47DF" w:rsidRPr="006847A1">
            <w:rPr>
              <w:sz w:val="24"/>
              <w:szCs w:val="24"/>
              <w:lang w:val="en-GB"/>
            </w:rPr>
            <w:instrText xml:space="preserve">CITATION Ast211 \l 2057 </w:instrText>
          </w:r>
          <w:r w:rsidR="00EE47DF" w:rsidRPr="006847A1">
            <w:rPr>
              <w:sz w:val="24"/>
              <w:szCs w:val="24"/>
              <w:lang w:val="en-GB"/>
            </w:rPr>
            <w:fldChar w:fldCharType="separate"/>
          </w:r>
          <w:r w:rsidR="00397765" w:rsidRPr="00397765">
            <w:rPr>
              <w:noProof/>
              <w:sz w:val="24"/>
              <w:szCs w:val="24"/>
              <w:lang w:val="en-GB"/>
            </w:rPr>
            <w:t>(AstraZeneca, AstraZeneca Annual Report, 2021)</w:t>
          </w:r>
          <w:r w:rsidR="00EE47DF" w:rsidRPr="006847A1">
            <w:rPr>
              <w:sz w:val="24"/>
              <w:szCs w:val="24"/>
              <w:lang w:val="en-GB"/>
            </w:rPr>
            <w:fldChar w:fldCharType="end"/>
          </w:r>
        </w:sdtContent>
      </w:sdt>
    </w:p>
    <w:p w:rsidR="007E5937" w:rsidRPr="006847A1" w:rsidRDefault="00CF750D" w:rsidP="00EE47DF">
      <w:pPr>
        <w:rPr>
          <w:sz w:val="24"/>
          <w:szCs w:val="24"/>
          <w:lang w:val="en-GB"/>
        </w:rPr>
      </w:pPr>
      <w:r w:rsidRPr="006847A1">
        <w:rPr>
          <w:noProof/>
          <w:sz w:val="24"/>
          <w:szCs w:val="24"/>
          <w:lang w:eastAsia="bg-BG"/>
        </w:rPr>
        <w:drawing>
          <wp:inline distT="0" distB="0" distL="0" distR="0" wp14:anchorId="4267DC99" wp14:editId="2586BE5D">
            <wp:extent cx="5753100" cy="7660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9658552_azn-20211231xex15d1g076 (1).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93101" cy="7713904"/>
                    </a:xfrm>
                    <a:prstGeom prst="rect">
                      <a:avLst/>
                    </a:prstGeom>
                  </pic:spPr>
                </pic:pic>
              </a:graphicData>
            </a:graphic>
          </wp:inline>
        </w:drawing>
      </w:r>
    </w:p>
    <w:p w:rsidR="00CF750D" w:rsidRPr="006847A1" w:rsidRDefault="00CF750D" w:rsidP="006A5C2E">
      <w:pPr>
        <w:jc w:val="center"/>
        <w:rPr>
          <w:sz w:val="24"/>
          <w:szCs w:val="24"/>
          <w:lang w:val="en-GB"/>
        </w:rPr>
      </w:pPr>
      <w:r w:rsidRPr="006847A1">
        <w:rPr>
          <w:sz w:val="24"/>
          <w:szCs w:val="24"/>
          <w:lang w:val="en-GB"/>
        </w:rPr>
        <w:t xml:space="preserve">Source: </w:t>
      </w:r>
      <w:sdt>
        <w:sdtPr>
          <w:rPr>
            <w:sz w:val="24"/>
            <w:szCs w:val="24"/>
            <w:lang w:val="en-GB"/>
          </w:rPr>
          <w:id w:val="-1627855148"/>
          <w:citation/>
        </w:sdtPr>
        <w:sdtEndPr/>
        <w:sdtContent>
          <w:r w:rsidRPr="006847A1">
            <w:rPr>
              <w:sz w:val="24"/>
              <w:szCs w:val="24"/>
              <w:lang w:val="en-GB"/>
            </w:rPr>
            <w:fldChar w:fldCharType="begin"/>
          </w:r>
          <w:r w:rsidRPr="006847A1">
            <w:rPr>
              <w:sz w:val="24"/>
              <w:szCs w:val="24"/>
              <w:lang w:val="en-GB"/>
            </w:rPr>
            <w:instrText xml:space="preserve"> CITATION Ast211 \l 2057 </w:instrText>
          </w:r>
          <w:r w:rsidRPr="006847A1">
            <w:rPr>
              <w:sz w:val="24"/>
              <w:szCs w:val="24"/>
              <w:lang w:val="en-GB"/>
            </w:rPr>
            <w:fldChar w:fldCharType="separate"/>
          </w:r>
          <w:r w:rsidR="00397765" w:rsidRPr="00397765">
            <w:rPr>
              <w:noProof/>
              <w:sz w:val="24"/>
              <w:szCs w:val="24"/>
              <w:lang w:val="en-GB"/>
            </w:rPr>
            <w:t>(AstraZeneca, AstraZeneca Annual Report, 2021)</w:t>
          </w:r>
          <w:r w:rsidRPr="006847A1">
            <w:rPr>
              <w:sz w:val="24"/>
              <w:szCs w:val="24"/>
              <w:lang w:val="en-GB"/>
            </w:rPr>
            <w:fldChar w:fldCharType="end"/>
          </w:r>
        </w:sdtContent>
      </w:sdt>
    </w:p>
    <w:p w:rsidR="00282360" w:rsidRPr="00526744" w:rsidRDefault="00DE5AB4" w:rsidP="00526744">
      <w:pPr>
        <w:rPr>
          <w:sz w:val="24"/>
          <w:szCs w:val="24"/>
          <w:lang w:val="en-GB"/>
        </w:rPr>
      </w:pPr>
      <w:r w:rsidRPr="000B3E3B">
        <w:rPr>
          <w:sz w:val="24"/>
          <w:szCs w:val="24"/>
          <w:lang w:val="en-GB"/>
        </w:rPr>
        <w:lastRenderedPageBreak/>
        <w:t>The Board of directors and managers regularly maintain and conduct meetings with shareholders to dialogue the company’s goals. During these conferences, investors are ensured that t</w:t>
      </w:r>
      <w:r w:rsidR="00526744">
        <w:rPr>
          <w:sz w:val="24"/>
          <w:szCs w:val="24"/>
          <w:lang w:val="en-GB"/>
        </w:rPr>
        <w:t>heir capital is valued and safe.</w:t>
      </w:r>
      <w:r w:rsidR="009F64C5" w:rsidRPr="00526744">
        <w:rPr>
          <w:sz w:val="24"/>
          <w:szCs w:val="24"/>
          <w:lang w:val="en-GB"/>
        </w:rPr>
        <w:t xml:space="preserve"> </w:t>
      </w:r>
      <w:sdt>
        <w:sdtPr>
          <w:rPr>
            <w:lang w:val="en-GB"/>
          </w:rPr>
          <w:id w:val="-1135178280"/>
          <w:citation/>
        </w:sdtPr>
        <w:sdtEndPr/>
        <w:sdtContent>
          <w:r w:rsidR="009F64C5" w:rsidRPr="00526744">
            <w:rPr>
              <w:sz w:val="24"/>
              <w:szCs w:val="24"/>
              <w:lang w:val="en-GB"/>
            </w:rPr>
            <w:fldChar w:fldCharType="begin"/>
          </w:r>
          <w:r w:rsidR="009F64C5" w:rsidRPr="00526744">
            <w:rPr>
              <w:sz w:val="24"/>
              <w:szCs w:val="24"/>
              <w:lang w:val="en-GB"/>
            </w:rPr>
            <w:instrText xml:space="preserve"> CITATION Ast211 \l 2057 </w:instrText>
          </w:r>
          <w:r w:rsidR="009F64C5" w:rsidRPr="00526744">
            <w:rPr>
              <w:sz w:val="24"/>
              <w:szCs w:val="24"/>
              <w:lang w:val="en-GB"/>
            </w:rPr>
            <w:fldChar w:fldCharType="separate"/>
          </w:r>
          <w:r w:rsidR="00397765" w:rsidRPr="00526744">
            <w:rPr>
              <w:noProof/>
              <w:sz w:val="24"/>
              <w:szCs w:val="24"/>
              <w:lang w:val="en-GB"/>
            </w:rPr>
            <w:t>(AstraZeneca, AstraZeneca Annual Report, 2021)</w:t>
          </w:r>
          <w:r w:rsidR="009F64C5" w:rsidRPr="00526744">
            <w:rPr>
              <w:sz w:val="24"/>
              <w:szCs w:val="24"/>
              <w:lang w:val="en-GB"/>
            </w:rPr>
            <w:fldChar w:fldCharType="end"/>
          </w:r>
        </w:sdtContent>
      </w:sdt>
    </w:p>
    <w:p w:rsidR="005C4F77" w:rsidRDefault="005C4F77" w:rsidP="00397F0F">
      <w:pPr>
        <w:rPr>
          <w:lang w:val="en-GB"/>
        </w:rPr>
      </w:pPr>
    </w:p>
    <w:p w:rsidR="005C4F77" w:rsidRPr="00BF7591" w:rsidRDefault="005C4F77" w:rsidP="009F64C5">
      <w:pPr>
        <w:pStyle w:val="Heading2"/>
        <w:rPr>
          <w:color w:val="000000" w:themeColor="text1"/>
          <w:sz w:val="24"/>
          <w:szCs w:val="24"/>
          <w:lang w:val="en-GB"/>
        </w:rPr>
      </w:pPr>
      <w:bookmarkStart w:id="6" w:name="_Toc110631980"/>
      <w:r w:rsidRPr="00BF7591">
        <w:rPr>
          <w:color w:val="000000" w:themeColor="text1"/>
          <w:sz w:val="24"/>
          <w:szCs w:val="24"/>
          <w:lang w:val="en-GB"/>
        </w:rPr>
        <w:t>Employees</w:t>
      </w:r>
      <w:bookmarkEnd w:id="6"/>
    </w:p>
    <w:p w:rsidR="005C4F77" w:rsidRPr="00BF7591" w:rsidRDefault="00C04679" w:rsidP="005C4F77">
      <w:pPr>
        <w:rPr>
          <w:color w:val="000000" w:themeColor="text1"/>
          <w:sz w:val="24"/>
          <w:szCs w:val="24"/>
          <w:lang w:val="en-GB"/>
        </w:rPr>
      </w:pPr>
      <w:r w:rsidRPr="00BF7591">
        <w:rPr>
          <w:color w:val="000000" w:themeColor="text1"/>
          <w:sz w:val="24"/>
          <w:szCs w:val="24"/>
          <w:lang w:val="en-GB"/>
        </w:rPr>
        <w:t xml:space="preserve">Workers in AstraZeneca are </w:t>
      </w:r>
      <w:r w:rsidR="00BF7591" w:rsidRPr="00BF7591">
        <w:rPr>
          <w:color w:val="000000" w:themeColor="text1"/>
          <w:sz w:val="24"/>
          <w:szCs w:val="24"/>
          <w:lang w:val="en-GB"/>
        </w:rPr>
        <w:t>from significant importance</w:t>
      </w:r>
      <w:r w:rsidR="001857FE">
        <w:rPr>
          <w:color w:val="000000" w:themeColor="text1"/>
          <w:sz w:val="24"/>
          <w:szCs w:val="24"/>
          <w:lang w:val="en-GB"/>
        </w:rPr>
        <w:t xml:space="preserve"> for the whole firm</w:t>
      </w:r>
      <w:r w:rsidR="00BF7591" w:rsidRPr="00BF7591">
        <w:rPr>
          <w:color w:val="000000" w:themeColor="text1"/>
          <w:sz w:val="24"/>
          <w:szCs w:val="24"/>
          <w:lang w:val="en-GB"/>
        </w:rPr>
        <w:t xml:space="preserve">. The company has a programme investment call ‘Be a Great Place to Work’, which is taking central part in the strategy aims. It gains, retains and prosper the talented employees while creating robust culture and positive environment. </w:t>
      </w:r>
      <w:r w:rsidR="005C4F77" w:rsidRPr="00BF7591">
        <w:rPr>
          <w:color w:val="000000" w:themeColor="text1"/>
          <w:sz w:val="24"/>
          <w:szCs w:val="24"/>
          <w:lang w:val="en-GB"/>
        </w:rPr>
        <w:t xml:space="preserve"> (AstraZeneca, AstraZeneca Annual Report, 2021)</w:t>
      </w:r>
    </w:p>
    <w:p w:rsidR="002E36D0" w:rsidRDefault="00BF7591" w:rsidP="00BF7591">
      <w:pPr>
        <w:rPr>
          <w:color w:val="000000" w:themeColor="text1"/>
          <w:sz w:val="24"/>
          <w:szCs w:val="24"/>
          <w:lang w:val="en-GB"/>
        </w:rPr>
      </w:pPr>
      <w:r w:rsidRPr="00BF7591">
        <w:rPr>
          <w:color w:val="000000" w:themeColor="text1"/>
          <w:sz w:val="24"/>
          <w:szCs w:val="24"/>
          <w:lang w:val="en-GB"/>
        </w:rPr>
        <w:t xml:space="preserve">The firm employ around 8 thousand co-workers in UK and support more than 41 thousand other jobs. </w:t>
      </w:r>
      <w:sdt>
        <w:sdtPr>
          <w:rPr>
            <w:color w:val="000000" w:themeColor="text1"/>
            <w:sz w:val="24"/>
            <w:szCs w:val="24"/>
            <w:lang w:val="en-GB"/>
          </w:rPr>
          <w:id w:val="893323647"/>
          <w:citation/>
        </w:sdtPr>
        <w:sdtEndPr/>
        <w:sdtContent>
          <w:r w:rsidR="002E36D0" w:rsidRPr="00BF7591">
            <w:rPr>
              <w:color w:val="000000" w:themeColor="text1"/>
              <w:sz w:val="24"/>
              <w:szCs w:val="24"/>
              <w:lang w:val="en-GB"/>
            </w:rPr>
            <w:fldChar w:fldCharType="begin"/>
          </w:r>
          <w:r w:rsidR="002E36D0" w:rsidRPr="00BF7591">
            <w:rPr>
              <w:color w:val="000000" w:themeColor="text1"/>
              <w:sz w:val="24"/>
              <w:szCs w:val="24"/>
              <w:lang w:val="en-GB"/>
            </w:rPr>
            <w:instrText xml:space="preserve"> CITATION Ast22 \l 2057 </w:instrText>
          </w:r>
          <w:r w:rsidR="002E36D0" w:rsidRPr="00BF7591">
            <w:rPr>
              <w:color w:val="000000" w:themeColor="text1"/>
              <w:sz w:val="24"/>
              <w:szCs w:val="24"/>
              <w:lang w:val="en-GB"/>
            </w:rPr>
            <w:fldChar w:fldCharType="separate"/>
          </w:r>
          <w:r w:rsidR="00397765" w:rsidRPr="00397765">
            <w:rPr>
              <w:noProof/>
              <w:color w:val="000000" w:themeColor="text1"/>
              <w:sz w:val="24"/>
              <w:szCs w:val="24"/>
              <w:lang w:val="en-GB"/>
            </w:rPr>
            <w:t>(AstraZeneca, About Us, 2022)</w:t>
          </w:r>
          <w:r w:rsidR="002E36D0" w:rsidRPr="00BF7591">
            <w:rPr>
              <w:color w:val="000000" w:themeColor="text1"/>
              <w:sz w:val="24"/>
              <w:szCs w:val="24"/>
              <w:lang w:val="en-GB"/>
            </w:rPr>
            <w:fldChar w:fldCharType="end"/>
          </w:r>
        </w:sdtContent>
      </w:sdt>
    </w:p>
    <w:p w:rsidR="00B963A5" w:rsidRPr="00BF7591" w:rsidRDefault="00B963A5" w:rsidP="00BF7591">
      <w:pPr>
        <w:rPr>
          <w:color w:val="000000" w:themeColor="text1"/>
          <w:sz w:val="24"/>
          <w:szCs w:val="24"/>
          <w:lang w:val="en-GB"/>
        </w:rPr>
      </w:pPr>
    </w:p>
    <w:p w:rsidR="002E36D0" w:rsidRPr="00BF7591" w:rsidRDefault="002E36D0" w:rsidP="00BF7591">
      <w:pPr>
        <w:jc w:val="center"/>
        <w:rPr>
          <w:color w:val="000000" w:themeColor="text1"/>
          <w:sz w:val="24"/>
          <w:szCs w:val="24"/>
          <w:lang w:val="en-GB"/>
        </w:rPr>
      </w:pPr>
      <w:r w:rsidRPr="00BF7591">
        <w:rPr>
          <w:noProof/>
          <w:color w:val="000000" w:themeColor="text1"/>
          <w:sz w:val="24"/>
          <w:szCs w:val="24"/>
          <w:lang w:eastAsia="bg-BG"/>
        </w:rPr>
        <w:drawing>
          <wp:inline distT="0" distB="0" distL="0" distR="0" wp14:anchorId="3D41B506" wp14:editId="1CCA8CB6">
            <wp:extent cx="4244340" cy="3024840"/>
            <wp:effectExtent l="0" t="0" r="381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266558-blank-355.png"/>
                    <pic:cNvPicPr/>
                  </pic:nvPicPr>
                  <pic:blipFill>
                    <a:blip r:embed="rId8">
                      <a:extLst>
                        <a:ext uri="{28A0092B-C50C-407E-A947-70E740481C1C}">
                          <a14:useLocalDpi xmlns:a14="http://schemas.microsoft.com/office/drawing/2010/main" val="0"/>
                        </a:ext>
                      </a:extLst>
                    </a:blip>
                    <a:stretch>
                      <a:fillRect/>
                    </a:stretch>
                  </pic:blipFill>
                  <pic:spPr>
                    <a:xfrm>
                      <a:off x="0" y="0"/>
                      <a:ext cx="4262650" cy="3037889"/>
                    </a:xfrm>
                    <a:prstGeom prst="rect">
                      <a:avLst/>
                    </a:prstGeom>
                  </pic:spPr>
                </pic:pic>
              </a:graphicData>
            </a:graphic>
          </wp:inline>
        </w:drawing>
      </w:r>
    </w:p>
    <w:p w:rsidR="002E36D0" w:rsidRPr="00BF7591" w:rsidRDefault="002E36D0" w:rsidP="00BF7591">
      <w:pPr>
        <w:jc w:val="center"/>
        <w:rPr>
          <w:color w:val="000000" w:themeColor="text1"/>
          <w:sz w:val="24"/>
          <w:szCs w:val="24"/>
          <w:lang w:val="en-GB"/>
        </w:rPr>
      </w:pPr>
      <w:r w:rsidRPr="00BF7591">
        <w:rPr>
          <w:color w:val="000000" w:themeColor="text1"/>
          <w:sz w:val="24"/>
          <w:szCs w:val="24"/>
          <w:lang w:val="en-GB"/>
        </w:rPr>
        <w:t xml:space="preserve">Source: </w:t>
      </w:r>
      <w:sdt>
        <w:sdtPr>
          <w:rPr>
            <w:color w:val="000000" w:themeColor="text1"/>
            <w:sz w:val="24"/>
            <w:szCs w:val="24"/>
            <w:lang w:val="en-GB"/>
          </w:rPr>
          <w:id w:val="217402701"/>
          <w:citation/>
        </w:sdtPr>
        <w:sdtEndPr/>
        <w:sdtContent>
          <w:r w:rsidRPr="00BF7591">
            <w:rPr>
              <w:color w:val="000000" w:themeColor="text1"/>
              <w:sz w:val="24"/>
              <w:szCs w:val="24"/>
              <w:lang w:val="en-GB"/>
            </w:rPr>
            <w:fldChar w:fldCharType="begin"/>
          </w:r>
          <w:r w:rsidRPr="00BF7591">
            <w:rPr>
              <w:color w:val="000000" w:themeColor="text1"/>
              <w:sz w:val="24"/>
              <w:szCs w:val="24"/>
              <w:lang w:val="en-GB"/>
            </w:rPr>
            <w:instrText xml:space="preserve"> CITATION Mik221 \l 2057 </w:instrText>
          </w:r>
          <w:r w:rsidRPr="00BF7591">
            <w:rPr>
              <w:color w:val="000000" w:themeColor="text1"/>
              <w:sz w:val="24"/>
              <w:szCs w:val="24"/>
              <w:lang w:val="en-GB"/>
            </w:rPr>
            <w:fldChar w:fldCharType="separate"/>
          </w:r>
          <w:r w:rsidR="00397765" w:rsidRPr="00397765">
            <w:rPr>
              <w:noProof/>
              <w:color w:val="000000" w:themeColor="text1"/>
              <w:sz w:val="24"/>
              <w:szCs w:val="24"/>
              <w:lang w:val="en-GB"/>
            </w:rPr>
            <w:t>(Mikulic, AstraZeneca's employees by region 2021, 2022)</w:t>
          </w:r>
          <w:r w:rsidRPr="00BF7591">
            <w:rPr>
              <w:color w:val="000000" w:themeColor="text1"/>
              <w:sz w:val="24"/>
              <w:szCs w:val="24"/>
              <w:lang w:val="en-GB"/>
            </w:rPr>
            <w:fldChar w:fldCharType="end"/>
          </w:r>
        </w:sdtContent>
      </w:sdt>
    </w:p>
    <w:p w:rsidR="001857FE" w:rsidRDefault="001857FE" w:rsidP="005C4F77">
      <w:pPr>
        <w:rPr>
          <w:lang w:val="en-GB"/>
        </w:rPr>
      </w:pPr>
    </w:p>
    <w:p w:rsidR="002E36D0" w:rsidRPr="007922B3" w:rsidRDefault="00034AE7" w:rsidP="005C4F77">
      <w:pPr>
        <w:rPr>
          <w:color w:val="000000" w:themeColor="text1"/>
          <w:sz w:val="24"/>
          <w:szCs w:val="24"/>
          <w:lang w:val="en-GB"/>
        </w:rPr>
      </w:pPr>
      <w:r w:rsidRPr="007922B3">
        <w:rPr>
          <w:color w:val="000000" w:themeColor="text1"/>
          <w:sz w:val="24"/>
          <w:szCs w:val="24"/>
          <w:lang w:val="en-GB"/>
        </w:rPr>
        <w:t>Furthermore, AstraZeneca has a distinct guide for mental welfare of the employees, including sum of ideas and aims, which give support to the working people and retain their mental health safe. This model rise productivity and effectiveness of the corpora</w:t>
      </w:r>
      <w:r w:rsidR="00376A7B">
        <w:rPr>
          <w:color w:val="000000" w:themeColor="text1"/>
          <w:sz w:val="24"/>
          <w:szCs w:val="24"/>
          <w:lang w:val="en-GB"/>
        </w:rPr>
        <w:t xml:space="preserve">tion. </w:t>
      </w:r>
      <w:r w:rsidRPr="007922B3">
        <w:rPr>
          <w:color w:val="000000" w:themeColor="text1"/>
          <w:sz w:val="24"/>
          <w:szCs w:val="24"/>
          <w:lang w:val="en-GB"/>
        </w:rPr>
        <w:t>(Heron, 2002)</w:t>
      </w:r>
    </w:p>
    <w:p w:rsidR="009336D4" w:rsidRPr="007922B3" w:rsidRDefault="009336D4" w:rsidP="009336D4">
      <w:pPr>
        <w:rPr>
          <w:color w:val="000000" w:themeColor="text1"/>
          <w:sz w:val="24"/>
          <w:szCs w:val="24"/>
          <w:lang w:val="en-GB"/>
        </w:rPr>
      </w:pPr>
    </w:p>
    <w:p w:rsidR="009336D4" w:rsidRDefault="009336D4" w:rsidP="009336D4">
      <w:pPr>
        <w:pStyle w:val="Heading2"/>
        <w:rPr>
          <w:color w:val="000000" w:themeColor="text1"/>
          <w:sz w:val="24"/>
          <w:szCs w:val="24"/>
          <w:lang w:val="en-GB"/>
        </w:rPr>
      </w:pPr>
      <w:bookmarkStart w:id="7" w:name="_Toc110631981"/>
      <w:r w:rsidRPr="007922B3">
        <w:rPr>
          <w:color w:val="000000" w:themeColor="text1"/>
          <w:sz w:val="24"/>
          <w:szCs w:val="24"/>
          <w:lang w:val="en-GB"/>
        </w:rPr>
        <w:t xml:space="preserve">Goals, Strategies, </w:t>
      </w:r>
      <w:r w:rsidR="00F147F2" w:rsidRPr="007922B3">
        <w:rPr>
          <w:color w:val="000000" w:themeColor="text1"/>
          <w:sz w:val="24"/>
          <w:szCs w:val="24"/>
          <w:lang w:val="en-GB"/>
        </w:rPr>
        <w:t>Challenges</w:t>
      </w:r>
      <w:bookmarkEnd w:id="7"/>
    </w:p>
    <w:p w:rsidR="00875376" w:rsidRDefault="00D94F59" w:rsidP="00875376">
      <w:pPr>
        <w:rPr>
          <w:sz w:val="24"/>
          <w:szCs w:val="24"/>
          <w:lang w:val="en-GB"/>
        </w:rPr>
      </w:pPr>
      <w:r>
        <w:rPr>
          <w:sz w:val="24"/>
          <w:szCs w:val="24"/>
          <w:lang w:val="en-GB"/>
        </w:rPr>
        <w:t xml:space="preserve">Directors of the financial organization of the firm play a significant role in the company’s </w:t>
      </w:r>
      <w:r w:rsidRPr="00BB0393">
        <w:rPr>
          <w:sz w:val="24"/>
          <w:szCs w:val="24"/>
          <w:lang w:val="en-GB"/>
        </w:rPr>
        <w:t xml:space="preserve">prosperity. The team allocates financial resources and assets in the way to generate profit for the company. Financial management is </w:t>
      </w:r>
      <w:r w:rsidR="00BB0393" w:rsidRPr="00BB0393">
        <w:rPr>
          <w:sz w:val="24"/>
          <w:szCs w:val="24"/>
          <w:lang w:val="en-GB"/>
        </w:rPr>
        <w:t xml:space="preserve">one of the most important links of AstraZeneca, </w:t>
      </w:r>
      <w:r w:rsidR="00BB0393" w:rsidRPr="00BB0393">
        <w:rPr>
          <w:sz w:val="24"/>
          <w:szCs w:val="24"/>
          <w:lang w:val="en-GB"/>
        </w:rPr>
        <w:lastRenderedPageBreak/>
        <w:t>because the capital structuring and budgeting, investments and trades are on the international level</w:t>
      </w:r>
      <w:r w:rsidR="00875376" w:rsidRPr="00BB0393">
        <w:rPr>
          <w:sz w:val="24"/>
          <w:szCs w:val="24"/>
          <w:lang w:val="en-GB"/>
        </w:rPr>
        <w:t xml:space="preserve">. </w:t>
      </w:r>
      <w:sdt>
        <w:sdtPr>
          <w:rPr>
            <w:sz w:val="24"/>
            <w:szCs w:val="24"/>
            <w:lang w:val="en-GB"/>
          </w:rPr>
          <w:id w:val="1916196009"/>
          <w:citation/>
        </w:sdtPr>
        <w:sdtEndPr/>
        <w:sdtContent>
          <w:r w:rsidR="00875376" w:rsidRPr="00BB0393">
            <w:rPr>
              <w:sz w:val="24"/>
              <w:szCs w:val="24"/>
              <w:lang w:val="en-GB"/>
            </w:rPr>
            <w:fldChar w:fldCharType="begin"/>
          </w:r>
          <w:r w:rsidR="00875376" w:rsidRPr="00BB0393">
            <w:rPr>
              <w:sz w:val="24"/>
              <w:szCs w:val="24"/>
              <w:lang w:val="en-GB"/>
            </w:rPr>
            <w:instrText xml:space="preserve"> CITATION Alm21 \l 2057 </w:instrText>
          </w:r>
          <w:r w:rsidR="00875376" w:rsidRPr="00BB0393">
            <w:rPr>
              <w:sz w:val="24"/>
              <w:szCs w:val="24"/>
              <w:lang w:val="en-GB"/>
            </w:rPr>
            <w:fldChar w:fldCharType="separate"/>
          </w:r>
          <w:r w:rsidR="00397765" w:rsidRPr="00397765">
            <w:rPr>
              <w:noProof/>
              <w:sz w:val="24"/>
              <w:szCs w:val="24"/>
              <w:lang w:val="en-GB"/>
            </w:rPr>
            <w:t>(Almazrouei &amp; Nobanee, 2021)</w:t>
          </w:r>
          <w:r w:rsidR="00875376" w:rsidRPr="00BB0393">
            <w:rPr>
              <w:sz w:val="24"/>
              <w:szCs w:val="24"/>
              <w:lang w:val="en-GB"/>
            </w:rPr>
            <w:fldChar w:fldCharType="end"/>
          </w:r>
        </w:sdtContent>
      </w:sdt>
    </w:p>
    <w:p w:rsidR="00F147F2" w:rsidRDefault="00BD1F70" w:rsidP="00F147F2">
      <w:pPr>
        <w:rPr>
          <w:sz w:val="24"/>
          <w:szCs w:val="24"/>
          <w:lang w:val="en-GB"/>
        </w:rPr>
      </w:pPr>
      <w:r>
        <w:rPr>
          <w:sz w:val="24"/>
          <w:szCs w:val="24"/>
          <w:lang w:val="en-GB"/>
        </w:rPr>
        <w:t>Main goals of the multi-corporation are based on leadership on the medicaments’ market and concentrating in innovations in specific areas of healthcare (oncology, biotechnology, immunology) and rare diseases. Other strategies including global sustainability and efficient implementation of tactical priorities in order to realize the financial plan</w:t>
      </w:r>
      <w:r w:rsidR="000D51F5">
        <w:rPr>
          <w:sz w:val="24"/>
          <w:szCs w:val="24"/>
          <w:lang w:val="en-GB"/>
        </w:rPr>
        <w:t xml:space="preserve">. The essential performance indexes incorporate stable </w:t>
      </w:r>
      <w:r w:rsidR="000D51F5" w:rsidRPr="000D51F5">
        <w:rPr>
          <w:sz w:val="24"/>
          <w:szCs w:val="24"/>
          <w:lang w:val="en-GB"/>
        </w:rPr>
        <w:t>net cash flow and profitable earnings per share. In that case, the company assure stakeholders value, maintain strong investment potential and reinforce increasing dividend prospective</w:t>
      </w:r>
      <w:r w:rsidR="00F147F2" w:rsidRPr="000D51F5">
        <w:rPr>
          <w:sz w:val="24"/>
          <w:szCs w:val="24"/>
          <w:lang w:val="en-GB"/>
        </w:rPr>
        <w:t>.</w:t>
      </w:r>
      <w:r w:rsidR="008C62CE" w:rsidRPr="000D51F5">
        <w:rPr>
          <w:sz w:val="24"/>
          <w:szCs w:val="24"/>
          <w:lang w:val="en-GB"/>
        </w:rPr>
        <w:t xml:space="preserve"> </w:t>
      </w:r>
      <w:sdt>
        <w:sdtPr>
          <w:rPr>
            <w:sz w:val="24"/>
            <w:szCs w:val="24"/>
            <w:lang w:val="en-GB"/>
          </w:rPr>
          <w:id w:val="-1852097963"/>
          <w:citation/>
        </w:sdtPr>
        <w:sdtEndPr/>
        <w:sdtContent>
          <w:r w:rsidR="008C62CE" w:rsidRPr="000D51F5">
            <w:rPr>
              <w:sz w:val="24"/>
              <w:szCs w:val="24"/>
              <w:lang w:val="en-GB"/>
            </w:rPr>
            <w:fldChar w:fldCharType="begin"/>
          </w:r>
          <w:r w:rsidR="008C62CE" w:rsidRPr="000D51F5">
            <w:rPr>
              <w:sz w:val="24"/>
              <w:szCs w:val="24"/>
              <w:lang w:val="en-GB"/>
            </w:rPr>
            <w:instrText xml:space="preserve"> CITATION Ast211 \l 2057 </w:instrText>
          </w:r>
          <w:r w:rsidR="008C62CE" w:rsidRPr="000D51F5">
            <w:rPr>
              <w:sz w:val="24"/>
              <w:szCs w:val="24"/>
              <w:lang w:val="en-GB"/>
            </w:rPr>
            <w:fldChar w:fldCharType="separate"/>
          </w:r>
          <w:r w:rsidR="00397765" w:rsidRPr="00397765">
            <w:rPr>
              <w:noProof/>
              <w:sz w:val="24"/>
              <w:szCs w:val="24"/>
              <w:lang w:val="en-GB"/>
            </w:rPr>
            <w:t>(AstraZeneca, AstraZeneca Annual Report, 2021)</w:t>
          </w:r>
          <w:r w:rsidR="008C62CE" w:rsidRPr="000D51F5">
            <w:rPr>
              <w:sz w:val="24"/>
              <w:szCs w:val="24"/>
              <w:lang w:val="en-GB"/>
            </w:rPr>
            <w:fldChar w:fldCharType="end"/>
          </w:r>
        </w:sdtContent>
      </w:sdt>
    </w:p>
    <w:p w:rsidR="000D51F5" w:rsidRPr="000D51F5" w:rsidRDefault="000D51F5" w:rsidP="00F147F2">
      <w:pPr>
        <w:rPr>
          <w:sz w:val="24"/>
          <w:szCs w:val="24"/>
          <w:lang w:val="en-GB"/>
        </w:rPr>
      </w:pPr>
    </w:p>
    <w:p w:rsidR="008C62CE" w:rsidRDefault="008C62CE" w:rsidP="00F147F2">
      <w:pPr>
        <w:rPr>
          <w:lang w:val="en-GB"/>
        </w:rPr>
      </w:pPr>
      <w:r>
        <w:rPr>
          <w:noProof/>
          <w:lang w:eastAsia="bg-BG"/>
        </w:rPr>
        <w:drawing>
          <wp:inline distT="0" distB="0" distL="0" distR="0" wp14:anchorId="2184DA51" wp14:editId="00B811BF">
            <wp:extent cx="6066790" cy="234696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httpswww.astrazeneca.comcontentdamazInvestor_Relationsannual-report-2021pdfAstraZeneca_AR_2021.pdf.png"/>
                    <pic:cNvPicPr/>
                  </pic:nvPicPr>
                  <pic:blipFill>
                    <a:blip r:embed="rId9">
                      <a:extLst>
                        <a:ext uri="{28A0092B-C50C-407E-A947-70E740481C1C}">
                          <a14:useLocalDpi xmlns:a14="http://schemas.microsoft.com/office/drawing/2010/main" val="0"/>
                        </a:ext>
                      </a:extLst>
                    </a:blip>
                    <a:stretch>
                      <a:fillRect/>
                    </a:stretch>
                  </pic:blipFill>
                  <pic:spPr>
                    <a:xfrm>
                      <a:off x="0" y="0"/>
                      <a:ext cx="6079909" cy="2352035"/>
                    </a:xfrm>
                    <a:prstGeom prst="rect">
                      <a:avLst/>
                    </a:prstGeom>
                  </pic:spPr>
                </pic:pic>
              </a:graphicData>
            </a:graphic>
          </wp:inline>
        </w:drawing>
      </w:r>
    </w:p>
    <w:p w:rsidR="008C62CE" w:rsidRPr="000D51F5" w:rsidRDefault="008C62CE" w:rsidP="000D51F5">
      <w:pPr>
        <w:jc w:val="center"/>
        <w:rPr>
          <w:sz w:val="24"/>
          <w:szCs w:val="24"/>
          <w:lang w:val="en-GB"/>
        </w:rPr>
      </w:pPr>
      <w:r w:rsidRPr="000D51F5">
        <w:rPr>
          <w:sz w:val="24"/>
          <w:szCs w:val="24"/>
          <w:lang w:val="en-GB"/>
        </w:rPr>
        <w:t xml:space="preserve">Source: </w:t>
      </w:r>
      <w:sdt>
        <w:sdtPr>
          <w:rPr>
            <w:sz w:val="24"/>
            <w:szCs w:val="24"/>
            <w:lang w:val="en-GB"/>
          </w:rPr>
          <w:id w:val="-651985015"/>
          <w:citation/>
        </w:sdtPr>
        <w:sdtEndPr/>
        <w:sdtContent>
          <w:r w:rsidRPr="000D51F5">
            <w:rPr>
              <w:sz w:val="24"/>
              <w:szCs w:val="24"/>
              <w:lang w:val="en-GB"/>
            </w:rPr>
            <w:fldChar w:fldCharType="begin"/>
          </w:r>
          <w:r w:rsidRPr="000D51F5">
            <w:rPr>
              <w:sz w:val="24"/>
              <w:szCs w:val="24"/>
              <w:lang w:val="en-GB"/>
            </w:rPr>
            <w:instrText xml:space="preserve"> CITATION Ast211 \l 2057 </w:instrText>
          </w:r>
          <w:r w:rsidRPr="000D51F5">
            <w:rPr>
              <w:sz w:val="24"/>
              <w:szCs w:val="24"/>
              <w:lang w:val="en-GB"/>
            </w:rPr>
            <w:fldChar w:fldCharType="separate"/>
          </w:r>
          <w:r w:rsidR="00397765" w:rsidRPr="00397765">
            <w:rPr>
              <w:noProof/>
              <w:sz w:val="24"/>
              <w:szCs w:val="24"/>
              <w:lang w:val="en-GB"/>
            </w:rPr>
            <w:t>(AstraZeneca, AstraZeneca Annual Report, 2021)</w:t>
          </w:r>
          <w:r w:rsidRPr="000D51F5">
            <w:rPr>
              <w:sz w:val="24"/>
              <w:szCs w:val="24"/>
              <w:lang w:val="en-GB"/>
            </w:rPr>
            <w:fldChar w:fldCharType="end"/>
          </w:r>
        </w:sdtContent>
      </w:sdt>
    </w:p>
    <w:p w:rsidR="00803052" w:rsidRDefault="00803052" w:rsidP="00F147F2">
      <w:pPr>
        <w:rPr>
          <w:lang w:val="en-GB"/>
        </w:rPr>
      </w:pPr>
    </w:p>
    <w:p w:rsidR="00803052" w:rsidRPr="00D3428D" w:rsidRDefault="009D3745" w:rsidP="00F147F2">
      <w:pPr>
        <w:rPr>
          <w:sz w:val="24"/>
          <w:szCs w:val="24"/>
          <w:lang w:val="en-GB"/>
        </w:rPr>
      </w:pPr>
      <w:r w:rsidRPr="00D3428D">
        <w:rPr>
          <w:sz w:val="24"/>
          <w:szCs w:val="24"/>
          <w:lang w:val="en-GB"/>
        </w:rPr>
        <w:t xml:space="preserve">However, a company as AstraZeneca should pay attention to the risk management also. Most of the world leader corporations have few ways- one or mix of them to execute risk: by modifying management actions, by substitute capital configuration and using derivatives. </w:t>
      </w:r>
      <w:r w:rsidR="00C93E67" w:rsidRPr="00D3428D">
        <w:rPr>
          <w:sz w:val="24"/>
          <w:szCs w:val="24"/>
          <w:lang w:val="en-GB"/>
        </w:rPr>
        <w:t>Head directors, who are m</w:t>
      </w:r>
      <w:r w:rsidR="00E65001" w:rsidRPr="00D3428D">
        <w:rPr>
          <w:sz w:val="24"/>
          <w:szCs w:val="24"/>
          <w:lang w:val="en-GB"/>
        </w:rPr>
        <w:t>anaging risk with the</w:t>
      </w:r>
      <w:r w:rsidR="00C93E67" w:rsidRPr="00D3428D">
        <w:rPr>
          <w:sz w:val="24"/>
          <w:szCs w:val="24"/>
          <w:lang w:val="en-GB"/>
        </w:rPr>
        <w:t xml:space="preserve">se tactics, approach for narrowing the focus by involving hedging of commitments (for example, foreign convertibility exposure on forecast import cash flow instalments). </w:t>
      </w:r>
      <w:r w:rsidR="00494B94" w:rsidRPr="00D3428D">
        <w:rPr>
          <w:sz w:val="24"/>
          <w:szCs w:val="24"/>
          <w:lang w:val="en-GB"/>
        </w:rPr>
        <w:t xml:space="preserve">This </w:t>
      </w:r>
      <w:r w:rsidR="00D3428D" w:rsidRPr="00D3428D">
        <w:rPr>
          <w:sz w:val="24"/>
          <w:szCs w:val="24"/>
          <w:lang w:val="en-GB"/>
        </w:rPr>
        <w:t xml:space="preserve">method prevent large loses and minimize exposures. </w:t>
      </w:r>
      <w:r w:rsidR="00D3428D">
        <w:rPr>
          <w:sz w:val="24"/>
          <w:szCs w:val="24"/>
          <w:lang w:val="en-GB"/>
        </w:rPr>
        <w:t xml:space="preserve">AstraZeneca’s board declare mitigate exposure through currency cross-correlation and they will start actions if needed to correct it. The company is using foreign debt as a hedging tool until at some point </w:t>
      </w:r>
      <w:r w:rsidR="001A41CC">
        <w:rPr>
          <w:sz w:val="24"/>
          <w:szCs w:val="24"/>
          <w:lang w:val="en-GB"/>
        </w:rPr>
        <w:t xml:space="preserve">has selected take as a loan in a foreign </w:t>
      </w:r>
      <w:r w:rsidR="00413663">
        <w:rPr>
          <w:sz w:val="24"/>
          <w:szCs w:val="24"/>
          <w:lang w:val="en-GB"/>
        </w:rPr>
        <w:t xml:space="preserve">money or using </w:t>
      </w:r>
      <w:r w:rsidR="007E396A">
        <w:rPr>
          <w:sz w:val="24"/>
          <w:szCs w:val="24"/>
          <w:lang w:val="en-GB"/>
        </w:rPr>
        <w:t xml:space="preserve">currency at </w:t>
      </w:r>
      <w:r w:rsidR="00413663">
        <w:rPr>
          <w:sz w:val="24"/>
          <w:szCs w:val="24"/>
          <w:lang w:val="en-GB"/>
        </w:rPr>
        <w:t xml:space="preserve">its sub core centres </w:t>
      </w:r>
      <w:r w:rsidR="007E396A">
        <w:rPr>
          <w:sz w:val="24"/>
          <w:szCs w:val="24"/>
          <w:lang w:val="en-GB"/>
        </w:rPr>
        <w:t xml:space="preserve">in the </w:t>
      </w:r>
      <w:r w:rsidR="00413663">
        <w:rPr>
          <w:sz w:val="24"/>
          <w:szCs w:val="24"/>
          <w:lang w:val="en-GB"/>
        </w:rPr>
        <w:t xml:space="preserve">different geographical </w:t>
      </w:r>
      <w:r w:rsidR="00546826">
        <w:rPr>
          <w:sz w:val="24"/>
          <w:szCs w:val="24"/>
          <w:lang w:val="en-GB"/>
        </w:rPr>
        <w:t xml:space="preserve">zones. </w:t>
      </w:r>
      <w:sdt>
        <w:sdtPr>
          <w:rPr>
            <w:sz w:val="24"/>
            <w:szCs w:val="24"/>
            <w:lang w:val="en-GB"/>
          </w:rPr>
          <w:id w:val="-2116972058"/>
          <w:citation/>
        </w:sdtPr>
        <w:sdtEndPr/>
        <w:sdtContent>
          <w:r w:rsidR="00546826">
            <w:rPr>
              <w:sz w:val="24"/>
              <w:szCs w:val="24"/>
              <w:lang w:val="en-GB"/>
            </w:rPr>
            <w:fldChar w:fldCharType="begin"/>
          </w:r>
          <w:r w:rsidR="00546826">
            <w:rPr>
              <w:sz w:val="24"/>
              <w:szCs w:val="24"/>
              <w:lang w:val="en-GB"/>
            </w:rPr>
            <w:instrText xml:space="preserve"> CITATION Kar12 \l 2057 </w:instrText>
          </w:r>
          <w:r w:rsidR="00546826">
            <w:rPr>
              <w:sz w:val="24"/>
              <w:szCs w:val="24"/>
              <w:lang w:val="en-GB"/>
            </w:rPr>
            <w:fldChar w:fldCharType="separate"/>
          </w:r>
          <w:r w:rsidR="00397765" w:rsidRPr="00397765">
            <w:rPr>
              <w:noProof/>
              <w:sz w:val="24"/>
              <w:szCs w:val="24"/>
              <w:lang w:val="en-GB"/>
            </w:rPr>
            <w:t>(Karlsson &amp; Palm, 2012)</w:t>
          </w:r>
          <w:r w:rsidR="00546826">
            <w:rPr>
              <w:sz w:val="24"/>
              <w:szCs w:val="24"/>
              <w:lang w:val="en-GB"/>
            </w:rPr>
            <w:fldChar w:fldCharType="end"/>
          </w:r>
        </w:sdtContent>
      </w:sdt>
    </w:p>
    <w:p w:rsidR="009336D4" w:rsidRPr="0011051B" w:rsidRDefault="009336D4" w:rsidP="009336D4">
      <w:pPr>
        <w:rPr>
          <w:color w:val="000000" w:themeColor="text1"/>
          <w:sz w:val="24"/>
          <w:szCs w:val="24"/>
          <w:lang w:val="en-GB"/>
        </w:rPr>
      </w:pPr>
    </w:p>
    <w:p w:rsidR="009336D4" w:rsidRPr="0011051B" w:rsidRDefault="009336D4" w:rsidP="009336D4">
      <w:pPr>
        <w:pStyle w:val="Heading2"/>
        <w:rPr>
          <w:color w:val="000000" w:themeColor="text1"/>
          <w:sz w:val="24"/>
          <w:szCs w:val="24"/>
          <w:lang w:val="en-GB"/>
        </w:rPr>
      </w:pPr>
      <w:bookmarkStart w:id="8" w:name="_Toc110631982"/>
      <w:r w:rsidRPr="0011051B">
        <w:rPr>
          <w:color w:val="000000" w:themeColor="text1"/>
          <w:sz w:val="24"/>
          <w:szCs w:val="24"/>
          <w:lang w:val="en-GB"/>
        </w:rPr>
        <w:t>Financial performance</w:t>
      </w:r>
      <w:bookmarkEnd w:id="8"/>
    </w:p>
    <w:p w:rsidR="000D46DF" w:rsidRDefault="0011051B" w:rsidP="009631C1">
      <w:pPr>
        <w:rPr>
          <w:lang w:val="en-GB"/>
        </w:rPr>
      </w:pPr>
      <w:r w:rsidRPr="0011051B">
        <w:rPr>
          <w:color w:val="000000" w:themeColor="text1"/>
          <w:sz w:val="24"/>
          <w:szCs w:val="24"/>
          <w:lang w:val="en-GB"/>
        </w:rPr>
        <w:t xml:space="preserve">Financial resilience </w:t>
      </w:r>
      <w:r>
        <w:rPr>
          <w:color w:val="000000" w:themeColor="text1"/>
          <w:sz w:val="24"/>
          <w:szCs w:val="24"/>
          <w:lang w:val="en-GB"/>
        </w:rPr>
        <w:t xml:space="preserve">of a firm could be gained by sufficient cash assets, excessive productive capacity, beneficial previous commission. </w:t>
      </w:r>
      <w:r w:rsidR="00350A1D">
        <w:rPr>
          <w:color w:val="000000" w:themeColor="text1"/>
          <w:sz w:val="24"/>
          <w:szCs w:val="24"/>
          <w:lang w:val="en-GB"/>
        </w:rPr>
        <w:t xml:space="preserve">Pandemic of Covid-19 had dramatically lessened the revenue and respectively profit of most of the companies. Coronavirus escalate pressure </w:t>
      </w:r>
      <w:r w:rsidR="00350A1D">
        <w:rPr>
          <w:color w:val="000000" w:themeColor="text1"/>
          <w:sz w:val="24"/>
          <w:szCs w:val="24"/>
          <w:lang w:val="en-GB"/>
        </w:rPr>
        <w:lastRenderedPageBreak/>
        <w:t>and external menaces, caused diminishing of pay capacity and forced managers to keep cash reserve for longer. Luckily AstraZeneca had a good respond of the negative impact of the pandemic, by developing and distributing new product- one of the Covid-19</w:t>
      </w:r>
      <w:r w:rsidR="00D1685F">
        <w:rPr>
          <w:color w:val="000000" w:themeColor="text1"/>
          <w:sz w:val="24"/>
          <w:szCs w:val="24"/>
          <w:lang w:val="en-GB"/>
        </w:rPr>
        <w:t xml:space="preserve"> vaccines. </w:t>
      </w:r>
      <w:sdt>
        <w:sdtPr>
          <w:rPr>
            <w:lang w:val="en-GB"/>
          </w:rPr>
          <w:id w:val="-829449533"/>
          <w:citation/>
        </w:sdtPr>
        <w:sdtEndPr/>
        <w:sdtContent>
          <w:r w:rsidR="009631C1">
            <w:rPr>
              <w:lang w:val="en-GB"/>
            </w:rPr>
            <w:fldChar w:fldCharType="begin"/>
          </w:r>
          <w:r w:rsidR="009631C1">
            <w:rPr>
              <w:lang w:val="en-GB"/>
            </w:rPr>
            <w:instrText xml:space="preserve"> CITATION AlG21 \l 2057 </w:instrText>
          </w:r>
          <w:r w:rsidR="009631C1">
            <w:rPr>
              <w:lang w:val="en-GB"/>
            </w:rPr>
            <w:fldChar w:fldCharType="separate"/>
          </w:r>
          <w:r w:rsidR="00397765">
            <w:rPr>
              <w:noProof/>
              <w:lang w:val="en-GB"/>
            </w:rPr>
            <w:t>(Al Ghanem &amp; et al, 2021)</w:t>
          </w:r>
          <w:r w:rsidR="009631C1">
            <w:rPr>
              <w:lang w:val="en-GB"/>
            </w:rPr>
            <w:fldChar w:fldCharType="end"/>
          </w:r>
        </w:sdtContent>
      </w:sdt>
    </w:p>
    <w:p w:rsidR="008B2647" w:rsidRPr="00D1685F" w:rsidRDefault="008B2647" w:rsidP="009631C1">
      <w:pPr>
        <w:rPr>
          <w:color w:val="000000" w:themeColor="text1"/>
          <w:sz w:val="24"/>
          <w:szCs w:val="24"/>
          <w:lang w:val="en-GB"/>
        </w:rPr>
      </w:pPr>
    </w:p>
    <w:p w:rsidR="009631C1" w:rsidRDefault="000D46DF" w:rsidP="009631C1">
      <w:pPr>
        <w:rPr>
          <w:lang w:val="en-GB"/>
        </w:rPr>
      </w:pPr>
      <w:r>
        <w:rPr>
          <w:noProof/>
          <w:lang w:eastAsia="bg-BG"/>
        </w:rPr>
        <w:drawing>
          <wp:inline distT="0" distB="0" distL="0" distR="0" wp14:anchorId="308D8855" wp14:editId="40B3E458">
            <wp:extent cx="5760720" cy="4280535"/>
            <wp:effectExtent l="0" t="0" r="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66544.png"/>
                    <pic:cNvPicPr/>
                  </pic:nvPicPr>
                  <pic:blipFill>
                    <a:blip r:embed="rId10">
                      <a:extLst>
                        <a:ext uri="{28A0092B-C50C-407E-A947-70E740481C1C}">
                          <a14:useLocalDpi xmlns:a14="http://schemas.microsoft.com/office/drawing/2010/main" val="0"/>
                        </a:ext>
                      </a:extLst>
                    </a:blip>
                    <a:stretch>
                      <a:fillRect/>
                    </a:stretch>
                  </pic:blipFill>
                  <pic:spPr>
                    <a:xfrm>
                      <a:off x="0" y="0"/>
                      <a:ext cx="5760720" cy="4280535"/>
                    </a:xfrm>
                    <a:prstGeom prst="rect">
                      <a:avLst/>
                    </a:prstGeom>
                  </pic:spPr>
                </pic:pic>
              </a:graphicData>
            </a:graphic>
          </wp:inline>
        </w:drawing>
      </w:r>
    </w:p>
    <w:p w:rsidR="000D46DF" w:rsidRPr="008B2647" w:rsidRDefault="000D46DF" w:rsidP="008B2647">
      <w:pPr>
        <w:jc w:val="center"/>
        <w:rPr>
          <w:sz w:val="24"/>
          <w:szCs w:val="24"/>
          <w:lang w:val="en-GB"/>
        </w:rPr>
      </w:pPr>
      <w:r w:rsidRPr="008B2647">
        <w:rPr>
          <w:sz w:val="24"/>
          <w:szCs w:val="24"/>
          <w:lang w:val="en-GB"/>
        </w:rPr>
        <w:t>Source: (</w:t>
      </w:r>
      <w:proofErr w:type="spellStart"/>
      <w:r w:rsidRPr="008B2647">
        <w:rPr>
          <w:sz w:val="24"/>
          <w:szCs w:val="24"/>
          <w:lang w:val="en-GB"/>
        </w:rPr>
        <w:t>Mikulic</w:t>
      </w:r>
      <w:proofErr w:type="spellEnd"/>
      <w:r w:rsidRPr="008B2647">
        <w:rPr>
          <w:sz w:val="24"/>
          <w:szCs w:val="24"/>
          <w:lang w:val="en-GB"/>
        </w:rPr>
        <w:t>, 2022)</w:t>
      </w:r>
    </w:p>
    <w:p w:rsidR="009336D4" w:rsidRDefault="009336D4" w:rsidP="009336D4">
      <w:pPr>
        <w:rPr>
          <w:lang w:val="en-GB"/>
        </w:rPr>
      </w:pPr>
    </w:p>
    <w:p w:rsidR="00D644F3" w:rsidRDefault="00D644F3" w:rsidP="009C1F96">
      <w:pPr>
        <w:rPr>
          <w:sz w:val="24"/>
          <w:szCs w:val="24"/>
          <w:lang w:val="en-GB"/>
        </w:rPr>
      </w:pPr>
      <w:r w:rsidRPr="009C1F96">
        <w:rPr>
          <w:sz w:val="24"/>
          <w:szCs w:val="24"/>
          <w:lang w:val="en-GB"/>
        </w:rPr>
        <w:t>However, the company passed through the hard times and performed well during 2021.</w:t>
      </w:r>
      <w:r w:rsidR="008B2647" w:rsidRPr="009C1F96">
        <w:rPr>
          <w:sz w:val="24"/>
          <w:szCs w:val="24"/>
          <w:lang w:val="en-GB"/>
        </w:rPr>
        <w:t xml:space="preserve"> </w:t>
      </w:r>
      <w:r w:rsidR="009C1F96" w:rsidRPr="009C1F96">
        <w:rPr>
          <w:sz w:val="24"/>
          <w:szCs w:val="24"/>
          <w:lang w:val="en-GB"/>
        </w:rPr>
        <w:t>The total revenue in 2021 was with 41 percentages up: to almost 38 million dollars and collaboration income of 876 million dollars, which is a grow of 20 %. By regions, China operational centre increased market sales with 12 percentages up to 5,995 million, while US sales rose with 39% up to 12,000 million dollars. The biggest elevation was in Europe, where numbers was 50% increase to 7,604 million dollars. Also the rest of the world locations presents grow in revenue with more than 30 percentages all over.</w:t>
      </w:r>
      <w:r w:rsidR="009C1F96">
        <w:rPr>
          <w:sz w:val="24"/>
          <w:szCs w:val="24"/>
          <w:lang w:val="en-GB"/>
        </w:rPr>
        <w:t xml:space="preserve"> </w:t>
      </w:r>
      <w:sdt>
        <w:sdtPr>
          <w:rPr>
            <w:sz w:val="24"/>
            <w:szCs w:val="24"/>
            <w:lang w:val="en-GB"/>
          </w:rPr>
          <w:id w:val="-309018477"/>
          <w:citation/>
        </w:sdtPr>
        <w:sdtEndPr/>
        <w:sdtContent>
          <w:r w:rsidR="009C1F96">
            <w:rPr>
              <w:sz w:val="24"/>
              <w:szCs w:val="24"/>
              <w:lang w:val="en-GB"/>
            </w:rPr>
            <w:fldChar w:fldCharType="begin"/>
          </w:r>
          <w:r w:rsidR="009C1F96">
            <w:rPr>
              <w:sz w:val="24"/>
              <w:szCs w:val="24"/>
              <w:lang w:val="en-GB"/>
            </w:rPr>
            <w:instrText xml:space="preserve"> CITATION Ast211 \l 2057 </w:instrText>
          </w:r>
          <w:r w:rsidR="009C1F96">
            <w:rPr>
              <w:sz w:val="24"/>
              <w:szCs w:val="24"/>
              <w:lang w:val="en-GB"/>
            </w:rPr>
            <w:fldChar w:fldCharType="separate"/>
          </w:r>
          <w:r w:rsidR="00397765" w:rsidRPr="00397765">
            <w:rPr>
              <w:noProof/>
              <w:sz w:val="24"/>
              <w:szCs w:val="24"/>
              <w:lang w:val="en-GB"/>
            </w:rPr>
            <w:t>(AstraZeneca, AstraZeneca Annual Report, 2021)</w:t>
          </w:r>
          <w:r w:rsidR="009C1F96">
            <w:rPr>
              <w:sz w:val="24"/>
              <w:szCs w:val="24"/>
              <w:lang w:val="en-GB"/>
            </w:rPr>
            <w:fldChar w:fldCharType="end"/>
          </w:r>
        </w:sdtContent>
      </w:sdt>
    </w:p>
    <w:p w:rsidR="00AC483C" w:rsidRPr="002850DD" w:rsidRDefault="00AC483C" w:rsidP="002850DD">
      <w:pPr>
        <w:rPr>
          <w:sz w:val="24"/>
          <w:szCs w:val="24"/>
          <w:lang w:val="en-GB"/>
        </w:rPr>
      </w:pPr>
      <w:r>
        <w:rPr>
          <w:sz w:val="24"/>
          <w:szCs w:val="24"/>
          <w:lang w:val="en-GB"/>
        </w:rPr>
        <w:t xml:space="preserve">Back in 2009, AstraZeneca’s board declared that they will pay cash dividend approach and apply share re-purchase when its necessary. That </w:t>
      </w:r>
      <w:r w:rsidR="00C20CA7">
        <w:rPr>
          <w:sz w:val="24"/>
          <w:szCs w:val="24"/>
          <w:lang w:val="en-GB"/>
        </w:rPr>
        <w:t>means, the company will spend around the half of its profit, pay out the debts and then plan to take the shares back</w:t>
      </w:r>
      <w:r w:rsidR="003068B5">
        <w:rPr>
          <w:sz w:val="24"/>
          <w:szCs w:val="24"/>
          <w:lang w:val="en-GB"/>
        </w:rPr>
        <w:t xml:space="preserve">. </w:t>
      </w:r>
      <w:r w:rsidR="003068B5" w:rsidRPr="003068B5">
        <w:t xml:space="preserve"> </w:t>
      </w:r>
      <w:r w:rsidR="003068B5" w:rsidRPr="003068B5">
        <w:rPr>
          <w:sz w:val="24"/>
          <w:szCs w:val="24"/>
          <w:lang w:val="en-GB"/>
        </w:rPr>
        <w:t>In 2012, the corporation announced this type of progressive dividend polic</w:t>
      </w:r>
      <w:r w:rsidR="003068B5">
        <w:rPr>
          <w:sz w:val="24"/>
          <w:szCs w:val="24"/>
          <w:lang w:val="en-GB"/>
        </w:rPr>
        <w:t>y as their long-term strategy</w:t>
      </w:r>
      <w:r w:rsidR="00C20CA7">
        <w:rPr>
          <w:sz w:val="24"/>
          <w:szCs w:val="24"/>
          <w:lang w:val="en-GB"/>
        </w:rPr>
        <w:t xml:space="preserve">. </w:t>
      </w:r>
      <w:sdt>
        <w:sdtPr>
          <w:rPr>
            <w:sz w:val="24"/>
            <w:szCs w:val="24"/>
            <w:lang w:val="en-GB"/>
          </w:rPr>
          <w:id w:val="-61718601"/>
          <w:citation/>
        </w:sdtPr>
        <w:sdtEndPr/>
        <w:sdtContent>
          <w:r w:rsidR="003068B5">
            <w:rPr>
              <w:sz w:val="24"/>
              <w:szCs w:val="24"/>
              <w:lang w:val="en-GB"/>
            </w:rPr>
            <w:fldChar w:fldCharType="begin"/>
          </w:r>
          <w:r w:rsidR="003068B5">
            <w:rPr>
              <w:sz w:val="24"/>
              <w:szCs w:val="24"/>
              <w:lang w:val="en-GB"/>
            </w:rPr>
            <w:instrText xml:space="preserve"> CITATION LeT12 \l 2057 </w:instrText>
          </w:r>
          <w:r w:rsidR="003068B5">
            <w:rPr>
              <w:sz w:val="24"/>
              <w:szCs w:val="24"/>
              <w:lang w:val="en-GB"/>
            </w:rPr>
            <w:fldChar w:fldCharType="separate"/>
          </w:r>
          <w:r w:rsidR="00397765" w:rsidRPr="00397765">
            <w:rPr>
              <w:noProof/>
              <w:sz w:val="24"/>
              <w:szCs w:val="24"/>
              <w:lang w:val="en-GB"/>
            </w:rPr>
            <w:t>(Le, 2012)</w:t>
          </w:r>
          <w:r w:rsidR="003068B5">
            <w:rPr>
              <w:sz w:val="24"/>
              <w:szCs w:val="24"/>
              <w:lang w:val="en-GB"/>
            </w:rPr>
            <w:fldChar w:fldCharType="end"/>
          </w:r>
        </w:sdtContent>
      </w:sdt>
      <w:r w:rsidR="002850DD">
        <w:rPr>
          <w:sz w:val="24"/>
          <w:szCs w:val="24"/>
          <w:lang w:val="en-GB"/>
        </w:rPr>
        <w:t xml:space="preserve"> Nowadays, the total number of shares in the end of 2021 was 1,549 million </w:t>
      </w:r>
      <w:r w:rsidR="002850DD">
        <w:rPr>
          <w:sz w:val="24"/>
          <w:szCs w:val="24"/>
          <w:lang w:val="en-GB"/>
        </w:rPr>
        <w:lastRenderedPageBreak/>
        <w:t xml:space="preserve">dollars. Shareowners’ value rise </w:t>
      </w:r>
      <w:r w:rsidR="00744A31">
        <w:rPr>
          <w:sz w:val="24"/>
          <w:szCs w:val="24"/>
          <w:lang w:val="en-GB"/>
        </w:rPr>
        <w:t>by 23,646 million to 39,268</w:t>
      </w:r>
      <w:r w:rsidR="002850DD" w:rsidRPr="002850DD">
        <w:rPr>
          <w:sz w:val="24"/>
          <w:szCs w:val="24"/>
          <w:lang w:val="en-GB"/>
        </w:rPr>
        <w:t xml:space="preserve"> million at the </w:t>
      </w:r>
      <w:r w:rsidR="00744A31">
        <w:rPr>
          <w:sz w:val="24"/>
          <w:szCs w:val="24"/>
          <w:lang w:val="en-GB"/>
        </w:rPr>
        <w:t xml:space="preserve">end of the year. </w:t>
      </w:r>
      <w:r w:rsidR="005051B3">
        <w:rPr>
          <w:sz w:val="24"/>
          <w:szCs w:val="24"/>
          <w:lang w:val="en-GB"/>
        </w:rPr>
        <w:t xml:space="preserve">The management suggested next interval payback to be in March 2022, which led to full year dividend to 2.87 dollars. </w:t>
      </w:r>
      <w:sdt>
        <w:sdtPr>
          <w:rPr>
            <w:sz w:val="24"/>
            <w:szCs w:val="24"/>
            <w:lang w:val="en-GB"/>
          </w:rPr>
          <w:id w:val="-289363623"/>
          <w:citation/>
        </w:sdtPr>
        <w:sdtEndPr/>
        <w:sdtContent>
          <w:r w:rsidR="005051B3">
            <w:rPr>
              <w:sz w:val="24"/>
              <w:szCs w:val="24"/>
              <w:lang w:val="en-GB"/>
            </w:rPr>
            <w:fldChar w:fldCharType="begin"/>
          </w:r>
          <w:r w:rsidR="005051B3">
            <w:rPr>
              <w:sz w:val="24"/>
              <w:szCs w:val="24"/>
              <w:lang w:val="en-GB"/>
            </w:rPr>
            <w:instrText xml:space="preserve"> CITATION Ast211 \l 2057 </w:instrText>
          </w:r>
          <w:r w:rsidR="005051B3">
            <w:rPr>
              <w:sz w:val="24"/>
              <w:szCs w:val="24"/>
              <w:lang w:val="en-GB"/>
            </w:rPr>
            <w:fldChar w:fldCharType="separate"/>
          </w:r>
          <w:r w:rsidR="00397765" w:rsidRPr="00397765">
            <w:rPr>
              <w:noProof/>
              <w:sz w:val="24"/>
              <w:szCs w:val="24"/>
              <w:lang w:val="en-GB"/>
            </w:rPr>
            <w:t>(AstraZeneca, AstraZeneca Annual Report, 2021)</w:t>
          </w:r>
          <w:r w:rsidR="005051B3">
            <w:rPr>
              <w:sz w:val="24"/>
              <w:szCs w:val="24"/>
              <w:lang w:val="en-GB"/>
            </w:rPr>
            <w:fldChar w:fldCharType="end"/>
          </w:r>
        </w:sdtContent>
      </w:sdt>
    </w:p>
    <w:p w:rsidR="00A8154F" w:rsidRPr="009C1F96" w:rsidRDefault="00937599" w:rsidP="009C1F96">
      <w:pPr>
        <w:rPr>
          <w:sz w:val="24"/>
          <w:szCs w:val="24"/>
          <w:lang w:val="en-GB"/>
        </w:rPr>
      </w:pPr>
      <w:r w:rsidRPr="00937599">
        <w:rPr>
          <w:sz w:val="24"/>
          <w:szCs w:val="24"/>
          <w:lang w:val="en-GB"/>
        </w:rPr>
        <w:t>Gross profit has increased by 17 percentages up to almost 25,000 million dollars and core gross profit up to 28 million dollars. The declared gross profit margin was 14% down because of modernisation changes and slowed-down inventory. The total operating costs grew by 44% and operating income decrease by 80% to 1,056 million for a year. On the other hand, the core operating profit rise by 35 percentages to almost 10,000 million dollars. Core net financial costs increased by 10%, together with taxation, which reach the floor with 143% growth. The income tax was 1,743 million for the year, which was more than 2,000 million more than declared tax charge, because of a tax credit of 1,575 million in 2020. Total loss/income diminished by 4,782 million dollars. The bottom line (net losses) on capital investments showed at equitable costs through other comprehensive earnings of 187 million dollars, balanced by Re-measurement of pension gains of 626 million in 2020. The same correlation was between net gain /losses and other comprehensive revenue relates earns from the sale of AstraZeneca’s full stocks in Moderna. Last, but not at least, net cash value was almost 6,000million, which was 4,799 million in 2020; and net financing cash flood were almost 14,000 million, comparing only 1,117 million dollars in 2020. (AstraZeneca, AstraZeneca Annual Report, 2021)</w:t>
      </w:r>
    </w:p>
    <w:p w:rsidR="008B2647" w:rsidRDefault="008B2647" w:rsidP="009336D4">
      <w:pPr>
        <w:rPr>
          <w:lang w:val="en-GB"/>
        </w:rPr>
      </w:pPr>
    </w:p>
    <w:p w:rsidR="009336D4" w:rsidRPr="008B2647" w:rsidRDefault="003E6EAA" w:rsidP="008B2647">
      <w:pPr>
        <w:jc w:val="center"/>
        <w:rPr>
          <w:sz w:val="24"/>
          <w:szCs w:val="24"/>
          <w:lang w:val="en-GB"/>
        </w:rPr>
      </w:pPr>
      <w:r w:rsidRPr="008B2647">
        <w:rPr>
          <w:noProof/>
          <w:sz w:val="24"/>
          <w:szCs w:val="24"/>
          <w:lang w:eastAsia="bg-BG"/>
        </w:rPr>
        <w:lastRenderedPageBreak/>
        <w:drawing>
          <wp:inline distT="0" distB="0" distL="0" distR="0" wp14:anchorId="504BE38A" wp14:editId="0A6505F2">
            <wp:extent cx="6432550" cy="7802880"/>
            <wp:effectExtent l="0" t="0" r="635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httpswww.astrazeneca.comcontentdamazInvestor_Relationsannual-report-2021pdfAstraZeneca_AR_2021.pdf (1).png"/>
                    <pic:cNvPicPr/>
                  </pic:nvPicPr>
                  <pic:blipFill>
                    <a:blip r:embed="rId11">
                      <a:extLst>
                        <a:ext uri="{28A0092B-C50C-407E-A947-70E740481C1C}">
                          <a14:useLocalDpi xmlns:a14="http://schemas.microsoft.com/office/drawing/2010/main" val="0"/>
                        </a:ext>
                      </a:extLst>
                    </a:blip>
                    <a:stretch>
                      <a:fillRect/>
                    </a:stretch>
                  </pic:blipFill>
                  <pic:spPr>
                    <a:xfrm>
                      <a:off x="0" y="0"/>
                      <a:ext cx="6446537" cy="7819847"/>
                    </a:xfrm>
                    <a:prstGeom prst="rect">
                      <a:avLst/>
                    </a:prstGeom>
                  </pic:spPr>
                </pic:pic>
              </a:graphicData>
            </a:graphic>
          </wp:inline>
        </w:drawing>
      </w:r>
    </w:p>
    <w:p w:rsidR="003E6EAA" w:rsidRPr="008B2647" w:rsidRDefault="003E6EAA" w:rsidP="008B2647">
      <w:pPr>
        <w:jc w:val="center"/>
        <w:rPr>
          <w:sz w:val="24"/>
          <w:szCs w:val="24"/>
          <w:lang w:val="en-GB"/>
        </w:rPr>
      </w:pPr>
      <w:r w:rsidRPr="008B2647">
        <w:rPr>
          <w:sz w:val="24"/>
          <w:szCs w:val="24"/>
          <w:lang w:val="en-GB"/>
        </w:rPr>
        <w:t xml:space="preserve">Source: </w:t>
      </w:r>
      <w:sdt>
        <w:sdtPr>
          <w:rPr>
            <w:sz w:val="24"/>
            <w:szCs w:val="24"/>
            <w:lang w:val="en-GB"/>
          </w:rPr>
          <w:id w:val="1894393441"/>
          <w:citation/>
        </w:sdtPr>
        <w:sdtEndPr/>
        <w:sdtContent>
          <w:r w:rsidRPr="008B2647">
            <w:rPr>
              <w:sz w:val="24"/>
              <w:szCs w:val="24"/>
              <w:lang w:val="en-GB"/>
            </w:rPr>
            <w:fldChar w:fldCharType="begin"/>
          </w:r>
          <w:r w:rsidRPr="008B2647">
            <w:rPr>
              <w:sz w:val="24"/>
              <w:szCs w:val="24"/>
              <w:lang w:val="en-GB"/>
            </w:rPr>
            <w:instrText xml:space="preserve"> CITATION Ast211 \l 2057 </w:instrText>
          </w:r>
          <w:r w:rsidRPr="008B2647">
            <w:rPr>
              <w:sz w:val="24"/>
              <w:szCs w:val="24"/>
              <w:lang w:val="en-GB"/>
            </w:rPr>
            <w:fldChar w:fldCharType="separate"/>
          </w:r>
          <w:r w:rsidR="00397765" w:rsidRPr="00397765">
            <w:rPr>
              <w:noProof/>
              <w:sz w:val="24"/>
              <w:szCs w:val="24"/>
              <w:lang w:val="en-GB"/>
            </w:rPr>
            <w:t>(AstraZeneca, AstraZeneca Annual Report, 2021)</w:t>
          </w:r>
          <w:r w:rsidRPr="008B2647">
            <w:rPr>
              <w:sz w:val="24"/>
              <w:szCs w:val="24"/>
              <w:lang w:val="en-GB"/>
            </w:rPr>
            <w:fldChar w:fldCharType="end"/>
          </w:r>
        </w:sdtContent>
      </w:sdt>
    </w:p>
    <w:p w:rsidR="008B2647" w:rsidRDefault="008B2647" w:rsidP="00A92199">
      <w:pPr>
        <w:rPr>
          <w:lang w:val="en-GB"/>
        </w:rPr>
      </w:pPr>
    </w:p>
    <w:p w:rsidR="008B2647" w:rsidRDefault="008B2647" w:rsidP="00A92199">
      <w:pPr>
        <w:rPr>
          <w:lang w:val="en-GB"/>
        </w:rPr>
      </w:pPr>
    </w:p>
    <w:p w:rsidR="00ED5C13" w:rsidRDefault="00ED5C13" w:rsidP="009336D4">
      <w:pPr>
        <w:rPr>
          <w:lang w:val="en-GB"/>
        </w:rPr>
      </w:pPr>
    </w:p>
    <w:p w:rsidR="002E3DDE" w:rsidRDefault="001B5A2C" w:rsidP="001B5A2C">
      <w:pPr>
        <w:pStyle w:val="Heading1"/>
        <w:rPr>
          <w:color w:val="000000" w:themeColor="text1"/>
          <w:sz w:val="24"/>
          <w:szCs w:val="24"/>
          <w:lang w:val="en-GB"/>
        </w:rPr>
      </w:pPr>
      <w:bookmarkStart w:id="9" w:name="_Toc110631983"/>
      <w:r w:rsidRPr="0053313E">
        <w:rPr>
          <w:color w:val="000000" w:themeColor="text1"/>
          <w:sz w:val="24"/>
          <w:szCs w:val="24"/>
          <w:lang w:val="en-GB"/>
        </w:rPr>
        <w:t>Conclusion</w:t>
      </w:r>
      <w:bookmarkEnd w:id="9"/>
    </w:p>
    <w:p w:rsidR="0053313E" w:rsidRPr="0053313E" w:rsidRDefault="0053313E" w:rsidP="0053313E">
      <w:pPr>
        <w:rPr>
          <w:sz w:val="24"/>
          <w:szCs w:val="24"/>
          <w:lang w:val="en-GB"/>
        </w:rPr>
      </w:pPr>
      <w:r>
        <w:rPr>
          <w:sz w:val="24"/>
          <w:szCs w:val="24"/>
          <w:lang w:val="en-GB"/>
        </w:rPr>
        <w:t xml:space="preserve">To sum all, AstraZeneca’s financial wellbeing and prosperity is closely related with discovering and developing new medicines; increasing innovations and technologies for manufacturing process by capital investments; creating positive working field in order to rise productivity and effectiveness of the employees; following sustainability and reported strategies for environmental changes and stability. </w:t>
      </w:r>
      <w:sdt>
        <w:sdtPr>
          <w:rPr>
            <w:sz w:val="24"/>
            <w:szCs w:val="24"/>
            <w:lang w:val="en-GB"/>
          </w:rPr>
          <w:id w:val="-680662955"/>
          <w:citation/>
        </w:sdtPr>
        <w:sdtEndPr/>
        <w:sdtContent>
          <w:r>
            <w:rPr>
              <w:sz w:val="24"/>
              <w:szCs w:val="24"/>
              <w:lang w:val="en-GB"/>
            </w:rPr>
            <w:fldChar w:fldCharType="begin"/>
          </w:r>
          <w:r>
            <w:rPr>
              <w:sz w:val="24"/>
              <w:szCs w:val="24"/>
              <w:lang w:val="en-GB"/>
            </w:rPr>
            <w:instrText xml:space="preserve"> CITATION Ast211 \l 2057 </w:instrText>
          </w:r>
          <w:r>
            <w:rPr>
              <w:sz w:val="24"/>
              <w:szCs w:val="24"/>
              <w:lang w:val="en-GB"/>
            </w:rPr>
            <w:fldChar w:fldCharType="separate"/>
          </w:r>
          <w:r w:rsidR="00397765" w:rsidRPr="00397765">
            <w:rPr>
              <w:noProof/>
              <w:sz w:val="24"/>
              <w:szCs w:val="24"/>
              <w:lang w:val="en-GB"/>
            </w:rPr>
            <w:t>(AstraZeneca, AstraZeneca Annual Report, 2021)</w:t>
          </w:r>
          <w:r>
            <w:rPr>
              <w:sz w:val="24"/>
              <w:szCs w:val="24"/>
              <w:lang w:val="en-GB"/>
            </w:rPr>
            <w:fldChar w:fldCharType="end"/>
          </w:r>
        </w:sdtContent>
      </w:sdt>
    </w:p>
    <w:p w:rsidR="002E3DDE" w:rsidRDefault="002E3DDE" w:rsidP="00D31811">
      <w:pPr>
        <w:rPr>
          <w:lang w:val="en-GB"/>
        </w:rPr>
      </w:pPr>
    </w:p>
    <w:p w:rsidR="002E3DDE" w:rsidRDefault="002E3DDE" w:rsidP="00D31811">
      <w:pPr>
        <w:rPr>
          <w:lang w:val="en-GB"/>
        </w:rPr>
      </w:pPr>
    </w:p>
    <w:p w:rsidR="002E3DDE" w:rsidRDefault="002E3DDE" w:rsidP="00D31811">
      <w:pPr>
        <w:rPr>
          <w:lang w:val="en-GB"/>
        </w:rPr>
      </w:pPr>
    </w:p>
    <w:p w:rsidR="002E3DDE" w:rsidRDefault="002E3DDE" w:rsidP="00D31811">
      <w:pPr>
        <w:rPr>
          <w:lang w:val="en-GB"/>
        </w:rPr>
      </w:pPr>
    </w:p>
    <w:p w:rsidR="002E3DDE" w:rsidRDefault="002E3DDE" w:rsidP="00D31811">
      <w:pPr>
        <w:rPr>
          <w:lang w:val="en-GB"/>
        </w:rPr>
      </w:pPr>
    </w:p>
    <w:p w:rsidR="002E3DDE" w:rsidRDefault="002E3DDE" w:rsidP="00D31811">
      <w:pPr>
        <w:rPr>
          <w:lang w:val="en-GB"/>
        </w:rPr>
      </w:pPr>
    </w:p>
    <w:p w:rsidR="002E3DDE" w:rsidRDefault="002E3DDE" w:rsidP="00D31811">
      <w:pPr>
        <w:rPr>
          <w:lang w:val="en-GB"/>
        </w:rPr>
      </w:pPr>
    </w:p>
    <w:p w:rsidR="002E3DDE" w:rsidRDefault="002E3DDE" w:rsidP="00D31811">
      <w:pPr>
        <w:rPr>
          <w:lang w:val="en-GB"/>
        </w:rPr>
      </w:pPr>
    </w:p>
    <w:p w:rsidR="002E3DDE" w:rsidRDefault="002E3DDE" w:rsidP="00D31811">
      <w:pPr>
        <w:rPr>
          <w:lang w:val="en-GB"/>
        </w:rPr>
      </w:pPr>
    </w:p>
    <w:p w:rsidR="002E3DDE" w:rsidRDefault="002E3DDE" w:rsidP="00D31811">
      <w:pPr>
        <w:rPr>
          <w:lang w:val="en-GB"/>
        </w:rPr>
      </w:pPr>
    </w:p>
    <w:p w:rsidR="002E3DDE" w:rsidRDefault="002E3DDE" w:rsidP="00D31811">
      <w:pPr>
        <w:rPr>
          <w:lang w:val="en-GB"/>
        </w:rPr>
      </w:pPr>
    </w:p>
    <w:p w:rsidR="002E3DDE" w:rsidRDefault="002E3DDE" w:rsidP="00D31811">
      <w:pPr>
        <w:rPr>
          <w:lang w:val="en-GB"/>
        </w:rPr>
      </w:pPr>
    </w:p>
    <w:p w:rsidR="00D43D1E" w:rsidRDefault="00D43D1E" w:rsidP="00D31811">
      <w:pPr>
        <w:rPr>
          <w:lang w:val="en-GB"/>
        </w:rPr>
      </w:pPr>
    </w:p>
    <w:p w:rsidR="00D43D1E" w:rsidRDefault="00D43D1E" w:rsidP="00D31811">
      <w:pPr>
        <w:rPr>
          <w:lang w:val="en-GB"/>
        </w:rPr>
      </w:pPr>
    </w:p>
    <w:p w:rsidR="00D43D1E" w:rsidRDefault="00D43D1E" w:rsidP="00D31811">
      <w:pPr>
        <w:rPr>
          <w:lang w:val="en-GB"/>
        </w:rPr>
      </w:pPr>
    </w:p>
    <w:p w:rsidR="00D43D1E" w:rsidRDefault="00D43D1E" w:rsidP="00D31811">
      <w:pPr>
        <w:rPr>
          <w:lang w:val="en-GB"/>
        </w:rPr>
      </w:pPr>
    </w:p>
    <w:p w:rsidR="00D43D1E" w:rsidRDefault="00D43D1E" w:rsidP="00D31811">
      <w:pPr>
        <w:rPr>
          <w:lang w:val="en-GB"/>
        </w:rPr>
      </w:pPr>
    </w:p>
    <w:p w:rsidR="00D43D1E" w:rsidRDefault="00D43D1E" w:rsidP="00D31811">
      <w:pPr>
        <w:rPr>
          <w:lang w:val="en-GB"/>
        </w:rPr>
      </w:pPr>
    </w:p>
    <w:p w:rsidR="00D43D1E" w:rsidRDefault="00D43D1E" w:rsidP="00D31811">
      <w:pPr>
        <w:rPr>
          <w:lang w:val="en-GB"/>
        </w:rPr>
      </w:pPr>
    </w:p>
    <w:p w:rsidR="00D43D1E" w:rsidRDefault="00D43D1E" w:rsidP="00D31811">
      <w:pPr>
        <w:rPr>
          <w:lang w:val="en-GB"/>
        </w:rPr>
      </w:pPr>
    </w:p>
    <w:p w:rsidR="00D43D1E" w:rsidRDefault="00D43D1E" w:rsidP="00D31811">
      <w:pPr>
        <w:rPr>
          <w:lang w:val="en-GB"/>
        </w:rPr>
      </w:pPr>
    </w:p>
    <w:p w:rsidR="00D43D1E" w:rsidRDefault="00D43D1E" w:rsidP="00D31811">
      <w:pPr>
        <w:rPr>
          <w:lang w:val="en-GB"/>
        </w:rPr>
      </w:pPr>
    </w:p>
    <w:p w:rsidR="00D43D1E" w:rsidRDefault="00D43D1E" w:rsidP="00D31811">
      <w:pPr>
        <w:rPr>
          <w:lang w:val="en-GB"/>
        </w:rPr>
      </w:pPr>
    </w:p>
    <w:p w:rsidR="00D43D1E" w:rsidRDefault="00D43D1E" w:rsidP="00D31811">
      <w:pPr>
        <w:rPr>
          <w:lang w:val="en-GB"/>
        </w:rPr>
      </w:pPr>
    </w:p>
    <w:p w:rsidR="002E3DDE" w:rsidRDefault="002E3DDE" w:rsidP="00D31811">
      <w:pPr>
        <w:rPr>
          <w:lang w:val="en-GB"/>
        </w:rPr>
      </w:pPr>
    </w:p>
    <w:p w:rsidR="002E3DDE" w:rsidRDefault="002E3DDE" w:rsidP="00D31811">
      <w:pPr>
        <w:rPr>
          <w:lang w:val="en-GB"/>
        </w:rPr>
      </w:pPr>
    </w:p>
    <w:p w:rsidR="002E3DDE" w:rsidRDefault="002E3DDE" w:rsidP="00D31811">
      <w:pPr>
        <w:rPr>
          <w:lang w:val="en-GB"/>
        </w:rPr>
      </w:pPr>
    </w:p>
    <w:bookmarkStart w:id="10" w:name="_Toc110631984" w:displacedByCustomXml="next"/>
    <w:sdt>
      <w:sdtPr>
        <w:rPr>
          <w:rFonts w:asciiTheme="minorHAnsi" w:eastAsiaTheme="minorHAnsi" w:hAnsiTheme="minorHAnsi" w:cstheme="minorBidi"/>
          <w:color w:val="auto"/>
          <w:sz w:val="22"/>
          <w:szCs w:val="22"/>
        </w:rPr>
        <w:id w:val="-1165630976"/>
        <w:docPartObj>
          <w:docPartGallery w:val="Bibliographies"/>
          <w:docPartUnique/>
        </w:docPartObj>
      </w:sdtPr>
      <w:sdtEndPr/>
      <w:sdtContent>
        <w:p w:rsidR="002E3DDE" w:rsidRPr="002F641A" w:rsidRDefault="002E3DDE">
          <w:pPr>
            <w:pStyle w:val="Heading1"/>
            <w:rPr>
              <w:color w:val="000000" w:themeColor="text1"/>
              <w:sz w:val="24"/>
              <w:szCs w:val="24"/>
            </w:rPr>
          </w:pPr>
          <w:r w:rsidRPr="002F641A">
            <w:rPr>
              <w:color w:val="000000" w:themeColor="text1"/>
              <w:sz w:val="24"/>
              <w:szCs w:val="24"/>
            </w:rPr>
            <w:t>References</w:t>
          </w:r>
          <w:bookmarkEnd w:id="10"/>
        </w:p>
        <w:sdt>
          <w:sdtPr>
            <w:id w:val="-573587230"/>
            <w:bibliography/>
          </w:sdtPr>
          <w:sdtEndPr/>
          <w:sdtContent>
            <w:p w:rsidR="00397765" w:rsidRDefault="002E3DDE" w:rsidP="00397765">
              <w:pPr>
                <w:pStyle w:val="Bibliography"/>
                <w:ind w:left="720" w:hanging="720"/>
                <w:rPr>
                  <w:noProof/>
                  <w:sz w:val="24"/>
                  <w:szCs w:val="24"/>
                </w:rPr>
              </w:pPr>
              <w:r>
                <w:fldChar w:fldCharType="begin"/>
              </w:r>
              <w:r>
                <w:instrText xml:space="preserve"> BIBLIOGRAPHY </w:instrText>
              </w:r>
              <w:r>
                <w:fldChar w:fldCharType="separate"/>
              </w:r>
              <w:r w:rsidR="00397765">
                <w:rPr>
                  <w:noProof/>
                </w:rPr>
                <w:t xml:space="preserve">Al Ghanem, K., &amp; et al. (28 July 2021 r.). </w:t>
              </w:r>
              <w:r w:rsidR="00397765">
                <w:rPr>
                  <w:i/>
                  <w:iCs/>
                  <w:noProof/>
                </w:rPr>
                <w:t>Financial Analysis of AstraZeneca.</w:t>
              </w:r>
              <w:r w:rsidR="002F641A">
                <w:rPr>
                  <w:noProof/>
                </w:rPr>
                <w:t xml:space="preserve"> </w:t>
              </w:r>
              <w:r w:rsidR="00397765">
                <w:rPr>
                  <w:noProof/>
                </w:rPr>
                <w:t>Available at: https://ssrn.com/abstract=3895292</w:t>
              </w:r>
            </w:p>
            <w:p w:rsidR="00397765" w:rsidRDefault="00397765" w:rsidP="00397765">
              <w:pPr>
                <w:pStyle w:val="Bibliography"/>
                <w:ind w:left="720" w:hanging="720"/>
                <w:rPr>
                  <w:noProof/>
                </w:rPr>
              </w:pPr>
              <w:r>
                <w:rPr>
                  <w:noProof/>
                </w:rPr>
                <w:t xml:space="preserve">Almazrouei, S., &amp; Nobanee, H. (28 July 2021 r.). </w:t>
              </w:r>
              <w:r>
                <w:rPr>
                  <w:i/>
                  <w:iCs/>
                  <w:noProof/>
                </w:rPr>
                <w:t>Financial Management Goals, Functions, and Challenges.</w:t>
              </w:r>
              <w:r>
                <w:rPr>
                  <w:noProof/>
                </w:rPr>
                <w:t xml:space="preserve"> Available at: https://www.researchgate.net/profile/Haitham-Nobanee/publication/354653513_Financial_Management_Goals_Functions_and_Challenges/links/61447ea5f4a9f7651163601f/Financial-Management-Goals-Functions-and-Challenges.pdf</w:t>
              </w:r>
            </w:p>
            <w:p w:rsidR="00397765" w:rsidRDefault="00397765" w:rsidP="00397765">
              <w:pPr>
                <w:pStyle w:val="Bibliography"/>
                <w:ind w:left="720" w:hanging="720"/>
                <w:rPr>
                  <w:noProof/>
                </w:rPr>
              </w:pPr>
              <w:r>
                <w:rPr>
                  <w:noProof/>
                </w:rPr>
                <w:t xml:space="preserve">AstraZeneca. (2021). </w:t>
              </w:r>
              <w:r>
                <w:rPr>
                  <w:i/>
                  <w:iCs/>
                  <w:noProof/>
                </w:rPr>
                <w:t>AstraZeneca Annual Report.</w:t>
              </w:r>
              <w:r>
                <w:rPr>
                  <w:noProof/>
                </w:rPr>
                <w:t xml:space="preserve"> </w:t>
              </w:r>
            </w:p>
            <w:p w:rsidR="00397765" w:rsidRDefault="00397765" w:rsidP="00397765">
              <w:pPr>
                <w:pStyle w:val="Bibliography"/>
                <w:ind w:left="720" w:hanging="720"/>
                <w:rPr>
                  <w:noProof/>
                </w:rPr>
              </w:pPr>
              <w:r>
                <w:rPr>
                  <w:noProof/>
                </w:rPr>
                <w:t xml:space="preserve">AstraZeneca. (2021). </w:t>
              </w:r>
              <w:r>
                <w:rPr>
                  <w:i/>
                  <w:iCs/>
                  <w:noProof/>
                </w:rPr>
                <w:t>AstraZeneca Sustainability Report 2021.</w:t>
              </w:r>
              <w:r>
                <w:rPr>
                  <w:noProof/>
                </w:rPr>
                <w:t xml:space="preserve"> </w:t>
              </w:r>
            </w:p>
            <w:p w:rsidR="00397765" w:rsidRDefault="00397765" w:rsidP="00397765">
              <w:pPr>
                <w:pStyle w:val="Bibliography"/>
                <w:ind w:left="720" w:hanging="720"/>
                <w:rPr>
                  <w:noProof/>
                </w:rPr>
              </w:pPr>
              <w:r>
                <w:rPr>
                  <w:noProof/>
                </w:rPr>
                <w:t xml:space="preserve">AstraZeneca. (2022). </w:t>
              </w:r>
              <w:r>
                <w:rPr>
                  <w:i/>
                  <w:iCs/>
                  <w:noProof/>
                </w:rPr>
                <w:t>About Us</w:t>
              </w:r>
              <w:r w:rsidR="002F641A">
                <w:rPr>
                  <w:noProof/>
                </w:rPr>
                <w:t xml:space="preserve">. </w:t>
              </w:r>
              <w:r w:rsidR="002F641A">
                <w:rPr>
                  <w:noProof/>
                  <w:lang w:val="en-GB"/>
                </w:rPr>
                <w:t>Available at:</w:t>
              </w:r>
              <w:r>
                <w:rPr>
                  <w:noProof/>
                </w:rPr>
                <w:t xml:space="preserve"> https://www.astrazeneca.co.uk/about-us.html</w:t>
              </w:r>
            </w:p>
            <w:p w:rsidR="00397765" w:rsidRDefault="00397765" w:rsidP="00397765">
              <w:pPr>
                <w:pStyle w:val="Bibliography"/>
                <w:ind w:left="720" w:hanging="720"/>
                <w:rPr>
                  <w:noProof/>
                </w:rPr>
              </w:pPr>
              <w:r>
                <w:rPr>
                  <w:noProof/>
                </w:rPr>
                <w:t xml:space="preserve">Bekaert, G., &amp; Hodrick, R. (2013). </w:t>
              </w:r>
              <w:r>
                <w:rPr>
                  <w:i/>
                  <w:iCs/>
                  <w:noProof/>
                </w:rPr>
                <w:t>International Financial Management.</w:t>
              </w:r>
              <w:r>
                <w:rPr>
                  <w:noProof/>
                </w:rPr>
                <w:t xml:space="preserve"> pp 19-29: 2nd Ed., Pearson Education.</w:t>
              </w:r>
            </w:p>
            <w:p w:rsidR="00397765" w:rsidRDefault="00397765" w:rsidP="00397765">
              <w:pPr>
                <w:pStyle w:val="Bibliography"/>
                <w:ind w:left="720" w:hanging="720"/>
                <w:rPr>
                  <w:noProof/>
                </w:rPr>
              </w:pPr>
              <w:r>
                <w:rPr>
                  <w:noProof/>
                </w:rPr>
                <w:t xml:space="preserve">Heron, R. (2002). A team approach to managing mental health at work: the AstraZeneca case study. От M. D. al, </w:t>
              </w:r>
              <w:r>
                <w:rPr>
                  <w:i/>
                  <w:iCs/>
                  <w:noProof/>
                </w:rPr>
                <w:t>Work and Mental Health: An Employers' Guide</w:t>
              </w:r>
              <w:r>
                <w:rPr>
                  <w:noProof/>
                </w:rPr>
                <w:t xml:space="preserve"> (стр. Chapter 7, pp. 53-59). London: Gaskell and Faculty of Occupational Medicine.</w:t>
              </w:r>
            </w:p>
            <w:p w:rsidR="00397765" w:rsidRDefault="00397765" w:rsidP="00397765">
              <w:pPr>
                <w:pStyle w:val="Bibliography"/>
                <w:ind w:left="720" w:hanging="720"/>
                <w:rPr>
                  <w:noProof/>
                </w:rPr>
              </w:pPr>
              <w:r>
                <w:rPr>
                  <w:noProof/>
                </w:rPr>
                <w:t xml:space="preserve">Karlsson, A., &amp; Palm, P. (2012). </w:t>
              </w:r>
              <w:r>
                <w:rPr>
                  <w:i/>
                  <w:iCs/>
                  <w:noProof/>
                </w:rPr>
                <w:t>Foreign Currency Denominated Debt as a Hedging Instrument.</w:t>
              </w:r>
              <w:r>
                <w:rPr>
                  <w:noProof/>
                </w:rPr>
                <w:t xml:space="preserve"> Univercity of Gothenburg: School of business,economics and law.</w:t>
              </w:r>
            </w:p>
            <w:p w:rsidR="00397765" w:rsidRDefault="00397765" w:rsidP="00397765">
              <w:pPr>
                <w:pStyle w:val="Bibliography"/>
                <w:ind w:left="720" w:hanging="720"/>
                <w:rPr>
                  <w:noProof/>
                </w:rPr>
              </w:pPr>
              <w:r>
                <w:rPr>
                  <w:noProof/>
                </w:rPr>
                <w:t xml:space="preserve">Le, T. (4 March 2012 r.). </w:t>
              </w:r>
              <w:r>
                <w:rPr>
                  <w:i/>
                  <w:iCs/>
                  <w:noProof/>
                </w:rPr>
                <w:t>Financial Analysis and Valuation of Astrazeneca.</w:t>
              </w:r>
              <w:r>
                <w:rPr>
                  <w:noProof/>
                </w:rPr>
                <w:t xml:space="preserve"> Available at: http://dx.doi.org/10.2139/ssrn.2015539</w:t>
              </w:r>
            </w:p>
            <w:p w:rsidR="00397765" w:rsidRDefault="00397765" w:rsidP="00397765">
              <w:pPr>
                <w:pStyle w:val="Bibliography"/>
                <w:ind w:left="720" w:hanging="720"/>
                <w:rPr>
                  <w:noProof/>
                </w:rPr>
              </w:pPr>
              <w:r>
                <w:rPr>
                  <w:noProof/>
                </w:rPr>
                <w:t xml:space="preserve">Mikulic, M. (23 Feb 2022 r.). </w:t>
              </w:r>
              <w:r>
                <w:rPr>
                  <w:i/>
                  <w:iCs/>
                  <w:noProof/>
                </w:rPr>
                <w:t>AstraZeneca's employees by region 2021.</w:t>
              </w:r>
              <w:r w:rsidR="002F641A">
                <w:rPr>
                  <w:noProof/>
                </w:rPr>
                <w:t xml:space="preserve"> </w:t>
              </w:r>
              <w:r w:rsidR="002F641A">
                <w:rPr>
                  <w:noProof/>
                  <w:lang w:val="en-GB"/>
                </w:rPr>
                <w:t>Available at</w:t>
              </w:r>
              <w:r>
                <w:rPr>
                  <w:noProof/>
                </w:rPr>
                <w:t>: https://www.statista.com/statistics/266558/astrazenecas-employee-distribution-by-region-since-2008/</w:t>
              </w:r>
            </w:p>
            <w:p w:rsidR="00397765" w:rsidRDefault="00397765" w:rsidP="00397765">
              <w:pPr>
                <w:pStyle w:val="Bibliography"/>
                <w:ind w:left="720" w:hanging="720"/>
                <w:rPr>
                  <w:noProof/>
                </w:rPr>
              </w:pPr>
              <w:r>
                <w:rPr>
                  <w:noProof/>
                </w:rPr>
                <w:t xml:space="preserve">Mikulic, M. (23 Feb 2022 r.). </w:t>
              </w:r>
              <w:r>
                <w:rPr>
                  <w:i/>
                  <w:iCs/>
                  <w:noProof/>
                </w:rPr>
                <w:t>AstraZeneca's operating profit 2006-2021.</w:t>
              </w:r>
              <w:r>
                <w:rPr>
                  <w:noProof/>
                </w:rPr>
                <w:t xml:space="preserve"> Available at: https://www.statista.com/statistics/266544/astrazeneca-operating-profit-since-2006/</w:t>
              </w:r>
            </w:p>
            <w:p w:rsidR="00397765" w:rsidRDefault="00397765" w:rsidP="00397765">
              <w:pPr>
                <w:pStyle w:val="Bibliography"/>
                <w:ind w:left="720" w:hanging="720"/>
                <w:rPr>
                  <w:noProof/>
                </w:rPr>
              </w:pPr>
              <w:r>
                <w:rPr>
                  <w:noProof/>
                </w:rPr>
                <w:t xml:space="preserve">Nijhuis, O. (2 September 2016 r.). </w:t>
              </w:r>
              <w:r>
                <w:rPr>
                  <w:i/>
                  <w:iCs/>
                  <w:noProof/>
                </w:rPr>
                <w:t>Global Operations - AstraZeneca</w:t>
              </w:r>
              <w:r w:rsidR="002F641A">
                <w:rPr>
                  <w:noProof/>
                </w:rPr>
                <w:t xml:space="preserve">. </w:t>
              </w:r>
              <w:r w:rsidR="002F641A">
                <w:rPr>
                  <w:noProof/>
                  <w:lang w:val="en-GB"/>
                </w:rPr>
                <w:t>Available at</w:t>
              </w:r>
              <w:r>
                <w:rPr>
                  <w:noProof/>
                </w:rPr>
                <w:t>: https://www.slideshare.net/onijhuis/global-operations-astrazeneca-65624656</w:t>
              </w:r>
            </w:p>
            <w:p w:rsidR="00397765" w:rsidRDefault="00397765" w:rsidP="00397765">
              <w:pPr>
                <w:pStyle w:val="Bibliography"/>
                <w:ind w:left="720" w:hanging="720"/>
                <w:rPr>
                  <w:noProof/>
                </w:rPr>
              </w:pPr>
              <w:r>
                <w:rPr>
                  <w:noProof/>
                </w:rPr>
                <w:t xml:space="preserve">Zhao, S., &amp; et al. (2016). The internationalisation of innovation to China: the case of AstraZeneca PLC. </w:t>
              </w:r>
              <w:r>
                <w:rPr>
                  <w:i/>
                  <w:iCs/>
                  <w:noProof/>
                </w:rPr>
                <w:t>Academy of International Business Annual Conference Proceedings. In: Academy of International Business Annual Meeting.</w:t>
              </w:r>
              <w:r>
                <w:rPr>
                  <w:noProof/>
                </w:rPr>
                <w:t xml:space="preserve"> New Orleans: Middlesex University Research Repository.</w:t>
              </w:r>
            </w:p>
            <w:p w:rsidR="003E2F53" w:rsidRPr="002F641A" w:rsidRDefault="002E3DDE" w:rsidP="00D31811">
              <w:r>
                <w:rPr>
                  <w:b/>
                  <w:bCs/>
                  <w:noProof/>
                </w:rPr>
                <w:fldChar w:fldCharType="end"/>
              </w:r>
            </w:p>
          </w:sdtContent>
        </w:sdt>
      </w:sdtContent>
    </w:sdt>
    <w:sectPr w:rsidR="003E2F53" w:rsidRPr="002F641A">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4002EFF" w:usb1="C000247B" w:usb2="00000009" w:usb3="00000000" w:csb0="000001FF" w:csb1="00000000"/>
  </w:font>
  <w:font w:name="Courier New">
    <w:panose1 w:val="02070309020205020404"/>
    <w:charset w:val="CC"/>
    <w:family w:val="modern"/>
    <w:pitch w:val="fixed"/>
    <w:sig w:usb0="E0002EFF" w:usb1="C0007843"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F5F5121"/>
    <w:multiLevelType w:val="hybridMultilevel"/>
    <w:tmpl w:val="606227C6"/>
    <w:lvl w:ilvl="0" w:tplc="C572181C">
      <w:numFmt w:val="bullet"/>
      <w:lvlText w:val="-"/>
      <w:lvlJc w:val="left"/>
      <w:pPr>
        <w:ind w:left="720" w:hanging="360"/>
      </w:pPr>
      <w:rPr>
        <w:rFonts w:ascii="Calibri" w:eastAsiaTheme="minorHAnsi" w:hAnsi="Calibri" w:cs="Calibri"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1F1C"/>
    <w:rsid w:val="00034AE7"/>
    <w:rsid w:val="00053B8F"/>
    <w:rsid w:val="00054A41"/>
    <w:rsid w:val="00066884"/>
    <w:rsid w:val="000B08DC"/>
    <w:rsid w:val="000B3E3B"/>
    <w:rsid w:val="000B5173"/>
    <w:rsid w:val="000D46DF"/>
    <w:rsid w:val="000D4DAB"/>
    <w:rsid w:val="000D51F5"/>
    <w:rsid w:val="0011051B"/>
    <w:rsid w:val="00111634"/>
    <w:rsid w:val="00125D54"/>
    <w:rsid w:val="00143CE4"/>
    <w:rsid w:val="00155FCE"/>
    <w:rsid w:val="001857FE"/>
    <w:rsid w:val="001A41CC"/>
    <w:rsid w:val="001A4799"/>
    <w:rsid w:val="001B5A2C"/>
    <w:rsid w:val="002350F6"/>
    <w:rsid w:val="00265AB7"/>
    <w:rsid w:val="00282360"/>
    <w:rsid w:val="002850DD"/>
    <w:rsid w:val="00290603"/>
    <w:rsid w:val="002974D8"/>
    <w:rsid w:val="002D6275"/>
    <w:rsid w:val="002E36D0"/>
    <w:rsid w:val="002E3DDE"/>
    <w:rsid w:val="002F641A"/>
    <w:rsid w:val="003068B5"/>
    <w:rsid w:val="00333425"/>
    <w:rsid w:val="00350A1D"/>
    <w:rsid w:val="0035421C"/>
    <w:rsid w:val="00376A7B"/>
    <w:rsid w:val="00397765"/>
    <w:rsid w:val="00397F0F"/>
    <w:rsid w:val="003E2F53"/>
    <w:rsid w:val="003E6EAA"/>
    <w:rsid w:val="0041327C"/>
    <w:rsid w:val="00413663"/>
    <w:rsid w:val="0042483E"/>
    <w:rsid w:val="00494B94"/>
    <w:rsid w:val="005051B3"/>
    <w:rsid w:val="00511696"/>
    <w:rsid w:val="00526744"/>
    <w:rsid w:val="0053313E"/>
    <w:rsid w:val="00537377"/>
    <w:rsid w:val="00537477"/>
    <w:rsid w:val="00543239"/>
    <w:rsid w:val="00546826"/>
    <w:rsid w:val="00566BCF"/>
    <w:rsid w:val="005A2458"/>
    <w:rsid w:val="005C4F77"/>
    <w:rsid w:val="0060469A"/>
    <w:rsid w:val="00643E9D"/>
    <w:rsid w:val="006847A1"/>
    <w:rsid w:val="00691ADB"/>
    <w:rsid w:val="006A5C2E"/>
    <w:rsid w:val="006E69A1"/>
    <w:rsid w:val="006F014A"/>
    <w:rsid w:val="007065E8"/>
    <w:rsid w:val="00737131"/>
    <w:rsid w:val="00742BC2"/>
    <w:rsid w:val="00744A31"/>
    <w:rsid w:val="00761DEC"/>
    <w:rsid w:val="00762E08"/>
    <w:rsid w:val="00784446"/>
    <w:rsid w:val="007922B3"/>
    <w:rsid w:val="007E396A"/>
    <w:rsid w:val="007E5937"/>
    <w:rsid w:val="00800AC5"/>
    <w:rsid w:val="00803052"/>
    <w:rsid w:val="00864F3C"/>
    <w:rsid w:val="00875376"/>
    <w:rsid w:val="008B2647"/>
    <w:rsid w:val="008C4A4B"/>
    <w:rsid w:val="008C565C"/>
    <w:rsid w:val="008C62CE"/>
    <w:rsid w:val="009336D4"/>
    <w:rsid w:val="00937599"/>
    <w:rsid w:val="00946DA2"/>
    <w:rsid w:val="009631C1"/>
    <w:rsid w:val="009C1F96"/>
    <w:rsid w:val="009D3745"/>
    <w:rsid w:val="009F64C5"/>
    <w:rsid w:val="00A05F99"/>
    <w:rsid w:val="00A2344F"/>
    <w:rsid w:val="00A356CE"/>
    <w:rsid w:val="00A57BE4"/>
    <w:rsid w:val="00A8154F"/>
    <w:rsid w:val="00A81F1C"/>
    <w:rsid w:val="00A92199"/>
    <w:rsid w:val="00AC483C"/>
    <w:rsid w:val="00B41585"/>
    <w:rsid w:val="00B6221C"/>
    <w:rsid w:val="00B86E0F"/>
    <w:rsid w:val="00B963A5"/>
    <w:rsid w:val="00BB0393"/>
    <w:rsid w:val="00BC27C3"/>
    <w:rsid w:val="00BD1F70"/>
    <w:rsid w:val="00BF7591"/>
    <w:rsid w:val="00C04679"/>
    <w:rsid w:val="00C20CA7"/>
    <w:rsid w:val="00C5794D"/>
    <w:rsid w:val="00C714FF"/>
    <w:rsid w:val="00C93E67"/>
    <w:rsid w:val="00CF750D"/>
    <w:rsid w:val="00D1685F"/>
    <w:rsid w:val="00D31811"/>
    <w:rsid w:val="00D3428D"/>
    <w:rsid w:val="00D43D1E"/>
    <w:rsid w:val="00D44151"/>
    <w:rsid w:val="00D644F3"/>
    <w:rsid w:val="00D94F59"/>
    <w:rsid w:val="00DE5AB4"/>
    <w:rsid w:val="00DE5E8A"/>
    <w:rsid w:val="00DE7EBA"/>
    <w:rsid w:val="00DF53F1"/>
    <w:rsid w:val="00E27405"/>
    <w:rsid w:val="00E34833"/>
    <w:rsid w:val="00E424C9"/>
    <w:rsid w:val="00E57A39"/>
    <w:rsid w:val="00E65001"/>
    <w:rsid w:val="00EB5255"/>
    <w:rsid w:val="00ED5C13"/>
    <w:rsid w:val="00EE47DF"/>
    <w:rsid w:val="00F00158"/>
    <w:rsid w:val="00F12B0E"/>
    <w:rsid w:val="00F147F2"/>
    <w:rsid w:val="00F17AA3"/>
    <w:rsid w:val="00F50F5E"/>
    <w:rsid w:val="00F547DD"/>
    <w:rsid w:val="00F5796D"/>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E64FB9"/>
  <w15:chartTrackingRefBased/>
  <w15:docId w15:val="{021DB549-86E6-4922-9DBA-E23BB8ED83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714F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336D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14F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714FF"/>
    <w:pPr>
      <w:outlineLvl w:val="9"/>
    </w:pPr>
    <w:rPr>
      <w:lang w:val="en-US"/>
    </w:rPr>
  </w:style>
  <w:style w:type="paragraph" w:styleId="Title">
    <w:name w:val="Title"/>
    <w:basedOn w:val="Normal"/>
    <w:next w:val="Normal"/>
    <w:link w:val="TitleChar"/>
    <w:uiPriority w:val="10"/>
    <w:qFormat/>
    <w:rsid w:val="00C714F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14FF"/>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rsid w:val="00D31811"/>
    <w:pPr>
      <w:spacing w:after="100"/>
    </w:pPr>
  </w:style>
  <w:style w:type="character" w:styleId="Hyperlink">
    <w:name w:val="Hyperlink"/>
    <w:basedOn w:val="DefaultParagraphFont"/>
    <w:uiPriority w:val="99"/>
    <w:unhideWhenUsed/>
    <w:rsid w:val="00D31811"/>
    <w:rPr>
      <w:color w:val="0563C1" w:themeColor="hyperlink"/>
      <w:u w:val="single"/>
    </w:rPr>
  </w:style>
  <w:style w:type="paragraph" w:styleId="Bibliography">
    <w:name w:val="Bibliography"/>
    <w:basedOn w:val="Normal"/>
    <w:next w:val="Normal"/>
    <w:uiPriority w:val="37"/>
    <w:unhideWhenUsed/>
    <w:rsid w:val="002E3DDE"/>
  </w:style>
  <w:style w:type="character" w:customStyle="1" w:styleId="Heading2Char">
    <w:name w:val="Heading 2 Char"/>
    <w:basedOn w:val="DefaultParagraphFont"/>
    <w:link w:val="Heading2"/>
    <w:uiPriority w:val="9"/>
    <w:rsid w:val="009336D4"/>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875376"/>
    <w:pPr>
      <w:spacing w:after="100"/>
      <w:ind w:left="220"/>
    </w:pPr>
  </w:style>
  <w:style w:type="paragraph" w:styleId="ListParagraph">
    <w:name w:val="List Paragraph"/>
    <w:basedOn w:val="Normal"/>
    <w:uiPriority w:val="34"/>
    <w:qFormat/>
    <w:rsid w:val="00DE5AB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169246">
      <w:bodyDiv w:val="1"/>
      <w:marLeft w:val="0"/>
      <w:marRight w:val="0"/>
      <w:marTop w:val="0"/>
      <w:marBottom w:val="0"/>
      <w:divBdr>
        <w:top w:val="none" w:sz="0" w:space="0" w:color="auto"/>
        <w:left w:val="none" w:sz="0" w:space="0" w:color="auto"/>
        <w:bottom w:val="none" w:sz="0" w:space="0" w:color="auto"/>
        <w:right w:val="none" w:sz="0" w:space="0" w:color="auto"/>
      </w:divBdr>
    </w:div>
    <w:div w:id="49117524">
      <w:bodyDiv w:val="1"/>
      <w:marLeft w:val="0"/>
      <w:marRight w:val="0"/>
      <w:marTop w:val="0"/>
      <w:marBottom w:val="0"/>
      <w:divBdr>
        <w:top w:val="none" w:sz="0" w:space="0" w:color="auto"/>
        <w:left w:val="none" w:sz="0" w:space="0" w:color="auto"/>
        <w:bottom w:val="none" w:sz="0" w:space="0" w:color="auto"/>
        <w:right w:val="none" w:sz="0" w:space="0" w:color="auto"/>
      </w:divBdr>
    </w:div>
    <w:div w:id="158811601">
      <w:bodyDiv w:val="1"/>
      <w:marLeft w:val="0"/>
      <w:marRight w:val="0"/>
      <w:marTop w:val="0"/>
      <w:marBottom w:val="0"/>
      <w:divBdr>
        <w:top w:val="none" w:sz="0" w:space="0" w:color="auto"/>
        <w:left w:val="none" w:sz="0" w:space="0" w:color="auto"/>
        <w:bottom w:val="none" w:sz="0" w:space="0" w:color="auto"/>
        <w:right w:val="none" w:sz="0" w:space="0" w:color="auto"/>
      </w:divBdr>
    </w:div>
    <w:div w:id="195430490">
      <w:bodyDiv w:val="1"/>
      <w:marLeft w:val="0"/>
      <w:marRight w:val="0"/>
      <w:marTop w:val="0"/>
      <w:marBottom w:val="0"/>
      <w:divBdr>
        <w:top w:val="none" w:sz="0" w:space="0" w:color="auto"/>
        <w:left w:val="none" w:sz="0" w:space="0" w:color="auto"/>
        <w:bottom w:val="none" w:sz="0" w:space="0" w:color="auto"/>
        <w:right w:val="none" w:sz="0" w:space="0" w:color="auto"/>
      </w:divBdr>
    </w:div>
    <w:div w:id="203372354">
      <w:bodyDiv w:val="1"/>
      <w:marLeft w:val="0"/>
      <w:marRight w:val="0"/>
      <w:marTop w:val="0"/>
      <w:marBottom w:val="0"/>
      <w:divBdr>
        <w:top w:val="none" w:sz="0" w:space="0" w:color="auto"/>
        <w:left w:val="none" w:sz="0" w:space="0" w:color="auto"/>
        <w:bottom w:val="none" w:sz="0" w:space="0" w:color="auto"/>
        <w:right w:val="none" w:sz="0" w:space="0" w:color="auto"/>
      </w:divBdr>
    </w:div>
    <w:div w:id="203492017">
      <w:bodyDiv w:val="1"/>
      <w:marLeft w:val="0"/>
      <w:marRight w:val="0"/>
      <w:marTop w:val="0"/>
      <w:marBottom w:val="0"/>
      <w:divBdr>
        <w:top w:val="none" w:sz="0" w:space="0" w:color="auto"/>
        <w:left w:val="none" w:sz="0" w:space="0" w:color="auto"/>
        <w:bottom w:val="none" w:sz="0" w:space="0" w:color="auto"/>
        <w:right w:val="none" w:sz="0" w:space="0" w:color="auto"/>
      </w:divBdr>
    </w:div>
    <w:div w:id="254364403">
      <w:bodyDiv w:val="1"/>
      <w:marLeft w:val="0"/>
      <w:marRight w:val="0"/>
      <w:marTop w:val="0"/>
      <w:marBottom w:val="0"/>
      <w:divBdr>
        <w:top w:val="none" w:sz="0" w:space="0" w:color="auto"/>
        <w:left w:val="none" w:sz="0" w:space="0" w:color="auto"/>
        <w:bottom w:val="none" w:sz="0" w:space="0" w:color="auto"/>
        <w:right w:val="none" w:sz="0" w:space="0" w:color="auto"/>
      </w:divBdr>
    </w:div>
    <w:div w:id="262687087">
      <w:bodyDiv w:val="1"/>
      <w:marLeft w:val="0"/>
      <w:marRight w:val="0"/>
      <w:marTop w:val="0"/>
      <w:marBottom w:val="0"/>
      <w:divBdr>
        <w:top w:val="none" w:sz="0" w:space="0" w:color="auto"/>
        <w:left w:val="none" w:sz="0" w:space="0" w:color="auto"/>
        <w:bottom w:val="none" w:sz="0" w:space="0" w:color="auto"/>
        <w:right w:val="none" w:sz="0" w:space="0" w:color="auto"/>
      </w:divBdr>
    </w:div>
    <w:div w:id="276791113">
      <w:bodyDiv w:val="1"/>
      <w:marLeft w:val="0"/>
      <w:marRight w:val="0"/>
      <w:marTop w:val="0"/>
      <w:marBottom w:val="0"/>
      <w:divBdr>
        <w:top w:val="none" w:sz="0" w:space="0" w:color="auto"/>
        <w:left w:val="none" w:sz="0" w:space="0" w:color="auto"/>
        <w:bottom w:val="none" w:sz="0" w:space="0" w:color="auto"/>
        <w:right w:val="none" w:sz="0" w:space="0" w:color="auto"/>
      </w:divBdr>
    </w:div>
    <w:div w:id="290401348">
      <w:bodyDiv w:val="1"/>
      <w:marLeft w:val="0"/>
      <w:marRight w:val="0"/>
      <w:marTop w:val="0"/>
      <w:marBottom w:val="0"/>
      <w:divBdr>
        <w:top w:val="none" w:sz="0" w:space="0" w:color="auto"/>
        <w:left w:val="none" w:sz="0" w:space="0" w:color="auto"/>
        <w:bottom w:val="none" w:sz="0" w:space="0" w:color="auto"/>
        <w:right w:val="none" w:sz="0" w:space="0" w:color="auto"/>
      </w:divBdr>
    </w:div>
    <w:div w:id="311911876">
      <w:bodyDiv w:val="1"/>
      <w:marLeft w:val="0"/>
      <w:marRight w:val="0"/>
      <w:marTop w:val="0"/>
      <w:marBottom w:val="0"/>
      <w:divBdr>
        <w:top w:val="none" w:sz="0" w:space="0" w:color="auto"/>
        <w:left w:val="none" w:sz="0" w:space="0" w:color="auto"/>
        <w:bottom w:val="none" w:sz="0" w:space="0" w:color="auto"/>
        <w:right w:val="none" w:sz="0" w:space="0" w:color="auto"/>
      </w:divBdr>
    </w:div>
    <w:div w:id="333265702">
      <w:bodyDiv w:val="1"/>
      <w:marLeft w:val="0"/>
      <w:marRight w:val="0"/>
      <w:marTop w:val="0"/>
      <w:marBottom w:val="0"/>
      <w:divBdr>
        <w:top w:val="none" w:sz="0" w:space="0" w:color="auto"/>
        <w:left w:val="none" w:sz="0" w:space="0" w:color="auto"/>
        <w:bottom w:val="none" w:sz="0" w:space="0" w:color="auto"/>
        <w:right w:val="none" w:sz="0" w:space="0" w:color="auto"/>
      </w:divBdr>
    </w:div>
    <w:div w:id="340860040">
      <w:bodyDiv w:val="1"/>
      <w:marLeft w:val="0"/>
      <w:marRight w:val="0"/>
      <w:marTop w:val="0"/>
      <w:marBottom w:val="0"/>
      <w:divBdr>
        <w:top w:val="none" w:sz="0" w:space="0" w:color="auto"/>
        <w:left w:val="none" w:sz="0" w:space="0" w:color="auto"/>
        <w:bottom w:val="none" w:sz="0" w:space="0" w:color="auto"/>
        <w:right w:val="none" w:sz="0" w:space="0" w:color="auto"/>
      </w:divBdr>
    </w:div>
    <w:div w:id="348528319">
      <w:bodyDiv w:val="1"/>
      <w:marLeft w:val="0"/>
      <w:marRight w:val="0"/>
      <w:marTop w:val="0"/>
      <w:marBottom w:val="0"/>
      <w:divBdr>
        <w:top w:val="none" w:sz="0" w:space="0" w:color="auto"/>
        <w:left w:val="none" w:sz="0" w:space="0" w:color="auto"/>
        <w:bottom w:val="none" w:sz="0" w:space="0" w:color="auto"/>
        <w:right w:val="none" w:sz="0" w:space="0" w:color="auto"/>
      </w:divBdr>
    </w:div>
    <w:div w:id="362635766">
      <w:bodyDiv w:val="1"/>
      <w:marLeft w:val="0"/>
      <w:marRight w:val="0"/>
      <w:marTop w:val="0"/>
      <w:marBottom w:val="0"/>
      <w:divBdr>
        <w:top w:val="none" w:sz="0" w:space="0" w:color="auto"/>
        <w:left w:val="none" w:sz="0" w:space="0" w:color="auto"/>
        <w:bottom w:val="none" w:sz="0" w:space="0" w:color="auto"/>
        <w:right w:val="none" w:sz="0" w:space="0" w:color="auto"/>
      </w:divBdr>
    </w:div>
    <w:div w:id="374276469">
      <w:bodyDiv w:val="1"/>
      <w:marLeft w:val="0"/>
      <w:marRight w:val="0"/>
      <w:marTop w:val="0"/>
      <w:marBottom w:val="0"/>
      <w:divBdr>
        <w:top w:val="none" w:sz="0" w:space="0" w:color="auto"/>
        <w:left w:val="none" w:sz="0" w:space="0" w:color="auto"/>
        <w:bottom w:val="none" w:sz="0" w:space="0" w:color="auto"/>
        <w:right w:val="none" w:sz="0" w:space="0" w:color="auto"/>
      </w:divBdr>
    </w:div>
    <w:div w:id="381711647">
      <w:bodyDiv w:val="1"/>
      <w:marLeft w:val="0"/>
      <w:marRight w:val="0"/>
      <w:marTop w:val="0"/>
      <w:marBottom w:val="0"/>
      <w:divBdr>
        <w:top w:val="none" w:sz="0" w:space="0" w:color="auto"/>
        <w:left w:val="none" w:sz="0" w:space="0" w:color="auto"/>
        <w:bottom w:val="none" w:sz="0" w:space="0" w:color="auto"/>
        <w:right w:val="none" w:sz="0" w:space="0" w:color="auto"/>
      </w:divBdr>
    </w:div>
    <w:div w:id="395058127">
      <w:bodyDiv w:val="1"/>
      <w:marLeft w:val="0"/>
      <w:marRight w:val="0"/>
      <w:marTop w:val="0"/>
      <w:marBottom w:val="0"/>
      <w:divBdr>
        <w:top w:val="none" w:sz="0" w:space="0" w:color="auto"/>
        <w:left w:val="none" w:sz="0" w:space="0" w:color="auto"/>
        <w:bottom w:val="none" w:sz="0" w:space="0" w:color="auto"/>
        <w:right w:val="none" w:sz="0" w:space="0" w:color="auto"/>
      </w:divBdr>
    </w:div>
    <w:div w:id="398525486">
      <w:bodyDiv w:val="1"/>
      <w:marLeft w:val="0"/>
      <w:marRight w:val="0"/>
      <w:marTop w:val="0"/>
      <w:marBottom w:val="0"/>
      <w:divBdr>
        <w:top w:val="none" w:sz="0" w:space="0" w:color="auto"/>
        <w:left w:val="none" w:sz="0" w:space="0" w:color="auto"/>
        <w:bottom w:val="none" w:sz="0" w:space="0" w:color="auto"/>
        <w:right w:val="none" w:sz="0" w:space="0" w:color="auto"/>
      </w:divBdr>
    </w:div>
    <w:div w:id="413745831">
      <w:bodyDiv w:val="1"/>
      <w:marLeft w:val="0"/>
      <w:marRight w:val="0"/>
      <w:marTop w:val="0"/>
      <w:marBottom w:val="0"/>
      <w:divBdr>
        <w:top w:val="none" w:sz="0" w:space="0" w:color="auto"/>
        <w:left w:val="none" w:sz="0" w:space="0" w:color="auto"/>
        <w:bottom w:val="none" w:sz="0" w:space="0" w:color="auto"/>
        <w:right w:val="none" w:sz="0" w:space="0" w:color="auto"/>
      </w:divBdr>
    </w:div>
    <w:div w:id="427426861">
      <w:bodyDiv w:val="1"/>
      <w:marLeft w:val="0"/>
      <w:marRight w:val="0"/>
      <w:marTop w:val="0"/>
      <w:marBottom w:val="0"/>
      <w:divBdr>
        <w:top w:val="none" w:sz="0" w:space="0" w:color="auto"/>
        <w:left w:val="none" w:sz="0" w:space="0" w:color="auto"/>
        <w:bottom w:val="none" w:sz="0" w:space="0" w:color="auto"/>
        <w:right w:val="none" w:sz="0" w:space="0" w:color="auto"/>
      </w:divBdr>
    </w:div>
    <w:div w:id="478621436">
      <w:bodyDiv w:val="1"/>
      <w:marLeft w:val="0"/>
      <w:marRight w:val="0"/>
      <w:marTop w:val="0"/>
      <w:marBottom w:val="0"/>
      <w:divBdr>
        <w:top w:val="none" w:sz="0" w:space="0" w:color="auto"/>
        <w:left w:val="none" w:sz="0" w:space="0" w:color="auto"/>
        <w:bottom w:val="none" w:sz="0" w:space="0" w:color="auto"/>
        <w:right w:val="none" w:sz="0" w:space="0" w:color="auto"/>
      </w:divBdr>
    </w:div>
    <w:div w:id="504325510">
      <w:bodyDiv w:val="1"/>
      <w:marLeft w:val="0"/>
      <w:marRight w:val="0"/>
      <w:marTop w:val="0"/>
      <w:marBottom w:val="0"/>
      <w:divBdr>
        <w:top w:val="none" w:sz="0" w:space="0" w:color="auto"/>
        <w:left w:val="none" w:sz="0" w:space="0" w:color="auto"/>
        <w:bottom w:val="none" w:sz="0" w:space="0" w:color="auto"/>
        <w:right w:val="none" w:sz="0" w:space="0" w:color="auto"/>
      </w:divBdr>
    </w:div>
    <w:div w:id="544489078">
      <w:bodyDiv w:val="1"/>
      <w:marLeft w:val="0"/>
      <w:marRight w:val="0"/>
      <w:marTop w:val="0"/>
      <w:marBottom w:val="0"/>
      <w:divBdr>
        <w:top w:val="none" w:sz="0" w:space="0" w:color="auto"/>
        <w:left w:val="none" w:sz="0" w:space="0" w:color="auto"/>
        <w:bottom w:val="none" w:sz="0" w:space="0" w:color="auto"/>
        <w:right w:val="none" w:sz="0" w:space="0" w:color="auto"/>
      </w:divBdr>
    </w:div>
    <w:div w:id="556015817">
      <w:bodyDiv w:val="1"/>
      <w:marLeft w:val="0"/>
      <w:marRight w:val="0"/>
      <w:marTop w:val="0"/>
      <w:marBottom w:val="0"/>
      <w:divBdr>
        <w:top w:val="none" w:sz="0" w:space="0" w:color="auto"/>
        <w:left w:val="none" w:sz="0" w:space="0" w:color="auto"/>
        <w:bottom w:val="none" w:sz="0" w:space="0" w:color="auto"/>
        <w:right w:val="none" w:sz="0" w:space="0" w:color="auto"/>
      </w:divBdr>
    </w:div>
    <w:div w:id="573976067">
      <w:bodyDiv w:val="1"/>
      <w:marLeft w:val="0"/>
      <w:marRight w:val="0"/>
      <w:marTop w:val="0"/>
      <w:marBottom w:val="0"/>
      <w:divBdr>
        <w:top w:val="none" w:sz="0" w:space="0" w:color="auto"/>
        <w:left w:val="none" w:sz="0" w:space="0" w:color="auto"/>
        <w:bottom w:val="none" w:sz="0" w:space="0" w:color="auto"/>
        <w:right w:val="none" w:sz="0" w:space="0" w:color="auto"/>
      </w:divBdr>
    </w:div>
    <w:div w:id="582877401">
      <w:bodyDiv w:val="1"/>
      <w:marLeft w:val="0"/>
      <w:marRight w:val="0"/>
      <w:marTop w:val="0"/>
      <w:marBottom w:val="0"/>
      <w:divBdr>
        <w:top w:val="none" w:sz="0" w:space="0" w:color="auto"/>
        <w:left w:val="none" w:sz="0" w:space="0" w:color="auto"/>
        <w:bottom w:val="none" w:sz="0" w:space="0" w:color="auto"/>
        <w:right w:val="none" w:sz="0" w:space="0" w:color="auto"/>
      </w:divBdr>
    </w:div>
    <w:div w:id="592520189">
      <w:bodyDiv w:val="1"/>
      <w:marLeft w:val="0"/>
      <w:marRight w:val="0"/>
      <w:marTop w:val="0"/>
      <w:marBottom w:val="0"/>
      <w:divBdr>
        <w:top w:val="none" w:sz="0" w:space="0" w:color="auto"/>
        <w:left w:val="none" w:sz="0" w:space="0" w:color="auto"/>
        <w:bottom w:val="none" w:sz="0" w:space="0" w:color="auto"/>
        <w:right w:val="none" w:sz="0" w:space="0" w:color="auto"/>
      </w:divBdr>
    </w:div>
    <w:div w:id="598372927">
      <w:bodyDiv w:val="1"/>
      <w:marLeft w:val="0"/>
      <w:marRight w:val="0"/>
      <w:marTop w:val="0"/>
      <w:marBottom w:val="0"/>
      <w:divBdr>
        <w:top w:val="none" w:sz="0" w:space="0" w:color="auto"/>
        <w:left w:val="none" w:sz="0" w:space="0" w:color="auto"/>
        <w:bottom w:val="none" w:sz="0" w:space="0" w:color="auto"/>
        <w:right w:val="none" w:sz="0" w:space="0" w:color="auto"/>
      </w:divBdr>
    </w:div>
    <w:div w:id="600070577">
      <w:bodyDiv w:val="1"/>
      <w:marLeft w:val="0"/>
      <w:marRight w:val="0"/>
      <w:marTop w:val="0"/>
      <w:marBottom w:val="0"/>
      <w:divBdr>
        <w:top w:val="none" w:sz="0" w:space="0" w:color="auto"/>
        <w:left w:val="none" w:sz="0" w:space="0" w:color="auto"/>
        <w:bottom w:val="none" w:sz="0" w:space="0" w:color="auto"/>
        <w:right w:val="none" w:sz="0" w:space="0" w:color="auto"/>
      </w:divBdr>
    </w:div>
    <w:div w:id="640112713">
      <w:bodyDiv w:val="1"/>
      <w:marLeft w:val="0"/>
      <w:marRight w:val="0"/>
      <w:marTop w:val="0"/>
      <w:marBottom w:val="0"/>
      <w:divBdr>
        <w:top w:val="none" w:sz="0" w:space="0" w:color="auto"/>
        <w:left w:val="none" w:sz="0" w:space="0" w:color="auto"/>
        <w:bottom w:val="none" w:sz="0" w:space="0" w:color="auto"/>
        <w:right w:val="none" w:sz="0" w:space="0" w:color="auto"/>
      </w:divBdr>
    </w:div>
    <w:div w:id="678191846">
      <w:bodyDiv w:val="1"/>
      <w:marLeft w:val="0"/>
      <w:marRight w:val="0"/>
      <w:marTop w:val="0"/>
      <w:marBottom w:val="0"/>
      <w:divBdr>
        <w:top w:val="none" w:sz="0" w:space="0" w:color="auto"/>
        <w:left w:val="none" w:sz="0" w:space="0" w:color="auto"/>
        <w:bottom w:val="none" w:sz="0" w:space="0" w:color="auto"/>
        <w:right w:val="none" w:sz="0" w:space="0" w:color="auto"/>
      </w:divBdr>
    </w:div>
    <w:div w:id="715130833">
      <w:bodyDiv w:val="1"/>
      <w:marLeft w:val="0"/>
      <w:marRight w:val="0"/>
      <w:marTop w:val="0"/>
      <w:marBottom w:val="0"/>
      <w:divBdr>
        <w:top w:val="none" w:sz="0" w:space="0" w:color="auto"/>
        <w:left w:val="none" w:sz="0" w:space="0" w:color="auto"/>
        <w:bottom w:val="none" w:sz="0" w:space="0" w:color="auto"/>
        <w:right w:val="none" w:sz="0" w:space="0" w:color="auto"/>
      </w:divBdr>
    </w:div>
    <w:div w:id="723335061">
      <w:bodyDiv w:val="1"/>
      <w:marLeft w:val="0"/>
      <w:marRight w:val="0"/>
      <w:marTop w:val="0"/>
      <w:marBottom w:val="0"/>
      <w:divBdr>
        <w:top w:val="none" w:sz="0" w:space="0" w:color="auto"/>
        <w:left w:val="none" w:sz="0" w:space="0" w:color="auto"/>
        <w:bottom w:val="none" w:sz="0" w:space="0" w:color="auto"/>
        <w:right w:val="none" w:sz="0" w:space="0" w:color="auto"/>
      </w:divBdr>
    </w:div>
    <w:div w:id="786898599">
      <w:bodyDiv w:val="1"/>
      <w:marLeft w:val="0"/>
      <w:marRight w:val="0"/>
      <w:marTop w:val="0"/>
      <w:marBottom w:val="0"/>
      <w:divBdr>
        <w:top w:val="none" w:sz="0" w:space="0" w:color="auto"/>
        <w:left w:val="none" w:sz="0" w:space="0" w:color="auto"/>
        <w:bottom w:val="none" w:sz="0" w:space="0" w:color="auto"/>
        <w:right w:val="none" w:sz="0" w:space="0" w:color="auto"/>
      </w:divBdr>
    </w:div>
    <w:div w:id="797143705">
      <w:bodyDiv w:val="1"/>
      <w:marLeft w:val="0"/>
      <w:marRight w:val="0"/>
      <w:marTop w:val="0"/>
      <w:marBottom w:val="0"/>
      <w:divBdr>
        <w:top w:val="none" w:sz="0" w:space="0" w:color="auto"/>
        <w:left w:val="none" w:sz="0" w:space="0" w:color="auto"/>
        <w:bottom w:val="none" w:sz="0" w:space="0" w:color="auto"/>
        <w:right w:val="none" w:sz="0" w:space="0" w:color="auto"/>
      </w:divBdr>
    </w:div>
    <w:div w:id="810054430">
      <w:bodyDiv w:val="1"/>
      <w:marLeft w:val="0"/>
      <w:marRight w:val="0"/>
      <w:marTop w:val="0"/>
      <w:marBottom w:val="0"/>
      <w:divBdr>
        <w:top w:val="none" w:sz="0" w:space="0" w:color="auto"/>
        <w:left w:val="none" w:sz="0" w:space="0" w:color="auto"/>
        <w:bottom w:val="none" w:sz="0" w:space="0" w:color="auto"/>
        <w:right w:val="none" w:sz="0" w:space="0" w:color="auto"/>
      </w:divBdr>
    </w:div>
    <w:div w:id="827744338">
      <w:bodyDiv w:val="1"/>
      <w:marLeft w:val="0"/>
      <w:marRight w:val="0"/>
      <w:marTop w:val="0"/>
      <w:marBottom w:val="0"/>
      <w:divBdr>
        <w:top w:val="none" w:sz="0" w:space="0" w:color="auto"/>
        <w:left w:val="none" w:sz="0" w:space="0" w:color="auto"/>
        <w:bottom w:val="none" w:sz="0" w:space="0" w:color="auto"/>
        <w:right w:val="none" w:sz="0" w:space="0" w:color="auto"/>
      </w:divBdr>
    </w:div>
    <w:div w:id="832719471">
      <w:bodyDiv w:val="1"/>
      <w:marLeft w:val="0"/>
      <w:marRight w:val="0"/>
      <w:marTop w:val="0"/>
      <w:marBottom w:val="0"/>
      <w:divBdr>
        <w:top w:val="none" w:sz="0" w:space="0" w:color="auto"/>
        <w:left w:val="none" w:sz="0" w:space="0" w:color="auto"/>
        <w:bottom w:val="none" w:sz="0" w:space="0" w:color="auto"/>
        <w:right w:val="none" w:sz="0" w:space="0" w:color="auto"/>
      </w:divBdr>
    </w:div>
    <w:div w:id="899754643">
      <w:bodyDiv w:val="1"/>
      <w:marLeft w:val="0"/>
      <w:marRight w:val="0"/>
      <w:marTop w:val="0"/>
      <w:marBottom w:val="0"/>
      <w:divBdr>
        <w:top w:val="none" w:sz="0" w:space="0" w:color="auto"/>
        <w:left w:val="none" w:sz="0" w:space="0" w:color="auto"/>
        <w:bottom w:val="none" w:sz="0" w:space="0" w:color="auto"/>
        <w:right w:val="none" w:sz="0" w:space="0" w:color="auto"/>
      </w:divBdr>
    </w:div>
    <w:div w:id="915087835">
      <w:bodyDiv w:val="1"/>
      <w:marLeft w:val="0"/>
      <w:marRight w:val="0"/>
      <w:marTop w:val="0"/>
      <w:marBottom w:val="0"/>
      <w:divBdr>
        <w:top w:val="none" w:sz="0" w:space="0" w:color="auto"/>
        <w:left w:val="none" w:sz="0" w:space="0" w:color="auto"/>
        <w:bottom w:val="none" w:sz="0" w:space="0" w:color="auto"/>
        <w:right w:val="none" w:sz="0" w:space="0" w:color="auto"/>
      </w:divBdr>
    </w:div>
    <w:div w:id="924338047">
      <w:bodyDiv w:val="1"/>
      <w:marLeft w:val="0"/>
      <w:marRight w:val="0"/>
      <w:marTop w:val="0"/>
      <w:marBottom w:val="0"/>
      <w:divBdr>
        <w:top w:val="none" w:sz="0" w:space="0" w:color="auto"/>
        <w:left w:val="none" w:sz="0" w:space="0" w:color="auto"/>
        <w:bottom w:val="none" w:sz="0" w:space="0" w:color="auto"/>
        <w:right w:val="none" w:sz="0" w:space="0" w:color="auto"/>
      </w:divBdr>
    </w:div>
    <w:div w:id="946042355">
      <w:bodyDiv w:val="1"/>
      <w:marLeft w:val="0"/>
      <w:marRight w:val="0"/>
      <w:marTop w:val="0"/>
      <w:marBottom w:val="0"/>
      <w:divBdr>
        <w:top w:val="none" w:sz="0" w:space="0" w:color="auto"/>
        <w:left w:val="none" w:sz="0" w:space="0" w:color="auto"/>
        <w:bottom w:val="none" w:sz="0" w:space="0" w:color="auto"/>
        <w:right w:val="none" w:sz="0" w:space="0" w:color="auto"/>
      </w:divBdr>
    </w:div>
    <w:div w:id="955133759">
      <w:bodyDiv w:val="1"/>
      <w:marLeft w:val="0"/>
      <w:marRight w:val="0"/>
      <w:marTop w:val="0"/>
      <w:marBottom w:val="0"/>
      <w:divBdr>
        <w:top w:val="none" w:sz="0" w:space="0" w:color="auto"/>
        <w:left w:val="none" w:sz="0" w:space="0" w:color="auto"/>
        <w:bottom w:val="none" w:sz="0" w:space="0" w:color="auto"/>
        <w:right w:val="none" w:sz="0" w:space="0" w:color="auto"/>
      </w:divBdr>
    </w:div>
    <w:div w:id="992832559">
      <w:bodyDiv w:val="1"/>
      <w:marLeft w:val="0"/>
      <w:marRight w:val="0"/>
      <w:marTop w:val="0"/>
      <w:marBottom w:val="0"/>
      <w:divBdr>
        <w:top w:val="none" w:sz="0" w:space="0" w:color="auto"/>
        <w:left w:val="none" w:sz="0" w:space="0" w:color="auto"/>
        <w:bottom w:val="none" w:sz="0" w:space="0" w:color="auto"/>
        <w:right w:val="none" w:sz="0" w:space="0" w:color="auto"/>
      </w:divBdr>
    </w:div>
    <w:div w:id="1021780794">
      <w:bodyDiv w:val="1"/>
      <w:marLeft w:val="0"/>
      <w:marRight w:val="0"/>
      <w:marTop w:val="0"/>
      <w:marBottom w:val="0"/>
      <w:divBdr>
        <w:top w:val="none" w:sz="0" w:space="0" w:color="auto"/>
        <w:left w:val="none" w:sz="0" w:space="0" w:color="auto"/>
        <w:bottom w:val="none" w:sz="0" w:space="0" w:color="auto"/>
        <w:right w:val="none" w:sz="0" w:space="0" w:color="auto"/>
      </w:divBdr>
    </w:div>
    <w:div w:id="1025406536">
      <w:bodyDiv w:val="1"/>
      <w:marLeft w:val="0"/>
      <w:marRight w:val="0"/>
      <w:marTop w:val="0"/>
      <w:marBottom w:val="0"/>
      <w:divBdr>
        <w:top w:val="none" w:sz="0" w:space="0" w:color="auto"/>
        <w:left w:val="none" w:sz="0" w:space="0" w:color="auto"/>
        <w:bottom w:val="none" w:sz="0" w:space="0" w:color="auto"/>
        <w:right w:val="none" w:sz="0" w:space="0" w:color="auto"/>
      </w:divBdr>
    </w:div>
    <w:div w:id="1036663761">
      <w:bodyDiv w:val="1"/>
      <w:marLeft w:val="0"/>
      <w:marRight w:val="0"/>
      <w:marTop w:val="0"/>
      <w:marBottom w:val="0"/>
      <w:divBdr>
        <w:top w:val="none" w:sz="0" w:space="0" w:color="auto"/>
        <w:left w:val="none" w:sz="0" w:space="0" w:color="auto"/>
        <w:bottom w:val="none" w:sz="0" w:space="0" w:color="auto"/>
        <w:right w:val="none" w:sz="0" w:space="0" w:color="auto"/>
      </w:divBdr>
    </w:div>
    <w:div w:id="1044410567">
      <w:bodyDiv w:val="1"/>
      <w:marLeft w:val="0"/>
      <w:marRight w:val="0"/>
      <w:marTop w:val="0"/>
      <w:marBottom w:val="0"/>
      <w:divBdr>
        <w:top w:val="none" w:sz="0" w:space="0" w:color="auto"/>
        <w:left w:val="none" w:sz="0" w:space="0" w:color="auto"/>
        <w:bottom w:val="none" w:sz="0" w:space="0" w:color="auto"/>
        <w:right w:val="none" w:sz="0" w:space="0" w:color="auto"/>
      </w:divBdr>
    </w:div>
    <w:div w:id="1060596334">
      <w:bodyDiv w:val="1"/>
      <w:marLeft w:val="0"/>
      <w:marRight w:val="0"/>
      <w:marTop w:val="0"/>
      <w:marBottom w:val="0"/>
      <w:divBdr>
        <w:top w:val="none" w:sz="0" w:space="0" w:color="auto"/>
        <w:left w:val="none" w:sz="0" w:space="0" w:color="auto"/>
        <w:bottom w:val="none" w:sz="0" w:space="0" w:color="auto"/>
        <w:right w:val="none" w:sz="0" w:space="0" w:color="auto"/>
      </w:divBdr>
    </w:div>
    <w:div w:id="1066684492">
      <w:bodyDiv w:val="1"/>
      <w:marLeft w:val="0"/>
      <w:marRight w:val="0"/>
      <w:marTop w:val="0"/>
      <w:marBottom w:val="0"/>
      <w:divBdr>
        <w:top w:val="none" w:sz="0" w:space="0" w:color="auto"/>
        <w:left w:val="none" w:sz="0" w:space="0" w:color="auto"/>
        <w:bottom w:val="none" w:sz="0" w:space="0" w:color="auto"/>
        <w:right w:val="none" w:sz="0" w:space="0" w:color="auto"/>
      </w:divBdr>
    </w:div>
    <w:div w:id="1071849337">
      <w:bodyDiv w:val="1"/>
      <w:marLeft w:val="0"/>
      <w:marRight w:val="0"/>
      <w:marTop w:val="0"/>
      <w:marBottom w:val="0"/>
      <w:divBdr>
        <w:top w:val="none" w:sz="0" w:space="0" w:color="auto"/>
        <w:left w:val="none" w:sz="0" w:space="0" w:color="auto"/>
        <w:bottom w:val="none" w:sz="0" w:space="0" w:color="auto"/>
        <w:right w:val="none" w:sz="0" w:space="0" w:color="auto"/>
      </w:divBdr>
    </w:div>
    <w:div w:id="1083184741">
      <w:bodyDiv w:val="1"/>
      <w:marLeft w:val="0"/>
      <w:marRight w:val="0"/>
      <w:marTop w:val="0"/>
      <w:marBottom w:val="0"/>
      <w:divBdr>
        <w:top w:val="none" w:sz="0" w:space="0" w:color="auto"/>
        <w:left w:val="none" w:sz="0" w:space="0" w:color="auto"/>
        <w:bottom w:val="none" w:sz="0" w:space="0" w:color="auto"/>
        <w:right w:val="none" w:sz="0" w:space="0" w:color="auto"/>
      </w:divBdr>
    </w:div>
    <w:div w:id="1095176372">
      <w:bodyDiv w:val="1"/>
      <w:marLeft w:val="0"/>
      <w:marRight w:val="0"/>
      <w:marTop w:val="0"/>
      <w:marBottom w:val="0"/>
      <w:divBdr>
        <w:top w:val="none" w:sz="0" w:space="0" w:color="auto"/>
        <w:left w:val="none" w:sz="0" w:space="0" w:color="auto"/>
        <w:bottom w:val="none" w:sz="0" w:space="0" w:color="auto"/>
        <w:right w:val="none" w:sz="0" w:space="0" w:color="auto"/>
      </w:divBdr>
    </w:div>
    <w:div w:id="1102535423">
      <w:bodyDiv w:val="1"/>
      <w:marLeft w:val="0"/>
      <w:marRight w:val="0"/>
      <w:marTop w:val="0"/>
      <w:marBottom w:val="0"/>
      <w:divBdr>
        <w:top w:val="none" w:sz="0" w:space="0" w:color="auto"/>
        <w:left w:val="none" w:sz="0" w:space="0" w:color="auto"/>
        <w:bottom w:val="none" w:sz="0" w:space="0" w:color="auto"/>
        <w:right w:val="none" w:sz="0" w:space="0" w:color="auto"/>
      </w:divBdr>
    </w:div>
    <w:div w:id="1170294309">
      <w:bodyDiv w:val="1"/>
      <w:marLeft w:val="0"/>
      <w:marRight w:val="0"/>
      <w:marTop w:val="0"/>
      <w:marBottom w:val="0"/>
      <w:divBdr>
        <w:top w:val="none" w:sz="0" w:space="0" w:color="auto"/>
        <w:left w:val="none" w:sz="0" w:space="0" w:color="auto"/>
        <w:bottom w:val="none" w:sz="0" w:space="0" w:color="auto"/>
        <w:right w:val="none" w:sz="0" w:space="0" w:color="auto"/>
      </w:divBdr>
    </w:div>
    <w:div w:id="1193113717">
      <w:bodyDiv w:val="1"/>
      <w:marLeft w:val="0"/>
      <w:marRight w:val="0"/>
      <w:marTop w:val="0"/>
      <w:marBottom w:val="0"/>
      <w:divBdr>
        <w:top w:val="none" w:sz="0" w:space="0" w:color="auto"/>
        <w:left w:val="none" w:sz="0" w:space="0" w:color="auto"/>
        <w:bottom w:val="none" w:sz="0" w:space="0" w:color="auto"/>
        <w:right w:val="none" w:sz="0" w:space="0" w:color="auto"/>
      </w:divBdr>
    </w:div>
    <w:div w:id="1234513013">
      <w:bodyDiv w:val="1"/>
      <w:marLeft w:val="0"/>
      <w:marRight w:val="0"/>
      <w:marTop w:val="0"/>
      <w:marBottom w:val="0"/>
      <w:divBdr>
        <w:top w:val="none" w:sz="0" w:space="0" w:color="auto"/>
        <w:left w:val="none" w:sz="0" w:space="0" w:color="auto"/>
        <w:bottom w:val="none" w:sz="0" w:space="0" w:color="auto"/>
        <w:right w:val="none" w:sz="0" w:space="0" w:color="auto"/>
      </w:divBdr>
    </w:div>
    <w:div w:id="1238518450">
      <w:bodyDiv w:val="1"/>
      <w:marLeft w:val="0"/>
      <w:marRight w:val="0"/>
      <w:marTop w:val="0"/>
      <w:marBottom w:val="0"/>
      <w:divBdr>
        <w:top w:val="none" w:sz="0" w:space="0" w:color="auto"/>
        <w:left w:val="none" w:sz="0" w:space="0" w:color="auto"/>
        <w:bottom w:val="none" w:sz="0" w:space="0" w:color="auto"/>
        <w:right w:val="none" w:sz="0" w:space="0" w:color="auto"/>
      </w:divBdr>
    </w:div>
    <w:div w:id="1247418901">
      <w:bodyDiv w:val="1"/>
      <w:marLeft w:val="0"/>
      <w:marRight w:val="0"/>
      <w:marTop w:val="0"/>
      <w:marBottom w:val="0"/>
      <w:divBdr>
        <w:top w:val="none" w:sz="0" w:space="0" w:color="auto"/>
        <w:left w:val="none" w:sz="0" w:space="0" w:color="auto"/>
        <w:bottom w:val="none" w:sz="0" w:space="0" w:color="auto"/>
        <w:right w:val="none" w:sz="0" w:space="0" w:color="auto"/>
      </w:divBdr>
    </w:div>
    <w:div w:id="1248422393">
      <w:bodyDiv w:val="1"/>
      <w:marLeft w:val="0"/>
      <w:marRight w:val="0"/>
      <w:marTop w:val="0"/>
      <w:marBottom w:val="0"/>
      <w:divBdr>
        <w:top w:val="none" w:sz="0" w:space="0" w:color="auto"/>
        <w:left w:val="none" w:sz="0" w:space="0" w:color="auto"/>
        <w:bottom w:val="none" w:sz="0" w:space="0" w:color="auto"/>
        <w:right w:val="none" w:sz="0" w:space="0" w:color="auto"/>
      </w:divBdr>
    </w:div>
    <w:div w:id="1273781329">
      <w:bodyDiv w:val="1"/>
      <w:marLeft w:val="0"/>
      <w:marRight w:val="0"/>
      <w:marTop w:val="0"/>
      <w:marBottom w:val="0"/>
      <w:divBdr>
        <w:top w:val="none" w:sz="0" w:space="0" w:color="auto"/>
        <w:left w:val="none" w:sz="0" w:space="0" w:color="auto"/>
        <w:bottom w:val="none" w:sz="0" w:space="0" w:color="auto"/>
        <w:right w:val="none" w:sz="0" w:space="0" w:color="auto"/>
      </w:divBdr>
    </w:div>
    <w:div w:id="1275792688">
      <w:bodyDiv w:val="1"/>
      <w:marLeft w:val="0"/>
      <w:marRight w:val="0"/>
      <w:marTop w:val="0"/>
      <w:marBottom w:val="0"/>
      <w:divBdr>
        <w:top w:val="none" w:sz="0" w:space="0" w:color="auto"/>
        <w:left w:val="none" w:sz="0" w:space="0" w:color="auto"/>
        <w:bottom w:val="none" w:sz="0" w:space="0" w:color="auto"/>
        <w:right w:val="none" w:sz="0" w:space="0" w:color="auto"/>
      </w:divBdr>
    </w:div>
    <w:div w:id="1292245892">
      <w:bodyDiv w:val="1"/>
      <w:marLeft w:val="0"/>
      <w:marRight w:val="0"/>
      <w:marTop w:val="0"/>
      <w:marBottom w:val="0"/>
      <w:divBdr>
        <w:top w:val="none" w:sz="0" w:space="0" w:color="auto"/>
        <w:left w:val="none" w:sz="0" w:space="0" w:color="auto"/>
        <w:bottom w:val="none" w:sz="0" w:space="0" w:color="auto"/>
        <w:right w:val="none" w:sz="0" w:space="0" w:color="auto"/>
      </w:divBdr>
    </w:div>
    <w:div w:id="1303267158">
      <w:bodyDiv w:val="1"/>
      <w:marLeft w:val="0"/>
      <w:marRight w:val="0"/>
      <w:marTop w:val="0"/>
      <w:marBottom w:val="0"/>
      <w:divBdr>
        <w:top w:val="none" w:sz="0" w:space="0" w:color="auto"/>
        <w:left w:val="none" w:sz="0" w:space="0" w:color="auto"/>
        <w:bottom w:val="none" w:sz="0" w:space="0" w:color="auto"/>
        <w:right w:val="none" w:sz="0" w:space="0" w:color="auto"/>
      </w:divBdr>
    </w:div>
    <w:div w:id="1323435936">
      <w:bodyDiv w:val="1"/>
      <w:marLeft w:val="0"/>
      <w:marRight w:val="0"/>
      <w:marTop w:val="0"/>
      <w:marBottom w:val="0"/>
      <w:divBdr>
        <w:top w:val="none" w:sz="0" w:space="0" w:color="auto"/>
        <w:left w:val="none" w:sz="0" w:space="0" w:color="auto"/>
        <w:bottom w:val="none" w:sz="0" w:space="0" w:color="auto"/>
        <w:right w:val="none" w:sz="0" w:space="0" w:color="auto"/>
      </w:divBdr>
    </w:div>
    <w:div w:id="1332374550">
      <w:bodyDiv w:val="1"/>
      <w:marLeft w:val="0"/>
      <w:marRight w:val="0"/>
      <w:marTop w:val="0"/>
      <w:marBottom w:val="0"/>
      <w:divBdr>
        <w:top w:val="none" w:sz="0" w:space="0" w:color="auto"/>
        <w:left w:val="none" w:sz="0" w:space="0" w:color="auto"/>
        <w:bottom w:val="none" w:sz="0" w:space="0" w:color="auto"/>
        <w:right w:val="none" w:sz="0" w:space="0" w:color="auto"/>
      </w:divBdr>
    </w:div>
    <w:div w:id="1336760898">
      <w:bodyDiv w:val="1"/>
      <w:marLeft w:val="0"/>
      <w:marRight w:val="0"/>
      <w:marTop w:val="0"/>
      <w:marBottom w:val="0"/>
      <w:divBdr>
        <w:top w:val="none" w:sz="0" w:space="0" w:color="auto"/>
        <w:left w:val="none" w:sz="0" w:space="0" w:color="auto"/>
        <w:bottom w:val="none" w:sz="0" w:space="0" w:color="auto"/>
        <w:right w:val="none" w:sz="0" w:space="0" w:color="auto"/>
      </w:divBdr>
    </w:div>
    <w:div w:id="1342392780">
      <w:bodyDiv w:val="1"/>
      <w:marLeft w:val="0"/>
      <w:marRight w:val="0"/>
      <w:marTop w:val="0"/>
      <w:marBottom w:val="0"/>
      <w:divBdr>
        <w:top w:val="none" w:sz="0" w:space="0" w:color="auto"/>
        <w:left w:val="none" w:sz="0" w:space="0" w:color="auto"/>
        <w:bottom w:val="none" w:sz="0" w:space="0" w:color="auto"/>
        <w:right w:val="none" w:sz="0" w:space="0" w:color="auto"/>
      </w:divBdr>
    </w:div>
    <w:div w:id="1346249560">
      <w:bodyDiv w:val="1"/>
      <w:marLeft w:val="0"/>
      <w:marRight w:val="0"/>
      <w:marTop w:val="0"/>
      <w:marBottom w:val="0"/>
      <w:divBdr>
        <w:top w:val="none" w:sz="0" w:space="0" w:color="auto"/>
        <w:left w:val="none" w:sz="0" w:space="0" w:color="auto"/>
        <w:bottom w:val="none" w:sz="0" w:space="0" w:color="auto"/>
        <w:right w:val="none" w:sz="0" w:space="0" w:color="auto"/>
      </w:divBdr>
    </w:div>
    <w:div w:id="1346635865">
      <w:bodyDiv w:val="1"/>
      <w:marLeft w:val="0"/>
      <w:marRight w:val="0"/>
      <w:marTop w:val="0"/>
      <w:marBottom w:val="0"/>
      <w:divBdr>
        <w:top w:val="none" w:sz="0" w:space="0" w:color="auto"/>
        <w:left w:val="none" w:sz="0" w:space="0" w:color="auto"/>
        <w:bottom w:val="none" w:sz="0" w:space="0" w:color="auto"/>
        <w:right w:val="none" w:sz="0" w:space="0" w:color="auto"/>
      </w:divBdr>
    </w:div>
    <w:div w:id="1359742272">
      <w:bodyDiv w:val="1"/>
      <w:marLeft w:val="0"/>
      <w:marRight w:val="0"/>
      <w:marTop w:val="0"/>
      <w:marBottom w:val="0"/>
      <w:divBdr>
        <w:top w:val="none" w:sz="0" w:space="0" w:color="auto"/>
        <w:left w:val="none" w:sz="0" w:space="0" w:color="auto"/>
        <w:bottom w:val="none" w:sz="0" w:space="0" w:color="auto"/>
        <w:right w:val="none" w:sz="0" w:space="0" w:color="auto"/>
      </w:divBdr>
    </w:div>
    <w:div w:id="1360820170">
      <w:bodyDiv w:val="1"/>
      <w:marLeft w:val="0"/>
      <w:marRight w:val="0"/>
      <w:marTop w:val="0"/>
      <w:marBottom w:val="0"/>
      <w:divBdr>
        <w:top w:val="none" w:sz="0" w:space="0" w:color="auto"/>
        <w:left w:val="none" w:sz="0" w:space="0" w:color="auto"/>
        <w:bottom w:val="none" w:sz="0" w:space="0" w:color="auto"/>
        <w:right w:val="none" w:sz="0" w:space="0" w:color="auto"/>
      </w:divBdr>
    </w:div>
    <w:div w:id="1361474812">
      <w:bodyDiv w:val="1"/>
      <w:marLeft w:val="0"/>
      <w:marRight w:val="0"/>
      <w:marTop w:val="0"/>
      <w:marBottom w:val="0"/>
      <w:divBdr>
        <w:top w:val="none" w:sz="0" w:space="0" w:color="auto"/>
        <w:left w:val="none" w:sz="0" w:space="0" w:color="auto"/>
        <w:bottom w:val="none" w:sz="0" w:space="0" w:color="auto"/>
        <w:right w:val="none" w:sz="0" w:space="0" w:color="auto"/>
      </w:divBdr>
    </w:div>
    <w:div w:id="1390609292">
      <w:bodyDiv w:val="1"/>
      <w:marLeft w:val="0"/>
      <w:marRight w:val="0"/>
      <w:marTop w:val="0"/>
      <w:marBottom w:val="0"/>
      <w:divBdr>
        <w:top w:val="none" w:sz="0" w:space="0" w:color="auto"/>
        <w:left w:val="none" w:sz="0" w:space="0" w:color="auto"/>
        <w:bottom w:val="none" w:sz="0" w:space="0" w:color="auto"/>
        <w:right w:val="none" w:sz="0" w:space="0" w:color="auto"/>
      </w:divBdr>
    </w:div>
    <w:div w:id="1427967726">
      <w:bodyDiv w:val="1"/>
      <w:marLeft w:val="0"/>
      <w:marRight w:val="0"/>
      <w:marTop w:val="0"/>
      <w:marBottom w:val="0"/>
      <w:divBdr>
        <w:top w:val="none" w:sz="0" w:space="0" w:color="auto"/>
        <w:left w:val="none" w:sz="0" w:space="0" w:color="auto"/>
        <w:bottom w:val="none" w:sz="0" w:space="0" w:color="auto"/>
        <w:right w:val="none" w:sz="0" w:space="0" w:color="auto"/>
      </w:divBdr>
    </w:div>
    <w:div w:id="1448157640">
      <w:bodyDiv w:val="1"/>
      <w:marLeft w:val="0"/>
      <w:marRight w:val="0"/>
      <w:marTop w:val="0"/>
      <w:marBottom w:val="0"/>
      <w:divBdr>
        <w:top w:val="none" w:sz="0" w:space="0" w:color="auto"/>
        <w:left w:val="none" w:sz="0" w:space="0" w:color="auto"/>
        <w:bottom w:val="none" w:sz="0" w:space="0" w:color="auto"/>
        <w:right w:val="none" w:sz="0" w:space="0" w:color="auto"/>
      </w:divBdr>
    </w:div>
    <w:div w:id="1464612644">
      <w:bodyDiv w:val="1"/>
      <w:marLeft w:val="0"/>
      <w:marRight w:val="0"/>
      <w:marTop w:val="0"/>
      <w:marBottom w:val="0"/>
      <w:divBdr>
        <w:top w:val="none" w:sz="0" w:space="0" w:color="auto"/>
        <w:left w:val="none" w:sz="0" w:space="0" w:color="auto"/>
        <w:bottom w:val="none" w:sz="0" w:space="0" w:color="auto"/>
        <w:right w:val="none" w:sz="0" w:space="0" w:color="auto"/>
      </w:divBdr>
    </w:div>
    <w:div w:id="1491366316">
      <w:bodyDiv w:val="1"/>
      <w:marLeft w:val="0"/>
      <w:marRight w:val="0"/>
      <w:marTop w:val="0"/>
      <w:marBottom w:val="0"/>
      <w:divBdr>
        <w:top w:val="none" w:sz="0" w:space="0" w:color="auto"/>
        <w:left w:val="none" w:sz="0" w:space="0" w:color="auto"/>
        <w:bottom w:val="none" w:sz="0" w:space="0" w:color="auto"/>
        <w:right w:val="none" w:sz="0" w:space="0" w:color="auto"/>
      </w:divBdr>
    </w:div>
    <w:div w:id="1494100312">
      <w:bodyDiv w:val="1"/>
      <w:marLeft w:val="0"/>
      <w:marRight w:val="0"/>
      <w:marTop w:val="0"/>
      <w:marBottom w:val="0"/>
      <w:divBdr>
        <w:top w:val="none" w:sz="0" w:space="0" w:color="auto"/>
        <w:left w:val="none" w:sz="0" w:space="0" w:color="auto"/>
        <w:bottom w:val="none" w:sz="0" w:space="0" w:color="auto"/>
        <w:right w:val="none" w:sz="0" w:space="0" w:color="auto"/>
      </w:divBdr>
    </w:div>
    <w:div w:id="1498110779">
      <w:bodyDiv w:val="1"/>
      <w:marLeft w:val="0"/>
      <w:marRight w:val="0"/>
      <w:marTop w:val="0"/>
      <w:marBottom w:val="0"/>
      <w:divBdr>
        <w:top w:val="none" w:sz="0" w:space="0" w:color="auto"/>
        <w:left w:val="none" w:sz="0" w:space="0" w:color="auto"/>
        <w:bottom w:val="none" w:sz="0" w:space="0" w:color="auto"/>
        <w:right w:val="none" w:sz="0" w:space="0" w:color="auto"/>
      </w:divBdr>
    </w:div>
    <w:div w:id="1504202565">
      <w:bodyDiv w:val="1"/>
      <w:marLeft w:val="0"/>
      <w:marRight w:val="0"/>
      <w:marTop w:val="0"/>
      <w:marBottom w:val="0"/>
      <w:divBdr>
        <w:top w:val="none" w:sz="0" w:space="0" w:color="auto"/>
        <w:left w:val="none" w:sz="0" w:space="0" w:color="auto"/>
        <w:bottom w:val="none" w:sz="0" w:space="0" w:color="auto"/>
        <w:right w:val="none" w:sz="0" w:space="0" w:color="auto"/>
      </w:divBdr>
    </w:div>
    <w:div w:id="1519735349">
      <w:bodyDiv w:val="1"/>
      <w:marLeft w:val="0"/>
      <w:marRight w:val="0"/>
      <w:marTop w:val="0"/>
      <w:marBottom w:val="0"/>
      <w:divBdr>
        <w:top w:val="none" w:sz="0" w:space="0" w:color="auto"/>
        <w:left w:val="none" w:sz="0" w:space="0" w:color="auto"/>
        <w:bottom w:val="none" w:sz="0" w:space="0" w:color="auto"/>
        <w:right w:val="none" w:sz="0" w:space="0" w:color="auto"/>
      </w:divBdr>
    </w:div>
    <w:div w:id="1524324914">
      <w:bodyDiv w:val="1"/>
      <w:marLeft w:val="0"/>
      <w:marRight w:val="0"/>
      <w:marTop w:val="0"/>
      <w:marBottom w:val="0"/>
      <w:divBdr>
        <w:top w:val="none" w:sz="0" w:space="0" w:color="auto"/>
        <w:left w:val="none" w:sz="0" w:space="0" w:color="auto"/>
        <w:bottom w:val="none" w:sz="0" w:space="0" w:color="auto"/>
        <w:right w:val="none" w:sz="0" w:space="0" w:color="auto"/>
      </w:divBdr>
    </w:div>
    <w:div w:id="1525751945">
      <w:bodyDiv w:val="1"/>
      <w:marLeft w:val="0"/>
      <w:marRight w:val="0"/>
      <w:marTop w:val="0"/>
      <w:marBottom w:val="0"/>
      <w:divBdr>
        <w:top w:val="none" w:sz="0" w:space="0" w:color="auto"/>
        <w:left w:val="none" w:sz="0" w:space="0" w:color="auto"/>
        <w:bottom w:val="none" w:sz="0" w:space="0" w:color="auto"/>
        <w:right w:val="none" w:sz="0" w:space="0" w:color="auto"/>
      </w:divBdr>
    </w:div>
    <w:div w:id="1540121445">
      <w:bodyDiv w:val="1"/>
      <w:marLeft w:val="0"/>
      <w:marRight w:val="0"/>
      <w:marTop w:val="0"/>
      <w:marBottom w:val="0"/>
      <w:divBdr>
        <w:top w:val="none" w:sz="0" w:space="0" w:color="auto"/>
        <w:left w:val="none" w:sz="0" w:space="0" w:color="auto"/>
        <w:bottom w:val="none" w:sz="0" w:space="0" w:color="auto"/>
        <w:right w:val="none" w:sz="0" w:space="0" w:color="auto"/>
      </w:divBdr>
    </w:div>
    <w:div w:id="1551531152">
      <w:bodyDiv w:val="1"/>
      <w:marLeft w:val="0"/>
      <w:marRight w:val="0"/>
      <w:marTop w:val="0"/>
      <w:marBottom w:val="0"/>
      <w:divBdr>
        <w:top w:val="none" w:sz="0" w:space="0" w:color="auto"/>
        <w:left w:val="none" w:sz="0" w:space="0" w:color="auto"/>
        <w:bottom w:val="none" w:sz="0" w:space="0" w:color="auto"/>
        <w:right w:val="none" w:sz="0" w:space="0" w:color="auto"/>
      </w:divBdr>
    </w:div>
    <w:div w:id="1558323334">
      <w:bodyDiv w:val="1"/>
      <w:marLeft w:val="0"/>
      <w:marRight w:val="0"/>
      <w:marTop w:val="0"/>
      <w:marBottom w:val="0"/>
      <w:divBdr>
        <w:top w:val="none" w:sz="0" w:space="0" w:color="auto"/>
        <w:left w:val="none" w:sz="0" w:space="0" w:color="auto"/>
        <w:bottom w:val="none" w:sz="0" w:space="0" w:color="auto"/>
        <w:right w:val="none" w:sz="0" w:space="0" w:color="auto"/>
      </w:divBdr>
    </w:div>
    <w:div w:id="1574967112">
      <w:bodyDiv w:val="1"/>
      <w:marLeft w:val="0"/>
      <w:marRight w:val="0"/>
      <w:marTop w:val="0"/>
      <w:marBottom w:val="0"/>
      <w:divBdr>
        <w:top w:val="none" w:sz="0" w:space="0" w:color="auto"/>
        <w:left w:val="none" w:sz="0" w:space="0" w:color="auto"/>
        <w:bottom w:val="none" w:sz="0" w:space="0" w:color="auto"/>
        <w:right w:val="none" w:sz="0" w:space="0" w:color="auto"/>
      </w:divBdr>
    </w:div>
    <w:div w:id="1610621480">
      <w:bodyDiv w:val="1"/>
      <w:marLeft w:val="0"/>
      <w:marRight w:val="0"/>
      <w:marTop w:val="0"/>
      <w:marBottom w:val="0"/>
      <w:divBdr>
        <w:top w:val="none" w:sz="0" w:space="0" w:color="auto"/>
        <w:left w:val="none" w:sz="0" w:space="0" w:color="auto"/>
        <w:bottom w:val="none" w:sz="0" w:space="0" w:color="auto"/>
        <w:right w:val="none" w:sz="0" w:space="0" w:color="auto"/>
      </w:divBdr>
    </w:div>
    <w:div w:id="1616398896">
      <w:bodyDiv w:val="1"/>
      <w:marLeft w:val="0"/>
      <w:marRight w:val="0"/>
      <w:marTop w:val="0"/>
      <w:marBottom w:val="0"/>
      <w:divBdr>
        <w:top w:val="none" w:sz="0" w:space="0" w:color="auto"/>
        <w:left w:val="none" w:sz="0" w:space="0" w:color="auto"/>
        <w:bottom w:val="none" w:sz="0" w:space="0" w:color="auto"/>
        <w:right w:val="none" w:sz="0" w:space="0" w:color="auto"/>
      </w:divBdr>
    </w:div>
    <w:div w:id="1617635742">
      <w:bodyDiv w:val="1"/>
      <w:marLeft w:val="0"/>
      <w:marRight w:val="0"/>
      <w:marTop w:val="0"/>
      <w:marBottom w:val="0"/>
      <w:divBdr>
        <w:top w:val="none" w:sz="0" w:space="0" w:color="auto"/>
        <w:left w:val="none" w:sz="0" w:space="0" w:color="auto"/>
        <w:bottom w:val="none" w:sz="0" w:space="0" w:color="auto"/>
        <w:right w:val="none" w:sz="0" w:space="0" w:color="auto"/>
      </w:divBdr>
    </w:div>
    <w:div w:id="1689990712">
      <w:bodyDiv w:val="1"/>
      <w:marLeft w:val="0"/>
      <w:marRight w:val="0"/>
      <w:marTop w:val="0"/>
      <w:marBottom w:val="0"/>
      <w:divBdr>
        <w:top w:val="none" w:sz="0" w:space="0" w:color="auto"/>
        <w:left w:val="none" w:sz="0" w:space="0" w:color="auto"/>
        <w:bottom w:val="none" w:sz="0" w:space="0" w:color="auto"/>
        <w:right w:val="none" w:sz="0" w:space="0" w:color="auto"/>
      </w:divBdr>
    </w:div>
    <w:div w:id="1726219548">
      <w:bodyDiv w:val="1"/>
      <w:marLeft w:val="0"/>
      <w:marRight w:val="0"/>
      <w:marTop w:val="0"/>
      <w:marBottom w:val="0"/>
      <w:divBdr>
        <w:top w:val="none" w:sz="0" w:space="0" w:color="auto"/>
        <w:left w:val="none" w:sz="0" w:space="0" w:color="auto"/>
        <w:bottom w:val="none" w:sz="0" w:space="0" w:color="auto"/>
        <w:right w:val="none" w:sz="0" w:space="0" w:color="auto"/>
      </w:divBdr>
    </w:div>
    <w:div w:id="1736197369">
      <w:bodyDiv w:val="1"/>
      <w:marLeft w:val="0"/>
      <w:marRight w:val="0"/>
      <w:marTop w:val="0"/>
      <w:marBottom w:val="0"/>
      <w:divBdr>
        <w:top w:val="none" w:sz="0" w:space="0" w:color="auto"/>
        <w:left w:val="none" w:sz="0" w:space="0" w:color="auto"/>
        <w:bottom w:val="none" w:sz="0" w:space="0" w:color="auto"/>
        <w:right w:val="none" w:sz="0" w:space="0" w:color="auto"/>
      </w:divBdr>
    </w:div>
    <w:div w:id="1742368687">
      <w:bodyDiv w:val="1"/>
      <w:marLeft w:val="0"/>
      <w:marRight w:val="0"/>
      <w:marTop w:val="0"/>
      <w:marBottom w:val="0"/>
      <w:divBdr>
        <w:top w:val="none" w:sz="0" w:space="0" w:color="auto"/>
        <w:left w:val="none" w:sz="0" w:space="0" w:color="auto"/>
        <w:bottom w:val="none" w:sz="0" w:space="0" w:color="auto"/>
        <w:right w:val="none" w:sz="0" w:space="0" w:color="auto"/>
      </w:divBdr>
    </w:div>
    <w:div w:id="1750544073">
      <w:bodyDiv w:val="1"/>
      <w:marLeft w:val="0"/>
      <w:marRight w:val="0"/>
      <w:marTop w:val="0"/>
      <w:marBottom w:val="0"/>
      <w:divBdr>
        <w:top w:val="none" w:sz="0" w:space="0" w:color="auto"/>
        <w:left w:val="none" w:sz="0" w:space="0" w:color="auto"/>
        <w:bottom w:val="none" w:sz="0" w:space="0" w:color="auto"/>
        <w:right w:val="none" w:sz="0" w:space="0" w:color="auto"/>
      </w:divBdr>
    </w:div>
    <w:div w:id="1841851538">
      <w:bodyDiv w:val="1"/>
      <w:marLeft w:val="0"/>
      <w:marRight w:val="0"/>
      <w:marTop w:val="0"/>
      <w:marBottom w:val="0"/>
      <w:divBdr>
        <w:top w:val="none" w:sz="0" w:space="0" w:color="auto"/>
        <w:left w:val="none" w:sz="0" w:space="0" w:color="auto"/>
        <w:bottom w:val="none" w:sz="0" w:space="0" w:color="auto"/>
        <w:right w:val="none" w:sz="0" w:space="0" w:color="auto"/>
      </w:divBdr>
    </w:div>
    <w:div w:id="1873496288">
      <w:bodyDiv w:val="1"/>
      <w:marLeft w:val="0"/>
      <w:marRight w:val="0"/>
      <w:marTop w:val="0"/>
      <w:marBottom w:val="0"/>
      <w:divBdr>
        <w:top w:val="none" w:sz="0" w:space="0" w:color="auto"/>
        <w:left w:val="none" w:sz="0" w:space="0" w:color="auto"/>
        <w:bottom w:val="none" w:sz="0" w:space="0" w:color="auto"/>
        <w:right w:val="none" w:sz="0" w:space="0" w:color="auto"/>
      </w:divBdr>
    </w:div>
    <w:div w:id="1886017298">
      <w:bodyDiv w:val="1"/>
      <w:marLeft w:val="0"/>
      <w:marRight w:val="0"/>
      <w:marTop w:val="0"/>
      <w:marBottom w:val="0"/>
      <w:divBdr>
        <w:top w:val="none" w:sz="0" w:space="0" w:color="auto"/>
        <w:left w:val="none" w:sz="0" w:space="0" w:color="auto"/>
        <w:bottom w:val="none" w:sz="0" w:space="0" w:color="auto"/>
        <w:right w:val="none" w:sz="0" w:space="0" w:color="auto"/>
      </w:divBdr>
    </w:div>
    <w:div w:id="1888057918">
      <w:bodyDiv w:val="1"/>
      <w:marLeft w:val="0"/>
      <w:marRight w:val="0"/>
      <w:marTop w:val="0"/>
      <w:marBottom w:val="0"/>
      <w:divBdr>
        <w:top w:val="none" w:sz="0" w:space="0" w:color="auto"/>
        <w:left w:val="none" w:sz="0" w:space="0" w:color="auto"/>
        <w:bottom w:val="none" w:sz="0" w:space="0" w:color="auto"/>
        <w:right w:val="none" w:sz="0" w:space="0" w:color="auto"/>
      </w:divBdr>
    </w:div>
    <w:div w:id="1902672423">
      <w:bodyDiv w:val="1"/>
      <w:marLeft w:val="0"/>
      <w:marRight w:val="0"/>
      <w:marTop w:val="0"/>
      <w:marBottom w:val="0"/>
      <w:divBdr>
        <w:top w:val="none" w:sz="0" w:space="0" w:color="auto"/>
        <w:left w:val="none" w:sz="0" w:space="0" w:color="auto"/>
        <w:bottom w:val="none" w:sz="0" w:space="0" w:color="auto"/>
        <w:right w:val="none" w:sz="0" w:space="0" w:color="auto"/>
      </w:divBdr>
    </w:div>
    <w:div w:id="1939361668">
      <w:bodyDiv w:val="1"/>
      <w:marLeft w:val="0"/>
      <w:marRight w:val="0"/>
      <w:marTop w:val="0"/>
      <w:marBottom w:val="0"/>
      <w:divBdr>
        <w:top w:val="none" w:sz="0" w:space="0" w:color="auto"/>
        <w:left w:val="none" w:sz="0" w:space="0" w:color="auto"/>
        <w:bottom w:val="none" w:sz="0" w:space="0" w:color="auto"/>
        <w:right w:val="none" w:sz="0" w:space="0" w:color="auto"/>
      </w:divBdr>
    </w:div>
    <w:div w:id="1940945423">
      <w:bodyDiv w:val="1"/>
      <w:marLeft w:val="0"/>
      <w:marRight w:val="0"/>
      <w:marTop w:val="0"/>
      <w:marBottom w:val="0"/>
      <w:divBdr>
        <w:top w:val="none" w:sz="0" w:space="0" w:color="auto"/>
        <w:left w:val="none" w:sz="0" w:space="0" w:color="auto"/>
        <w:bottom w:val="none" w:sz="0" w:space="0" w:color="auto"/>
        <w:right w:val="none" w:sz="0" w:space="0" w:color="auto"/>
      </w:divBdr>
    </w:div>
    <w:div w:id="1958177793">
      <w:bodyDiv w:val="1"/>
      <w:marLeft w:val="0"/>
      <w:marRight w:val="0"/>
      <w:marTop w:val="0"/>
      <w:marBottom w:val="0"/>
      <w:divBdr>
        <w:top w:val="none" w:sz="0" w:space="0" w:color="auto"/>
        <w:left w:val="none" w:sz="0" w:space="0" w:color="auto"/>
        <w:bottom w:val="none" w:sz="0" w:space="0" w:color="auto"/>
        <w:right w:val="none" w:sz="0" w:space="0" w:color="auto"/>
      </w:divBdr>
    </w:div>
    <w:div w:id="1973750118">
      <w:bodyDiv w:val="1"/>
      <w:marLeft w:val="0"/>
      <w:marRight w:val="0"/>
      <w:marTop w:val="0"/>
      <w:marBottom w:val="0"/>
      <w:divBdr>
        <w:top w:val="none" w:sz="0" w:space="0" w:color="auto"/>
        <w:left w:val="none" w:sz="0" w:space="0" w:color="auto"/>
        <w:bottom w:val="none" w:sz="0" w:space="0" w:color="auto"/>
        <w:right w:val="none" w:sz="0" w:space="0" w:color="auto"/>
      </w:divBdr>
    </w:div>
    <w:div w:id="1999528866">
      <w:bodyDiv w:val="1"/>
      <w:marLeft w:val="0"/>
      <w:marRight w:val="0"/>
      <w:marTop w:val="0"/>
      <w:marBottom w:val="0"/>
      <w:divBdr>
        <w:top w:val="none" w:sz="0" w:space="0" w:color="auto"/>
        <w:left w:val="none" w:sz="0" w:space="0" w:color="auto"/>
        <w:bottom w:val="none" w:sz="0" w:space="0" w:color="auto"/>
        <w:right w:val="none" w:sz="0" w:space="0" w:color="auto"/>
      </w:divBdr>
    </w:div>
    <w:div w:id="2002612155">
      <w:bodyDiv w:val="1"/>
      <w:marLeft w:val="0"/>
      <w:marRight w:val="0"/>
      <w:marTop w:val="0"/>
      <w:marBottom w:val="0"/>
      <w:divBdr>
        <w:top w:val="none" w:sz="0" w:space="0" w:color="auto"/>
        <w:left w:val="none" w:sz="0" w:space="0" w:color="auto"/>
        <w:bottom w:val="none" w:sz="0" w:space="0" w:color="auto"/>
        <w:right w:val="none" w:sz="0" w:space="0" w:color="auto"/>
      </w:divBdr>
    </w:div>
    <w:div w:id="2022731855">
      <w:bodyDiv w:val="1"/>
      <w:marLeft w:val="0"/>
      <w:marRight w:val="0"/>
      <w:marTop w:val="0"/>
      <w:marBottom w:val="0"/>
      <w:divBdr>
        <w:top w:val="none" w:sz="0" w:space="0" w:color="auto"/>
        <w:left w:val="none" w:sz="0" w:space="0" w:color="auto"/>
        <w:bottom w:val="none" w:sz="0" w:space="0" w:color="auto"/>
        <w:right w:val="none" w:sz="0" w:space="0" w:color="auto"/>
      </w:divBdr>
    </w:div>
    <w:div w:id="2069109505">
      <w:bodyDiv w:val="1"/>
      <w:marLeft w:val="0"/>
      <w:marRight w:val="0"/>
      <w:marTop w:val="0"/>
      <w:marBottom w:val="0"/>
      <w:divBdr>
        <w:top w:val="none" w:sz="0" w:space="0" w:color="auto"/>
        <w:left w:val="none" w:sz="0" w:space="0" w:color="auto"/>
        <w:bottom w:val="none" w:sz="0" w:space="0" w:color="auto"/>
        <w:right w:val="none" w:sz="0" w:space="0" w:color="auto"/>
      </w:divBdr>
    </w:div>
    <w:div w:id="2074816800">
      <w:bodyDiv w:val="1"/>
      <w:marLeft w:val="0"/>
      <w:marRight w:val="0"/>
      <w:marTop w:val="0"/>
      <w:marBottom w:val="0"/>
      <w:divBdr>
        <w:top w:val="none" w:sz="0" w:space="0" w:color="auto"/>
        <w:left w:val="none" w:sz="0" w:space="0" w:color="auto"/>
        <w:bottom w:val="none" w:sz="0" w:space="0" w:color="auto"/>
        <w:right w:val="none" w:sz="0" w:space="0" w:color="auto"/>
      </w:divBdr>
    </w:div>
    <w:div w:id="2076774511">
      <w:bodyDiv w:val="1"/>
      <w:marLeft w:val="0"/>
      <w:marRight w:val="0"/>
      <w:marTop w:val="0"/>
      <w:marBottom w:val="0"/>
      <w:divBdr>
        <w:top w:val="none" w:sz="0" w:space="0" w:color="auto"/>
        <w:left w:val="none" w:sz="0" w:space="0" w:color="auto"/>
        <w:bottom w:val="none" w:sz="0" w:space="0" w:color="auto"/>
        <w:right w:val="none" w:sz="0" w:space="0" w:color="auto"/>
      </w:divBdr>
    </w:div>
    <w:div w:id="2086829628">
      <w:bodyDiv w:val="1"/>
      <w:marLeft w:val="0"/>
      <w:marRight w:val="0"/>
      <w:marTop w:val="0"/>
      <w:marBottom w:val="0"/>
      <w:divBdr>
        <w:top w:val="none" w:sz="0" w:space="0" w:color="auto"/>
        <w:left w:val="none" w:sz="0" w:space="0" w:color="auto"/>
        <w:bottom w:val="none" w:sz="0" w:space="0" w:color="auto"/>
        <w:right w:val="none" w:sz="0" w:space="0" w:color="auto"/>
      </w:divBdr>
    </w:div>
    <w:div w:id="2094664823">
      <w:bodyDiv w:val="1"/>
      <w:marLeft w:val="0"/>
      <w:marRight w:val="0"/>
      <w:marTop w:val="0"/>
      <w:marBottom w:val="0"/>
      <w:divBdr>
        <w:top w:val="none" w:sz="0" w:space="0" w:color="auto"/>
        <w:left w:val="none" w:sz="0" w:space="0" w:color="auto"/>
        <w:bottom w:val="none" w:sz="0" w:space="0" w:color="auto"/>
        <w:right w:val="none" w:sz="0" w:space="0" w:color="auto"/>
      </w:divBdr>
    </w:div>
    <w:div w:id="2101245923">
      <w:bodyDiv w:val="1"/>
      <w:marLeft w:val="0"/>
      <w:marRight w:val="0"/>
      <w:marTop w:val="0"/>
      <w:marBottom w:val="0"/>
      <w:divBdr>
        <w:top w:val="none" w:sz="0" w:space="0" w:color="auto"/>
        <w:left w:val="none" w:sz="0" w:space="0" w:color="auto"/>
        <w:bottom w:val="none" w:sz="0" w:space="0" w:color="auto"/>
        <w:right w:val="none" w:sz="0" w:space="0" w:color="auto"/>
      </w:divBdr>
    </w:div>
    <w:div w:id="2132242071">
      <w:bodyDiv w:val="1"/>
      <w:marLeft w:val="0"/>
      <w:marRight w:val="0"/>
      <w:marTop w:val="0"/>
      <w:marBottom w:val="0"/>
      <w:divBdr>
        <w:top w:val="none" w:sz="0" w:space="0" w:color="auto"/>
        <w:left w:val="none" w:sz="0" w:space="0" w:color="auto"/>
        <w:bottom w:val="none" w:sz="0" w:space="0" w:color="auto"/>
        <w:right w:val="none" w:sz="0" w:space="0" w:color="auto"/>
      </w:divBdr>
    </w:div>
    <w:div w:id="2139032088">
      <w:bodyDiv w:val="1"/>
      <w:marLeft w:val="0"/>
      <w:marRight w:val="0"/>
      <w:marTop w:val="0"/>
      <w:marBottom w:val="0"/>
      <w:divBdr>
        <w:top w:val="none" w:sz="0" w:space="0" w:color="auto"/>
        <w:left w:val="none" w:sz="0" w:space="0" w:color="auto"/>
        <w:bottom w:val="none" w:sz="0" w:space="0" w:color="auto"/>
        <w:right w:val="none" w:sz="0" w:space="0" w:color="auto"/>
      </w:divBdr>
    </w:div>
    <w:div w:id="21396464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webp"/><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Ast21</b:Tag>
    <b:SourceType>Report</b:SourceType>
    <b:Guid>{EDFE0C4B-2CC8-4AE8-BA3B-642702C405DB}</b:Guid>
    <b:Title>AstraZeneca Sustainability Report 2021</b:Title>
    <b:Year>2021</b:Year>
    <b:Author>
      <b:Author>
        <b:NameList>
          <b:Person>
            <b:Last>AstraZeneca</b:Last>
          </b:Person>
        </b:NameList>
      </b:Author>
    </b:Author>
    <b:RefOrder>2</b:RefOrder>
  </b:Source>
  <b:Source>
    <b:Tag>Bek13</b:Tag>
    <b:SourceType>Book</b:SourceType>
    <b:Guid>{80944520-1A55-43BF-9C52-F01E74E78AC5}</b:Guid>
    <b:Title>International Financial Management</b:Title>
    <b:Year>2013</b:Year>
    <b:Publisher>2nd Ed., Pearson Education</b:Publisher>
    <b:City>pp 19-29</b:City>
    <b:Author>
      <b:Author>
        <b:NameList>
          <b:Person>
            <b:Last>Bekaert</b:Last>
            <b:First>Geert J</b:First>
          </b:Person>
          <b:Person>
            <b:Last>Hodrick</b:Last>
            <b:First>Robert</b:First>
          </b:Person>
        </b:NameList>
      </b:Author>
    </b:Author>
    <b:RefOrder>1</b:RefOrder>
  </b:Source>
  <b:Source>
    <b:Tag>Zha16</b:Tag>
    <b:SourceType>ConferenceProceedings</b:SourceType>
    <b:Guid>{697BF459-D304-45F9-8269-D97FC86C5417}</b:Guid>
    <b:Title>The internationalisation of innovation to China: the case of AstraZeneca PLC</b:Title>
    <b:Year>2016</b:Year>
    <b:City>New Orleans</b:City>
    <b:Publisher>Middlesex University Research Repository</b:Publisher>
    <b:Author>
      <b:Author>
        <b:NameList>
          <b:Person>
            <b:Last>Zhao</b:Last>
            <b:First>Shasha</b:First>
          </b:Person>
          <b:Person>
            <b:Last>et al</b:Last>
          </b:Person>
        </b:NameList>
      </b:Author>
    </b:Author>
    <b:ConferenceName>Academy of International Business Annual Conference Proceedings. In: Academy of International Business Annual Meeting</b:ConferenceName>
    <b:RefOrder>3</b:RefOrder>
  </b:Source>
  <b:Source>
    <b:Tag>Ast211</b:Tag>
    <b:SourceType>Report</b:SourceType>
    <b:Guid>{50618FE6-8962-4A2F-B102-7EB016487BD3}</b:Guid>
    <b:Title>AstraZeneca Annual Report</b:Title>
    <b:Year>2021</b:Year>
    <b:Author>
      <b:Author>
        <b:NameList>
          <b:Person>
            <b:Last>AstraZeneca</b:Last>
          </b:Person>
        </b:NameList>
      </b:Author>
    </b:Author>
    <b:RefOrder>5</b:RefOrder>
  </b:Source>
  <b:Source>
    <b:Tag>Nij16</b:Tag>
    <b:SourceType>InternetSite</b:SourceType>
    <b:Guid>{1EA9AB18-4E28-4EE5-9675-9027A60222ED}</b:Guid>
    <b:Title>Global Operations - AstraZeneca</b:Title>
    <b:Year>2016</b:Year>
    <b:InternetSiteTitle>SlideShare</b:InternetSiteTitle>
    <b:Month>September</b:Month>
    <b:Day>2</b:Day>
    <b:URL>https://www.slideshare.net/onijhuis/global-operations-astrazeneca-65624656</b:URL>
    <b:Author>
      <b:Author>
        <b:NameList>
          <b:Person>
            <b:Last>Nijhuis</b:Last>
            <b:First>Oliver</b:First>
          </b:Person>
        </b:NameList>
      </b:Author>
    </b:Author>
    <b:RefOrder>11</b:RefOrder>
  </b:Source>
  <b:Source>
    <b:Tag>Alm21</b:Tag>
    <b:SourceType>DocumentFromInternetSite</b:SourceType>
    <b:Guid>{EFA9C19C-C5F2-4BB5-B0D6-DEA27DAA964E}</b:Guid>
    <b:Title>Financial Management Goals, Functions, and Challenges</b:Title>
    <b:InternetSiteTitle>ResearchGate</b:InternetSiteTitle>
    <b:Year>2021</b:Year>
    <b:Month>July</b:Month>
    <b:Day>28</b:Day>
    <b:URL>Available at: https://www.researchgate.net/profile/Haitham-Nobanee/publication/354653513_Financial_Management_Goals_Functions_and_Challenges/links/61447ea5f4a9f7651163601f/Financial-Management-Goals-Functions-and-Challenges.pdf</b:URL>
    <b:Author>
      <b:Author>
        <b:NameList>
          <b:Person>
            <b:Last>Almazrouei</b:Last>
            <b:First>Shamma </b:First>
          </b:Person>
          <b:Person>
            <b:Last>Nobanee</b:Last>
            <b:First>Haitham</b:First>
          </b:Person>
        </b:NameList>
      </b:Author>
    </b:Author>
    <b:RefOrder>8</b:RefOrder>
  </b:Source>
  <b:Source>
    <b:Tag>Mik22</b:Tag>
    <b:SourceType>DocumentFromInternetSite</b:SourceType>
    <b:Guid>{5B0AD5B2-DEDB-4C84-9AD2-005E6E55C6AD}</b:Guid>
    <b:Title>AstraZeneca's operating profit 2006-2021</b:Title>
    <b:InternetSiteTitle>Statista.com</b:InternetSiteTitle>
    <b:Year>2022</b:Year>
    <b:Month>Feb</b:Month>
    <b:Day>23</b:Day>
    <b:URL>Available at: https://www.statista.com/statistics/266544/astrazeneca-operating-profit-since-2006/</b:URL>
    <b:Author>
      <b:Author>
        <b:NameList>
          <b:Person>
            <b:Last>Mikulic</b:Last>
            <b:First>Matej </b:First>
          </b:Person>
        </b:NameList>
      </b:Author>
    </b:Author>
    <b:RefOrder>12</b:RefOrder>
  </b:Source>
  <b:Source>
    <b:Tag>Her02</b:Tag>
    <b:SourceType>BookSection</b:SourceType>
    <b:Guid>{723366CC-812E-4BDD-A2A9-30549F268FA3}</b:Guid>
    <b:Title>A team approach to managing mental health at work: the AstraZeneca case study</b:Title>
    <b:Year>2002</b:Year>
    <b:BookTitle>Work and Mental Health: An Employers' Guide</b:BookTitle>
    <b:Pages>Chapter 7, pp. 53-59</b:Pages>
    <b:City>London</b:City>
    <b:Publisher>Gaskell and Faculty of Occupational Medicine</b:Publisher>
    <b:Author>
      <b:Author>
        <b:NameList>
          <b:Person>
            <b:Last>Heron</b:Last>
            <b:First>Richard</b:First>
          </b:Person>
        </b:NameList>
      </b:Author>
      <b:BookAuthor>
        <b:NameList>
          <b:Person>
            <b:Last>al</b:Last>
            <b:First>Miller</b:First>
            <b:Middle>D. et</b:Middle>
          </b:Person>
        </b:NameList>
      </b:BookAuthor>
    </b:Author>
    <b:RefOrder>13</b:RefOrder>
  </b:Source>
  <b:Source>
    <b:Tag>AlG21</b:Tag>
    <b:SourceType>DocumentFromInternetSite</b:SourceType>
    <b:Guid>{415F8E5C-748B-4212-8B07-9AA6BC848E94}</b:Guid>
    <b:Title>Financial Analysis of AstraZeneca</b:Title>
    <b:Year>2021</b:Year>
    <b:Month>July</b:Month>
    <b:Day>28</b:Day>
    <b:URL>Available at: https://ssrn.com/abstract=3895292</b:URL>
    <b:Author>
      <b:Author>
        <b:NameList>
          <b:Person>
            <b:Last>Al Ghanem</b:Last>
            <b:First>Khuloud </b:First>
          </b:Person>
          <b:Person>
            <b:Last>et al</b:Last>
          </b:Person>
        </b:NameList>
      </b:Author>
    </b:Author>
    <b:RefOrder>4</b:RefOrder>
  </b:Source>
  <b:Source>
    <b:Tag>Ast22</b:Tag>
    <b:SourceType>InternetSite</b:SourceType>
    <b:Guid>{E3B3AD10-8B84-427A-8609-038AB1569773}</b:Guid>
    <b:Title>About Us</b:Title>
    <b:Year>2022</b:Year>
    <b:URL>https://www.astrazeneca.co.uk/about-us.html</b:URL>
    <b:Author>
      <b:Author>
        <b:NameList>
          <b:Person>
            <b:Last>AstraZeneca</b:Last>
          </b:Person>
        </b:NameList>
      </b:Author>
    </b:Author>
    <b:RefOrder>6</b:RefOrder>
  </b:Source>
  <b:Source>
    <b:Tag>Mik221</b:Tag>
    <b:SourceType>DocumentFromInternetSite</b:SourceType>
    <b:Guid>{85F92D62-C8AB-4E11-A39F-F0D1C3F74E3B}</b:Guid>
    <b:Title>AstraZeneca's employees by region 2021</b:Title>
    <b:InternetSiteTitle>Statista.com</b:InternetSiteTitle>
    <b:Year>2022</b:Year>
    <b:Month>Feb</b:Month>
    <b:Day>23</b:Day>
    <b:URL>https://www.statista.com/statistics/266558/astrazenecas-employee-distribution-by-region-since-2008/</b:URL>
    <b:Author>
      <b:Author>
        <b:NameList>
          <b:Person>
            <b:Last>Mikulic</b:Last>
            <b:First>Matej</b:First>
          </b:Person>
        </b:NameList>
      </b:Author>
    </b:Author>
    <b:RefOrder>7</b:RefOrder>
  </b:Source>
  <b:Source>
    <b:Tag>Kar12</b:Tag>
    <b:SourceType>Report</b:SourceType>
    <b:Guid>{170F712B-8C6A-4D7A-A30C-3002F91B6AB3}</b:Guid>
    <b:Title>Foreign Currency Denominated Debt as a Hedging Instrument</b:Title>
    <b:Year>2012</b:Year>
    <b:Publisher>Univercity of Gothenburg: School of business,economics and law</b:Publisher>
    <b:Author>
      <b:Author>
        <b:NameList>
          <b:Person>
            <b:Last>Karlsson</b:Last>
            <b:First>Andreas</b:First>
          </b:Person>
          <b:Person>
            <b:Last>Palm</b:Last>
            <b:First>Per</b:First>
          </b:Person>
        </b:NameList>
      </b:Author>
    </b:Author>
    <b:RefOrder>9</b:RefOrder>
  </b:Source>
  <b:Source>
    <b:Tag>LeT12</b:Tag>
    <b:SourceType>DocumentFromInternetSite</b:SourceType>
    <b:Guid>{DED22590-2CAA-4FE9-8DDB-AB3F1C4483A6}</b:Guid>
    <b:Title>Financial Analysis and Valuation of Astrazeneca</b:Title>
    <b:Year>2012</b:Year>
    <b:Month>March</b:Month>
    <b:Day>4</b:Day>
    <b:Author>
      <b:Author>
        <b:NameList>
          <b:Person>
            <b:Last>Le</b:Last>
            <b:First>Thanh</b:First>
          </b:Person>
        </b:NameList>
      </b:Author>
    </b:Author>
    <b:InternetSiteTitle>SSRN.com</b:InternetSiteTitle>
    <b:URL>Available at: http://dx.doi.org/10.2139/ssrn.2015539</b:URL>
    <b:RefOrder>10</b:RefOrder>
  </b:Source>
</b:Sources>
</file>

<file path=customXml/itemProps1.xml><?xml version="1.0" encoding="utf-8"?>
<ds:datastoreItem xmlns:ds="http://schemas.openxmlformats.org/officeDocument/2006/customXml" ds:itemID="{6E47B1EA-5B8D-4726-AC32-659D8D2FE7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3642</TotalTime>
  <Pages>12</Pages>
  <Words>2190</Words>
  <Characters>12483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MITKO</dc:creator>
  <cp:keywords/>
  <dc:description/>
  <cp:lastModifiedBy>MITKO</cp:lastModifiedBy>
  <cp:revision>94</cp:revision>
  <dcterms:created xsi:type="dcterms:W3CDTF">2022-07-31T14:12:00Z</dcterms:created>
  <dcterms:modified xsi:type="dcterms:W3CDTF">2022-08-05T19:46:00Z</dcterms:modified>
</cp:coreProperties>
</file>