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Marriott International (2021–2025) Financial Ratio Analysis</w:t>
      </w:r>
    </w:p>
    <w:p>
      <w:r>
        <w:rPr>
          <w:b/>
        </w:rPr>
        <w:t>Initial Observations and Interpretations</w:t>
      </w:r>
    </w:p>
    <w:p>
      <w:pPr>
        <w:pStyle w:val="Heading2"/>
      </w:pPr>
      <w:r>
        <w:t>Liquidity</w:t>
      </w:r>
    </w:p>
    <w:p>
      <w:r>
        <w:t>The current ratio remained below 1.0 throughout 2021–2025, indicating current liabilities consistently exceeded current assets. This suggests Marriott relies on strong operating cash flows and short-term financing rather than maintaining high working capital.</w:t>
      </w:r>
    </w:p>
    <w:p>
      <w:pPr>
        <w:pStyle w:val="Heading2"/>
      </w:pPr>
      <w:r>
        <w:t>Cash Position</w:t>
      </w:r>
    </w:p>
    <w:p>
      <w:r>
        <w:t>The cash ratio stayed low over the period, reflecting an asset-light business model where excess cash is frequently returned to shareholders through dividends and share repurchases instead of being held on the balance sheet.</w:t>
      </w:r>
    </w:p>
    <w:p>
      <w:pPr>
        <w:pStyle w:val="Heading2"/>
      </w:pPr>
      <w:r>
        <w:t>Leverage</w:t>
      </w:r>
    </w:p>
    <w:p>
      <w:r>
        <w:t>Total debt as a percentage of total assets increased over the five-year period, showing greater use of debt financing. While leverage has risen, this is common among large hospitality companies with stable cash generation.</w:t>
      </w:r>
    </w:p>
    <w:p>
      <w:pPr>
        <w:pStyle w:val="Heading2"/>
      </w:pPr>
      <w:r>
        <w:t>Shareholders' Equity</w:t>
      </w:r>
    </w:p>
    <w:p>
      <w:r>
        <w:t>Shareholders' equity became negative beginning in 2023, largely because of substantial share repurchases. Negative equity does not necessarily indicate financial distress for Marriott, but it makes debt-to-equity ratios less meaningful.</w:t>
      </w:r>
    </w:p>
    <w:p>
      <w:pPr>
        <w:pStyle w:val="Heading2"/>
      </w:pPr>
      <w:r>
        <w:t>Overall Performance</w:t>
      </w:r>
    </w:p>
    <w:p>
      <w:r>
        <w:t>Despite weaker liquidity and higher leverage, Marriott continued to report strong operating performance, growth in rooms, increasing EBITDA, and significant cash generation. Overall, the company appears financially strong from an operating perspective while maintaining an aggressive capital return strategy.</w:t>
      </w:r>
    </w:p>
    <w:p>
      <w:pPr>
        <w:pStyle w:val="Heading2"/>
      </w:pPr>
      <w:r>
        <w:t>Overall Conclusion</w:t>
      </w:r>
    </w:p>
    <w:p>
      <w:r>
        <w:t>The financial ratios indicate that Marriott follows an asset-light, cash-generative business model. Liquidity ratios are relatively low, leverage has increased, and equity has turned negative due to share repurchases. However, consistent earnings growth, expanding operations, and strong cash flows suggest the company remains financially healthy and well-positioned for long-term growth.</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