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D37447B" w14:textId="77777777" w:rsidR="005E4EA6" w:rsidRDefault="00000000">
      <w:pPr>
        <w:pStyle w:val="Title"/>
        <w:spacing w:before="2000" w:after="120" w:line="360" w:lineRule="auto"/>
        <w:jc w:val="center"/>
      </w:pPr>
      <w:r>
        <w:rPr>
          <w:rFonts w:ascii="Arial" w:eastAsia="Arial" w:hAnsi="Arial"/>
        </w:rPr>
        <w:t>Designing Innovative Working Practices and an Environment Where Talent May Grow</w:t>
      </w:r>
    </w:p>
    <w:p w14:paraId="2C4B07D7" w14:textId="77777777" w:rsidR="005E4EA6" w:rsidRDefault="00000000">
      <w:pPr>
        <w:jc w:val="center"/>
      </w:pPr>
      <w:r>
        <w:rPr>
          <w:rFonts w:eastAsia="Arial"/>
          <w:i/>
          <w:color w:val="168C8C"/>
          <w:sz w:val="28"/>
        </w:rPr>
        <w:t>An Evidence-Based HR Strategy for NHSX</w:t>
      </w:r>
    </w:p>
    <w:p w14:paraId="55787ED3" w14:textId="77777777" w:rsidR="005E4EA6" w:rsidRDefault="00000000">
      <w:pPr>
        <w:jc w:val="center"/>
      </w:pPr>
      <w:r>
        <w:rPr>
          <w:noProof/>
        </w:rPr>
        <w:drawing>
          <wp:inline distT="0" distB="0" distL="0" distR="0" wp14:anchorId="509617A0" wp14:editId="2915315D">
            <wp:extent cx="2286000" cy="9144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8"/>
                    <a:stretch>
                      <a:fillRect/>
                    </a:stretch>
                  </pic:blipFill>
                  <pic:spPr>
                    <a:xfrm>
                      <a:off x="0" y="0"/>
                      <a:ext cx="2286000" cy="914400"/>
                    </a:xfrm>
                    <a:prstGeom prst="rect">
                      <a:avLst/>
                    </a:prstGeom>
                  </pic:spPr>
                </pic:pic>
              </a:graphicData>
            </a:graphic>
          </wp:inline>
        </w:drawing>
      </w:r>
    </w:p>
    <w:p w14:paraId="0AA63594" w14:textId="77777777" w:rsidR="005E4EA6" w:rsidRDefault="00000000">
      <w:pPr>
        <w:jc w:val="center"/>
      </w:pPr>
      <w:r>
        <w:rPr>
          <w:rFonts w:eastAsia="Arial"/>
          <w:b/>
          <w:color w:val="17324D"/>
        </w:rPr>
        <w:t>Master of Business Administration</w:t>
      </w:r>
    </w:p>
    <w:p w14:paraId="256228D6" w14:textId="77777777" w:rsidR="005E4EA6" w:rsidRDefault="00000000">
      <w:pPr>
        <w:jc w:val="center"/>
      </w:pPr>
      <w:r>
        <w:t>Module: Human Capital Management (LCMB7023)</w:t>
      </w:r>
    </w:p>
    <w:p w14:paraId="41C56AD1" w14:textId="0E8F823D" w:rsidR="005E4EA6" w:rsidRDefault="00000000">
      <w:pPr>
        <w:jc w:val="center"/>
      </w:pPr>
      <w:r>
        <w:rPr>
          <w:rFonts w:eastAsia="Arial"/>
        </w:rPr>
        <w:t xml:space="preserve">Student name: </w:t>
      </w:r>
      <w:proofErr w:type="spellStart"/>
      <w:r w:rsidR="00D124E1">
        <w:rPr>
          <w:rFonts w:eastAsia="Arial"/>
        </w:rPr>
        <w:t>p</w:t>
      </w:r>
      <w:r w:rsidR="00D124E1" w:rsidRPr="00D124E1">
        <w:rPr>
          <w:rFonts w:eastAsia="Arial"/>
        </w:rPr>
        <w:t>rakash</w:t>
      </w:r>
      <w:proofErr w:type="spellEnd"/>
      <w:r w:rsidR="00D124E1" w:rsidRPr="00D124E1">
        <w:rPr>
          <w:rFonts w:eastAsia="Arial"/>
        </w:rPr>
        <w:t xml:space="preserve"> </w:t>
      </w:r>
      <w:proofErr w:type="spellStart"/>
      <w:r w:rsidR="00D124E1">
        <w:rPr>
          <w:rFonts w:eastAsia="Arial"/>
        </w:rPr>
        <w:t>K</w:t>
      </w:r>
      <w:r w:rsidR="00D124E1" w:rsidRPr="00D124E1">
        <w:rPr>
          <w:rFonts w:eastAsia="Arial"/>
        </w:rPr>
        <w:t>arabhai</w:t>
      </w:r>
      <w:proofErr w:type="spellEnd"/>
      <w:r w:rsidR="00D124E1" w:rsidRPr="00D124E1">
        <w:rPr>
          <w:rFonts w:eastAsia="Arial"/>
        </w:rPr>
        <w:t xml:space="preserve"> </w:t>
      </w:r>
      <w:proofErr w:type="spellStart"/>
      <w:r w:rsidR="00D124E1">
        <w:rPr>
          <w:rFonts w:eastAsia="Arial"/>
        </w:rPr>
        <w:t>O</w:t>
      </w:r>
      <w:r w:rsidR="00D124E1" w:rsidRPr="00D124E1">
        <w:rPr>
          <w:rFonts w:eastAsia="Arial"/>
        </w:rPr>
        <w:t>dedara</w:t>
      </w:r>
      <w:proofErr w:type="spellEnd"/>
    </w:p>
    <w:p w14:paraId="4D9F9BEE" w14:textId="66BEAFCD" w:rsidR="005E4EA6" w:rsidRDefault="00000000">
      <w:pPr>
        <w:jc w:val="center"/>
      </w:pPr>
      <w:r>
        <w:rPr>
          <w:rFonts w:eastAsia="Arial"/>
        </w:rPr>
        <w:t xml:space="preserve">Student ID: </w:t>
      </w:r>
      <w:r w:rsidR="00D124E1" w:rsidRPr="00D124E1">
        <w:rPr>
          <w:rFonts w:eastAsia="Arial"/>
        </w:rPr>
        <w:t>2507466</w:t>
      </w:r>
    </w:p>
    <w:p w14:paraId="7F2DE8A7" w14:textId="3C37F90C" w:rsidR="005E4EA6" w:rsidRDefault="00000000">
      <w:pPr>
        <w:jc w:val="center"/>
      </w:pPr>
      <w:r>
        <w:rPr>
          <w:rFonts w:eastAsia="Arial"/>
        </w:rPr>
        <w:t xml:space="preserve">Tutor: </w:t>
      </w:r>
      <w:r w:rsidR="00DC2AC1" w:rsidRPr="00DC2AC1">
        <w:rPr>
          <w:rFonts w:eastAsia="Arial"/>
        </w:rPr>
        <w:t>Eno maycock</w:t>
      </w:r>
    </w:p>
    <w:p w14:paraId="1F433DCA" w14:textId="77777777" w:rsidR="005E4EA6" w:rsidRDefault="00000000">
      <w:pPr>
        <w:jc w:val="center"/>
      </w:pPr>
      <w:r>
        <w:t>Date: 15 October 2026</w:t>
      </w:r>
    </w:p>
    <w:p w14:paraId="71A6303E" w14:textId="4678BFD9" w:rsidR="005E4EA6" w:rsidRDefault="00000000">
      <w:pPr>
        <w:jc w:val="center"/>
      </w:pPr>
      <w:r>
        <w:t xml:space="preserve">Word count: </w:t>
      </w:r>
      <w:r w:rsidR="00A42598">
        <w:t>2,7</w:t>
      </w:r>
      <w:r w:rsidR="00DC2AC1">
        <w:t>30</w:t>
      </w:r>
      <w:r>
        <w:t xml:space="preserve"> (excluding title page, contents, reference list, appendix and AI acknowledgement)</w:t>
      </w:r>
    </w:p>
    <w:p w14:paraId="0F95ADC4" w14:textId="77777777" w:rsidR="005E4EA6" w:rsidRDefault="00000000">
      <w:r>
        <w:br w:type="page"/>
      </w:r>
    </w:p>
    <w:p w14:paraId="7C37F99D" w14:textId="77777777" w:rsidR="005E4EA6" w:rsidRDefault="719598A3">
      <w:pPr>
        <w:pageBreakBefore/>
      </w:pPr>
      <w:bookmarkStart w:id="0" w:name="_Toc1548209744"/>
      <w:r>
        <w:rPr>
          <w:rFonts w:eastAsia="Arial"/>
          <w:b/>
          <w:color w:val="142B52"/>
          <w:sz w:val="36"/>
        </w:rPr>
        <w:lastRenderedPageBreak/>
        <w:t>Table of Contents</w:t>
      </w:r>
      <w:bookmarkEnd w:id="0"/>
    </w:p>
    <w:p w14:paraId="0A6FEBD5" w14:textId="77777777" w:rsidR="005E4EA6" w:rsidRDefault="005E4EA6" w:rsidP="719598A3">
      <w:pPr>
        <w:pStyle w:val="TOC1"/>
        <w:tabs>
          <w:tab w:val="right" w:leader="dot" w:pos="9780"/>
        </w:tabs>
      </w:pPr>
    </w:p>
    <w:p w14:paraId="02B6FE29" w14:textId="77777777" w:rsidR="719598A3" w:rsidRDefault="719598A3" w:rsidP="719598A3">
      <w:pPr>
        <w:pStyle w:val="TOC1"/>
        <w:tabs>
          <w:tab w:val="right" w:leader="dot" w:pos="9780"/>
        </w:tabs>
      </w:pPr>
      <w:hyperlink w:anchor="_Toc1415756993" w:history="1">
        <w:r>
          <w:t>Introduction</w:t>
        </w:r>
        <w:r>
          <w:tab/>
        </w:r>
        <w:r>
          <w:fldChar w:fldCharType="begin"/>
        </w:r>
        <w:r>
          <w:instrText>PAGEREF _Toc1415756993 \h</w:instrText>
        </w:r>
        <w:r>
          <w:fldChar w:fldCharType="separate"/>
        </w:r>
        <w:r w:rsidR="007D6CF8">
          <w:rPr>
            <w:noProof/>
          </w:rPr>
          <w:t>1</w:t>
        </w:r>
        <w:r>
          <w:fldChar w:fldCharType="end"/>
        </w:r>
      </w:hyperlink>
    </w:p>
    <w:p w14:paraId="41410BB7" w14:textId="77777777" w:rsidR="719598A3" w:rsidRDefault="719598A3" w:rsidP="719598A3">
      <w:pPr>
        <w:pStyle w:val="TOC1"/>
        <w:tabs>
          <w:tab w:val="right" w:leader="dot" w:pos="9780"/>
        </w:tabs>
      </w:pPr>
      <w:hyperlink w:anchor="_Toc1500817512" w:history="1">
        <w:r>
          <w:t>Task A: Designing Innovative Working Practices</w:t>
        </w:r>
        <w:r>
          <w:tab/>
        </w:r>
        <w:r>
          <w:fldChar w:fldCharType="begin"/>
        </w:r>
        <w:r>
          <w:instrText>PAGEREF _Toc1500817512 \h</w:instrText>
        </w:r>
        <w:r>
          <w:fldChar w:fldCharType="separate"/>
        </w:r>
        <w:r w:rsidR="007D6CF8">
          <w:rPr>
            <w:noProof/>
          </w:rPr>
          <w:t>1</w:t>
        </w:r>
        <w:r>
          <w:fldChar w:fldCharType="end"/>
        </w:r>
      </w:hyperlink>
    </w:p>
    <w:p w14:paraId="776B3463" w14:textId="77777777" w:rsidR="719598A3" w:rsidRDefault="719598A3" w:rsidP="719598A3">
      <w:pPr>
        <w:pStyle w:val="TOC2"/>
        <w:tabs>
          <w:tab w:val="right" w:leader="dot" w:pos="9780"/>
        </w:tabs>
      </w:pPr>
      <w:hyperlink w:anchor="_Toc1722027932" w:history="1">
        <w:r>
          <w:t>Critical Evaluation of Traditional and Contemporary Work Design</w:t>
        </w:r>
        <w:r>
          <w:tab/>
        </w:r>
        <w:r>
          <w:fldChar w:fldCharType="begin"/>
        </w:r>
        <w:r>
          <w:instrText>PAGEREF _Toc1722027932 \h</w:instrText>
        </w:r>
        <w:r>
          <w:fldChar w:fldCharType="separate"/>
        </w:r>
        <w:r w:rsidR="007D6CF8">
          <w:rPr>
            <w:noProof/>
          </w:rPr>
          <w:t>1</w:t>
        </w:r>
        <w:r>
          <w:fldChar w:fldCharType="end"/>
        </w:r>
      </w:hyperlink>
    </w:p>
    <w:p w14:paraId="66C5A0B1" w14:textId="77777777" w:rsidR="719598A3" w:rsidRDefault="719598A3" w:rsidP="719598A3">
      <w:pPr>
        <w:pStyle w:val="TOC2"/>
        <w:tabs>
          <w:tab w:val="right" w:leader="dot" w:pos="9780"/>
        </w:tabs>
      </w:pPr>
      <w:hyperlink w:anchor="_Toc762310572" w:history="1">
        <w:r>
          <w:t>Recommended Innovative Working Practices for NHSX</w:t>
        </w:r>
        <w:r>
          <w:tab/>
        </w:r>
        <w:r>
          <w:fldChar w:fldCharType="begin"/>
        </w:r>
        <w:r>
          <w:instrText>PAGEREF _Toc762310572 \h</w:instrText>
        </w:r>
        <w:r>
          <w:fldChar w:fldCharType="separate"/>
        </w:r>
        <w:r w:rsidR="007D6CF8">
          <w:rPr>
            <w:noProof/>
          </w:rPr>
          <w:t>1</w:t>
        </w:r>
        <w:r>
          <w:fldChar w:fldCharType="end"/>
        </w:r>
      </w:hyperlink>
    </w:p>
    <w:p w14:paraId="46B28157" w14:textId="77777777" w:rsidR="719598A3" w:rsidRDefault="719598A3" w:rsidP="719598A3">
      <w:pPr>
        <w:pStyle w:val="TOC1"/>
        <w:tabs>
          <w:tab w:val="right" w:leader="dot" w:pos="9780"/>
        </w:tabs>
      </w:pPr>
      <w:hyperlink w:anchor="_Toc1383573987" w:history="1">
        <w:r>
          <w:t>Task B: Breeding an Environment Where Talent May Grow</w:t>
        </w:r>
        <w:r>
          <w:tab/>
        </w:r>
        <w:r>
          <w:fldChar w:fldCharType="begin"/>
        </w:r>
        <w:r>
          <w:instrText>PAGEREF _Toc1383573987 \h</w:instrText>
        </w:r>
        <w:r>
          <w:fldChar w:fldCharType="separate"/>
        </w:r>
        <w:r w:rsidR="007D6CF8">
          <w:rPr>
            <w:noProof/>
          </w:rPr>
          <w:t>1</w:t>
        </w:r>
        <w:r>
          <w:fldChar w:fldCharType="end"/>
        </w:r>
      </w:hyperlink>
    </w:p>
    <w:p w14:paraId="4918B4AE" w14:textId="77777777" w:rsidR="719598A3" w:rsidRDefault="719598A3" w:rsidP="719598A3">
      <w:pPr>
        <w:pStyle w:val="TOC2"/>
        <w:tabs>
          <w:tab w:val="right" w:leader="dot" w:pos="9780"/>
        </w:tabs>
      </w:pPr>
      <w:hyperlink w:anchor="_Toc1168862759" w:history="1">
        <w:r>
          <w:t>Critical Evaluation of Talent Development Approaches</w:t>
        </w:r>
        <w:r>
          <w:tab/>
        </w:r>
        <w:r>
          <w:fldChar w:fldCharType="begin"/>
        </w:r>
        <w:r>
          <w:instrText>PAGEREF _Toc1168862759 \h</w:instrText>
        </w:r>
        <w:r>
          <w:fldChar w:fldCharType="separate"/>
        </w:r>
        <w:r w:rsidR="007D6CF8">
          <w:rPr>
            <w:noProof/>
          </w:rPr>
          <w:t>1</w:t>
        </w:r>
        <w:r>
          <w:fldChar w:fldCharType="end"/>
        </w:r>
      </w:hyperlink>
    </w:p>
    <w:p w14:paraId="53D85B64" w14:textId="77777777" w:rsidR="719598A3" w:rsidRDefault="719598A3" w:rsidP="719598A3">
      <w:pPr>
        <w:pStyle w:val="TOC2"/>
        <w:tabs>
          <w:tab w:val="right" w:leader="dot" w:pos="9780"/>
        </w:tabs>
      </w:pPr>
      <w:hyperlink w:anchor="_Toc2102692977" w:history="1">
        <w:r>
          <w:t>Strategic Talent Growth Strategy for NHSX</w:t>
        </w:r>
        <w:r>
          <w:tab/>
        </w:r>
        <w:r>
          <w:fldChar w:fldCharType="begin"/>
        </w:r>
        <w:r>
          <w:instrText>PAGEREF _Toc2102692977 \h</w:instrText>
        </w:r>
        <w:r>
          <w:fldChar w:fldCharType="separate"/>
        </w:r>
        <w:r w:rsidR="007D6CF8">
          <w:rPr>
            <w:noProof/>
          </w:rPr>
          <w:t>1</w:t>
        </w:r>
        <w:r>
          <w:fldChar w:fldCharType="end"/>
        </w:r>
      </w:hyperlink>
    </w:p>
    <w:p w14:paraId="2E36DF8D" w14:textId="77777777" w:rsidR="719598A3" w:rsidRDefault="719598A3" w:rsidP="719598A3">
      <w:pPr>
        <w:pStyle w:val="TOC2"/>
        <w:tabs>
          <w:tab w:val="right" w:leader="dot" w:pos="9780"/>
        </w:tabs>
      </w:pPr>
      <w:hyperlink w:anchor="_Toc1420530158" w:history="1">
        <w:r>
          <w:t>Implementation and Evaluation</w:t>
        </w:r>
        <w:r>
          <w:tab/>
        </w:r>
        <w:r>
          <w:fldChar w:fldCharType="begin"/>
        </w:r>
        <w:r>
          <w:instrText>PAGEREF _Toc1420530158 \h</w:instrText>
        </w:r>
        <w:r>
          <w:fldChar w:fldCharType="separate"/>
        </w:r>
        <w:r w:rsidR="007D6CF8">
          <w:rPr>
            <w:noProof/>
          </w:rPr>
          <w:t>1</w:t>
        </w:r>
        <w:r>
          <w:fldChar w:fldCharType="end"/>
        </w:r>
      </w:hyperlink>
    </w:p>
    <w:p w14:paraId="0A2ADDFF" w14:textId="77777777" w:rsidR="719598A3" w:rsidRDefault="719598A3" w:rsidP="719598A3">
      <w:pPr>
        <w:pStyle w:val="TOC1"/>
        <w:tabs>
          <w:tab w:val="right" w:leader="dot" w:pos="9780"/>
        </w:tabs>
      </w:pPr>
      <w:hyperlink w:anchor="_Toc2073501528" w:history="1">
        <w:r>
          <w:t>Task C: Reflective Report</w:t>
        </w:r>
        <w:r>
          <w:tab/>
        </w:r>
        <w:r>
          <w:fldChar w:fldCharType="begin"/>
        </w:r>
        <w:r>
          <w:instrText>PAGEREF _Toc2073501528 \h</w:instrText>
        </w:r>
        <w:r>
          <w:fldChar w:fldCharType="separate"/>
        </w:r>
        <w:r w:rsidR="007D6CF8">
          <w:rPr>
            <w:noProof/>
          </w:rPr>
          <w:t>1</w:t>
        </w:r>
        <w:r>
          <w:fldChar w:fldCharType="end"/>
        </w:r>
      </w:hyperlink>
    </w:p>
    <w:p w14:paraId="299334D6" w14:textId="77777777" w:rsidR="719598A3" w:rsidRDefault="719598A3" w:rsidP="719598A3">
      <w:pPr>
        <w:pStyle w:val="TOC2"/>
        <w:tabs>
          <w:tab w:val="right" w:leader="dot" w:pos="9780"/>
        </w:tabs>
      </w:pPr>
      <w:hyperlink w:anchor="_Toc478502570" w:history="1">
        <w:r>
          <w:t>AI as a Strategic Decision-Support Tool in HRM</w:t>
        </w:r>
        <w:r>
          <w:tab/>
        </w:r>
        <w:r>
          <w:fldChar w:fldCharType="begin"/>
        </w:r>
        <w:r>
          <w:instrText>PAGEREF _Toc478502570 \h</w:instrText>
        </w:r>
        <w:r>
          <w:fldChar w:fldCharType="separate"/>
        </w:r>
        <w:r w:rsidR="007D6CF8">
          <w:rPr>
            <w:noProof/>
          </w:rPr>
          <w:t>1</w:t>
        </w:r>
        <w:r>
          <w:fldChar w:fldCharType="end"/>
        </w:r>
      </w:hyperlink>
    </w:p>
    <w:p w14:paraId="0F5ECE3C" w14:textId="77777777" w:rsidR="719598A3" w:rsidRDefault="719598A3" w:rsidP="719598A3">
      <w:pPr>
        <w:pStyle w:val="TOC2"/>
        <w:tabs>
          <w:tab w:val="right" w:leader="dot" w:pos="9780"/>
        </w:tabs>
      </w:pPr>
      <w:hyperlink w:anchor="_Toc1658923795" w:history="1">
        <w:r>
          <w:t>Reflective Analysis of Three AI Uses</w:t>
        </w:r>
        <w:r>
          <w:tab/>
        </w:r>
        <w:r>
          <w:fldChar w:fldCharType="begin"/>
        </w:r>
        <w:r>
          <w:instrText>PAGEREF _Toc1658923795 \h</w:instrText>
        </w:r>
        <w:r>
          <w:fldChar w:fldCharType="separate"/>
        </w:r>
        <w:r w:rsidR="007D6CF8">
          <w:rPr>
            <w:noProof/>
          </w:rPr>
          <w:t>1</w:t>
        </w:r>
        <w:r>
          <w:fldChar w:fldCharType="end"/>
        </w:r>
      </w:hyperlink>
    </w:p>
    <w:p w14:paraId="431A9B21" w14:textId="77777777" w:rsidR="719598A3" w:rsidRDefault="719598A3" w:rsidP="719598A3">
      <w:pPr>
        <w:pStyle w:val="TOC2"/>
        <w:tabs>
          <w:tab w:val="right" w:leader="dot" w:pos="9780"/>
        </w:tabs>
      </w:pPr>
      <w:hyperlink w:anchor="_Toc1839851540" w:history="1">
        <w:r>
          <w:t>Personal Capability Development Plan</w:t>
        </w:r>
        <w:r>
          <w:tab/>
        </w:r>
        <w:r>
          <w:fldChar w:fldCharType="begin"/>
        </w:r>
        <w:r>
          <w:instrText>PAGEREF _Toc1839851540 \h</w:instrText>
        </w:r>
        <w:r>
          <w:fldChar w:fldCharType="separate"/>
        </w:r>
        <w:r w:rsidR="007D6CF8">
          <w:rPr>
            <w:noProof/>
          </w:rPr>
          <w:t>1</w:t>
        </w:r>
        <w:r>
          <w:fldChar w:fldCharType="end"/>
        </w:r>
      </w:hyperlink>
    </w:p>
    <w:p w14:paraId="6EBE17D4" w14:textId="77777777" w:rsidR="719598A3" w:rsidRDefault="719598A3" w:rsidP="719598A3">
      <w:pPr>
        <w:pStyle w:val="TOC1"/>
        <w:tabs>
          <w:tab w:val="right" w:leader="dot" w:pos="9780"/>
        </w:tabs>
      </w:pPr>
      <w:hyperlink w:anchor="_Toc166589643" w:history="1">
        <w:r>
          <w:t>Conclusion</w:t>
        </w:r>
        <w:r>
          <w:tab/>
        </w:r>
        <w:r>
          <w:fldChar w:fldCharType="begin"/>
        </w:r>
        <w:r>
          <w:instrText>PAGEREF _Toc166589643 \h</w:instrText>
        </w:r>
        <w:r>
          <w:fldChar w:fldCharType="separate"/>
        </w:r>
        <w:r w:rsidR="007D6CF8">
          <w:rPr>
            <w:noProof/>
          </w:rPr>
          <w:t>1</w:t>
        </w:r>
        <w:r>
          <w:fldChar w:fldCharType="end"/>
        </w:r>
      </w:hyperlink>
    </w:p>
    <w:p w14:paraId="0DA50DDD" w14:textId="77777777" w:rsidR="719598A3" w:rsidRDefault="719598A3" w:rsidP="719598A3">
      <w:pPr>
        <w:pStyle w:val="TOC1"/>
        <w:tabs>
          <w:tab w:val="right" w:leader="dot" w:pos="9780"/>
        </w:tabs>
      </w:pPr>
      <w:hyperlink w:anchor="_Toc458814106" w:history="1">
        <w:r>
          <w:t>References</w:t>
        </w:r>
        <w:r>
          <w:tab/>
        </w:r>
        <w:r>
          <w:fldChar w:fldCharType="begin"/>
        </w:r>
        <w:r>
          <w:instrText>PAGEREF _Toc458814106 \h</w:instrText>
        </w:r>
        <w:r>
          <w:fldChar w:fldCharType="separate"/>
        </w:r>
        <w:r w:rsidR="007D6CF8">
          <w:rPr>
            <w:noProof/>
          </w:rPr>
          <w:t>1</w:t>
        </w:r>
        <w:r>
          <w:fldChar w:fldCharType="end"/>
        </w:r>
      </w:hyperlink>
    </w:p>
    <w:p w14:paraId="101195B4" w14:textId="77777777" w:rsidR="719598A3" w:rsidRDefault="719598A3" w:rsidP="719598A3">
      <w:pPr>
        <w:pStyle w:val="TOC1"/>
        <w:tabs>
          <w:tab w:val="right" w:leader="dot" w:pos="9780"/>
        </w:tabs>
      </w:pPr>
      <w:hyperlink w:anchor="_Toc197614853" w:history="1">
        <w:r>
          <w:t>Appendix A: Proposed Talent Metrics Dashboard Template</w:t>
        </w:r>
        <w:r>
          <w:tab/>
        </w:r>
        <w:r>
          <w:fldChar w:fldCharType="begin"/>
        </w:r>
        <w:r>
          <w:instrText>PAGEREF _Toc197614853 \h</w:instrText>
        </w:r>
        <w:r>
          <w:fldChar w:fldCharType="separate"/>
        </w:r>
        <w:r w:rsidR="007D6CF8">
          <w:rPr>
            <w:noProof/>
          </w:rPr>
          <w:t>1</w:t>
        </w:r>
        <w:r>
          <w:fldChar w:fldCharType="end"/>
        </w:r>
      </w:hyperlink>
    </w:p>
    <w:p w14:paraId="0DA8D9A2" w14:textId="77777777" w:rsidR="719598A3" w:rsidRDefault="719598A3" w:rsidP="719598A3">
      <w:pPr>
        <w:pStyle w:val="TOC1"/>
      </w:pPr>
    </w:p>
    <w:p w14:paraId="21B1DB05" w14:textId="77777777" w:rsidR="005E4EA6" w:rsidRDefault="719598A3">
      <w:pPr>
        <w:pStyle w:val="Heading1"/>
        <w:pageBreakBefore/>
      </w:pPr>
      <w:bookmarkStart w:id="1" w:name="_Toc1415756993"/>
      <w:r>
        <w:lastRenderedPageBreak/>
        <w:t>Introduction</w:t>
      </w:r>
      <w:bookmarkEnd w:id="1"/>
    </w:p>
    <w:p w14:paraId="3F2C0703" w14:textId="77777777" w:rsidR="005E4EA6" w:rsidRDefault="00000000" w:rsidP="719598A3">
      <w:pPr>
        <w:spacing w:after="160"/>
        <w:rPr>
          <w:rFonts w:eastAsia="Arial" w:cs="Arial"/>
          <w:szCs w:val="24"/>
        </w:rPr>
      </w:pPr>
      <w:r>
        <w:rPr>
          <w:rFonts w:eastAsia="Arial"/>
        </w:rPr>
        <w:t>NHSX is a healthcare technology company, based in the UK, India and the UAE, and has a workforce of around 600 employees. It creates AI-driven products while experiencing slow decision making, constrained experimentation, subpar hybrid collaboration, career-development deficits and wellbeing challenges.</w:t>
      </w:r>
    </w:p>
    <w:p w14:paraId="3D5CC7DF" w14:textId="77777777" w:rsidR="005E4EA6" w:rsidRDefault="00000000" w:rsidP="719598A3">
      <w:pPr>
        <w:spacing w:after="160"/>
        <w:rPr>
          <w:rFonts w:eastAsia="Arial" w:cs="Arial"/>
          <w:szCs w:val="24"/>
        </w:rPr>
      </w:pPr>
      <w:r>
        <w:rPr>
          <w:rFonts w:eastAsia="Arial"/>
        </w:rPr>
        <w:t>As an external consultant I evaluate the evidence and its boundaries and then suggest a staged response to accommodate a safety critical organisation in three countries. The report is linked to work design and talent development to organisational performance, with a list of the capabilities I should build as an HR professional.</w:t>
      </w:r>
    </w:p>
    <w:p w14:paraId="2B6C9BD7" w14:textId="77777777" w:rsidR="005E4EA6" w:rsidRDefault="719598A3">
      <w:pPr>
        <w:pStyle w:val="Heading1"/>
        <w:pageBreakBefore/>
      </w:pPr>
      <w:bookmarkStart w:id="2" w:name="_Toc1500817512"/>
      <w:r>
        <w:lastRenderedPageBreak/>
        <w:t>Task A: Designing Innovative Working Practices</w:t>
      </w:r>
      <w:bookmarkEnd w:id="2"/>
    </w:p>
    <w:p w14:paraId="00A35B2E" w14:textId="77777777" w:rsidR="005E4EA6" w:rsidRDefault="719598A3">
      <w:pPr>
        <w:pStyle w:val="Heading2"/>
      </w:pPr>
      <w:bookmarkStart w:id="3" w:name="_Toc1722027932"/>
      <w:r>
        <w:t>Critical Evaluation of Traditional and Contemporary Work Design</w:t>
      </w:r>
      <w:bookmarkEnd w:id="3"/>
    </w:p>
    <w:p w14:paraId="6911C222" w14:textId="77777777" w:rsidR="007D7EF4" w:rsidRPr="007D7EF4" w:rsidRDefault="76F07C6B" w:rsidP="007D7EF4">
      <w:pPr>
        <w:spacing w:after="160"/>
        <w:rPr>
          <w:rFonts w:eastAsia="Arial"/>
        </w:rPr>
      </w:pPr>
      <w:r>
        <w:rPr>
          <w:rFonts w:eastAsia="Arial"/>
        </w:rPr>
        <w:t xml:space="preserve">Optimising the technical system alone can compromise productivity and wellbeing as is shown in the study of Trist and Bamforth (1951) on mechanised coal mining which illustrates that the social system and technical system must be optimised together. Cherns (1976) design principles enable this to be done: minimal critical specification (specify outcomes, not methods); boundary management; compatibility and variance control. NHSX should specify the outcomes to be delivered – patient safety, reliability of delivery, learning, but allow its teams in the UK, India and Emirates to interpret, plan and deliver the outcomes in their own way (Cherns, 1987). </w:t>
      </w:r>
      <w:r w:rsidR="007D7EF4" w:rsidRPr="007D7EF4">
        <w:rPr>
          <w:rFonts w:eastAsia="Arial"/>
        </w:rPr>
        <w:t>Controlling variance is an important measure: If a clinical-safety deviation is found‚ workers involved in the specific problem should be able to stop work; higher-level workers in the organization's management hierarchy should not be able to stop work</w:t>
      </w:r>
      <w:r w:rsidR="007D7EF4" w:rsidRPr="007D7EF4">
        <w:rPr>
          <w:rFonts w:ascii="MS Gothic" w:eastAsia="MS Gothic" w:hAnsi="MS Gothic" w:cs="MS Gothic" w:hint="eastAsia"/>
        </w:rPr>
        <w:t>․</w:t>
      </w:r>
    </w:p>
    <w:p w14:paraId="580E7B4D" w14:textId="33746324" w:rsidR="76F07C6B" w:rsidRDefault="007D7EF4" w:rsidP="007D7EF4">
      <w:pPr>
        <w:spacing w:after="160"/>
        <w:rPr>
          <w:rFonts w:eastAsia="Arial" w:cs="Arial"/>
          <w:szCs w:val="24"/>
        </w:rPr>
      </w:pPr>
      <w:r w:rsidRPr="007D7EF4">
        <w:rPr>
          <w:rFonts w:eastAsia="Arial"/>
        </w:rPr>
        <w:t>High-performance work systems include practices such as selective hiring and recruitment‚ training‚ and information sharing and participation‚ as well as motivation and opportunity strategies (Appelbaum et al</w:t>
      </w:r>
      <w:r w:rsidRPr="007D7EF4">
        <w:rPr>
          <w:rFonts w:ascii="MS Gothic" w:eastAsia="MS Gothic" w:hAnsi="MS Gothic" w:cs="MS Gothic" w:hint="eastAsia"/>
        </w:rPr>
        <w:t>․</w:t>
      </w:r>
      <w:r w:rsidRPr="007D7EF4">
        <w:rPr>
          <w:rFonts w:eastAsia="Arial"/>
        </w:rPr>
        <w:t xml:space="preserve">‚ </w:t>
      </w:r>
      <w:proofErr w:type="gramStart"/>
      <w:r w:rsidRPr="007D7EF4">
        <w:rPr>
          <w:rFonts w:eastAsia="Arial"/>
        </w:rPr>
        <w:t>2000)</w:t>
      </w:r>
      <w:r w:rsidRPr="007D7EF4">
        <w:rPr>
          <w:rFonts w:ascii="MS Gothic" w:eastAsia="MS Gothic" w:hAnsi="MS Gothic" w:cs="MS Gothic" w:hint="eastAsia"/>
        </w:rPr>
        <w:t>․</w:t>
      </w:r>
      <w:proofErr w:type="gramEnd"/>
      <w:r w:rsidRPr="007D7EF4">
        <w:rPr>
          <w:rFonts w:eastAsia="Arial"/>
        </w:rPr>
        <w:t xml:space="preserve"> High-involvement management includes the high-performance work system practices and other strategies to provide employees full decision-making authority over work tasks (Lawler‚ 1986; Benson and Lawler‚ 2003</w:t>
      </w:r>
      <w:r>
        <w:rPr>
          <w:rFonts w:eastAsia="Arial"/>
        </w:rPr>
        <w:t>)</w:t>
      </w:r>
      <w:r w:rsidR="76F07C6B">
        <w:rPr>
          <w:rFonts w:eastAsia="Arial"/>
        </w:rPr>
        <w:t xml:space="preserve">. Although evidence of the relationship between such bundles and performance is strong, it is worth noting that there is a debate about best-practice versus best-fit (HPWS research is predominantly from manufacturing and US contexts; for regulatory and cultural considerations, Boxall and Purcell (2016) argue that universal bundles may not transfer well across contexts). NHSX should implement the commitment-based approach and adapt each of the components to the local context: participation that involves clinical-safety officers, information sharing based on data protection responsibilities and appraisal based on cross-border outputs and individual contributions. </w:t>
      </w:r>
    </w:p>
    <w:p w14:paraId="3E9D1C37" w14:textId="2BA2B723" w:rsidR="76F07C6B" w:rsidRDefault="76F07C6B" w:rsidP="719598A3">
      <w:pPr>
        <w:spacing w:after="160"/>
        <w:rPr>
          <w:rFonts w:eastAsia="Arial" w:cs="Arial"/>
          <w:szCs w:val="24"/>
        </w:rPr>
      </w:pPr>
      <w:r>
        <w:rPr>
          <w:rFonts w:eastAsia="Arial"/>
        </w:rPr>
        <w:t xml:space="preserve">Agile methods are appropriate for NHSX's product-discovery work (Rigby, Sutherland and Takeuchi, 2016) because they are iterative releases, small teams with empowered decision-making and direct users' feedback, which are ideally suited to working with AI experiments, where requirements are really unknown ahead of time. The problem is that while healthcare </w:t>
      </w:r>
      <w:r>
        <w:rPr>
          <w:rFonts w:eastAsia="Arial"/>
        </w:rPr>
        <w:lastRenderedPageBreak/>
        <w:t xml:space="preserve">demands patient safety and regulatory compliance, a 'move fast' attitude is at odds with a 'move slow' philosophy when it comes to algorithms that could risk patient safety and a post-2020 regulatory environment for public-service AI has tangible consequences for reputation (Department for Science, Innovation and Technology, 2024; Government Digital Service, 2025). In the two-speed operating model, agile teams are given complete permission to experiment in building internal tools and discovering new ideas while a stage-gated, documentation-focused path is used for regulated clinical deployments. </w:t>
      </w:r>
    </w:p>
    <w:p w14:paraId="2C50470B" w14:textId="460C6F61" w:rsidR="76F07C6B" w:rsidRDefault="76F07C6B" w:rsidP="719598A3">
      <w:pPr>
        <w:spacing w:after="160"/>
        <w:rPr>
          <w:rFonts w:eastAsia="Arial" w:cs="Arial"/>
          <w:szCs w:val="24"/>
        </w:rPr>
      </w:pPr>
      <w:r>
        <w:rPr>
          <w:rFonts w:eastAsia="Arial"/>
        </w:rPr>
        <w:t>Hybrid working has gone beyond the pandemic: Evidence from the US survey indicates that hybrid working has remained stable since the pandemic (Barrero, Bloom and Davis, 2021; 2023); cross-country data also bear this out (Aksoy et al., 2022). In a Chinese field experiment, productivity benefits were found for working remotely by 13 per cent (Bloom et al., 2015) — but in routine, individual call centre roles where lessons are easily drawn from other contexts. Firm-wide data revealed that Microsoft's remote working efforts led to more siloed and static collaboration networks, characterized by fewer cross-team connecting strands (Yang et al., 2022) — exactly what an AI company relies on. Mentoring and boundary management also suffer from a reduction in quality when working from home (Ipsen et al., 2021; Wang et al., 2021). Blanket flexibility (Choudhury, Foroughi and Larson, 2021) is an outlier in comparison to the structured hybrid, where two days a week are dedicated to cross-team, mentoring and innovation activity. Autonomy is not based on the loss of shared time, but on the attainment of outcomes and method of attainment (Deci and Ryan, 2000).</w:t>
      </w:r>
    </w:p>
    <w:p w14:paraId="1EC23B67" w14:textId="32E78024" w:rsidR="76F07C6B" w:rsidRDefault="76F07C6B" w:rsidP="719598A3">
      <w:pPr>
        <w:spacing w:after="160"/>
        <w:rPr>
          <w:rFonts w:eastAsia="Arial" w:cs="Arial"/>
          <w:szCs w:val="24"/>
        </w:rPr>
      </w:pPr>
      <w:r>
        <w:rPr>
          <w:rFonts w:eastAsia="Arial"/>
        </w:rPr>
        <w:t xml:space="preserve">Having a footprint in three countries creates a higher Coordination Cost: Time Zones will be an issue since they change the day of the week, and Hierarchy expectations can affect whether employees challenge decisions or not. The national dimensions of Hofstede (2001) should raise questions about </w:t>
      </w:r>
      <w:proofErr w:type="gramStart"/>
      <w:r>
        <w:rPr>
          <w:rFonts w:eastAsia="Arial"/>
        </w:rPr>
        <w:t>voice, but</w:t>
      </w:r>
      <w:proofErr w:type="gramEnd"/>
      <w:r>
        <w:rPr>
          <w:rFonts w:eastAsia="Arial"/>
        </w:rPr>
        <w:t xml:space="preserve"> not be interpreted as descriptions of individuals: team norms should be evaluated directly by NHSX. There is also a tendency to follow the sun development and support, to resilience across markets and opportunity for three talent markets in geography (Choudhury, Foroughi and Larson, 2020). </w:t>
      </w:r>
    </w:p>
    <w:p w14:paraId="1C6DA00F" w14:textId="38BA9DE6" w:rsidR="76F07C6B" w:rsidRDefault="76F07C6B" w:rsidP="719598A3">
      <w:pPr>
        <w:spacing w:after="160"/>
        <w:rPr>
          <w:rFonts w:eastAsia="Arial" w:cs="Arial"/>
          <w:szCs w:val="24"/>
        </w:rPr>
      </w:pPr>
      <w:r>
        <w:rPr>
          <w:rFonts w:eastAsia="Arial"/>
        </w:rPr>
        <w:t>Three ongoing tensions that need to be managed by NHSX are autonomy and support for motivation (Deci and Ryan, 2000); flexibility and the sharing of knowledge (Yang et al., 2022); and agile speed and regulatory requirements.</w:t>
      </w:r>
    </w:p>
    <w:p w14:paraId="49695802" w14:textId="77777777" w:rsidR="005E4EA6" w:rsidRDefault="719598A3">
      <w:pPr>
        <w:pStyle w:val="Heading2"/>
      </w:pPr>
      <w:bookmarkStart w:id="4" w:name="_Toc762310572"/>
      <w:r>
        <w:lastRenderedPageBreak/>
        <w:t>Recommended Innovative Working Practices for NHSX</w:t>
      </w:r>
      <w:bookmarkEnd w:id="4"/>
    </w:p>
    <w:p w14:paraId="775A8E64" w14:textId="77777777" w:rsidR="005E4EA6" w:rsidRDefault="00000000">
      <w:pPr>
        <w:keepNext/>
      </w:pPr>
      <w:r>
        <w:rPr>
          <w:rFonts w:eastAsia="Arial"/>
          <w:b/>
        </w:rPr>
        <w:t>Table 1: Recommended working-practice design for NHSX</w:t>
      </w:r>
    </w:p>
    <w:tbl>
      <w:tblPr>
        <w:tblStyle w:val="TableGrid"/>
        <w:tblW w:w="0" w:type="auto"/>
        <w:jc w:val="center"/>
        <w:tblLayout w:type="fixed"/>
        <w:tblLook w:val="04A0" w:firstRow="1" w:lastRow="0" w:firstColumn="1" w:lastColumn="0" w:noHBand="0" w:noVBand="1"/>
      </w:tblPr>
      <w:tblGrid>
        <w:gridCol w:w="2088"/>
        <w:gridCol w:w="4680"/>
        <w:gridCol w:w="2232"/>
      </w:tblGrid>
      <w:tr w:rsidR="007D7EF4" w14:paraId="2085CF20" w14:textId="77777777" w:rsidTr="00A344FD">
        <w:trPr>
          <w:cantSplit/>
          <w:tblHeader/>
          <w:jc w:val="center"/>
        </w:trPr>
        <w:tc>
          <w:tcPr>
            <w:tcW w:w="2088" w:type="dxa"/>
            <w:shd w:val="clear" w:color="auto" w:fill="17324D"/>
            <w:tcMar>
              <w:top w:w="80" w:type="dxa"/>
              <w:left w:w="90" w:type="dxa"/>
              <w:bottom w:w="80" w:type="dxa"/>
              <w:right w:w="90" w:type="dxa"/>
            </w:tcMar>
            <w:vAlign w:val="center"/>
          </w:tcPr>
          <w:p w14:paraId="68159753" w14:textId="77777777" w:rsidR="007D7EF4" w:rsidRDefault="007D7EF4" w:rsidP="007D7EF4">
            <w:pPr>
              <w:spacing w:after="0" w:line="240" w:lineRule="auto"/>
            </w:pPr>
            <w:r>
              <w:rPr>
                <w:rFonts w:eastAsia="Arial"/>
                <w:b/>
                <w:color w:val="FFFFFF"/>
              </w:rPr>
              <w:t>Design element</w:t>
            </w:r>
          </w:p>
        </w:tc>
        <w:tc>
          <w:tcPr>
            <w:tcW w:w="4680" w:type="dxa"/>
            <w:shd w:val="clear" w:color="auto" w:fill="17324D"/>
            <w:tcMar>
              <w:top w:w="80" w:type="dxa"/>
              <w:left w:w="90" w:type="dxa"/>
              <w:bottom w:w="80" w:type="dxa"/>
              <w:right w:w="90" w:type="dxa"/>
            </w:tcMar>
          </w:tcPr>
          <w:p w14:paraId="1F5B34E1" w14:textId="538F32F8" w:rsidR="007D7EF4" w:rsidRDefault="007D7EF4" w:rsidP="007D7EF4">
            <w:pPr>
              <w:spacing w:after="0" w:line="240" w:lineRule="auto"/>
            </w:pPr>
            <w:r w:rsidRPr="006673BD">
              <w:t>NHSX design choice</w:t>
            </w:r>
          </w:p>
        </w:tc>
        <w:tc>
          <w:tcPr>
            <w:tcW w:w="2232" w:type="dxa"/>
            <w:shd w:val="clear" w:color="auto" w:fill="17324D"/>
            <w:tcMar>
              <w:top w:w="80" w:type="dxa"/>
              <w:left w:w="90" w:type="dxa"/>
              <w:bottom w:w="80" w:type="dxa"/>
              <w:right w:w="90" w:type="dxa"/>
            </w:tcMar>
            <w:vAlign w:val="center"/>
          </w:tcPr>
          <w:p w14:paraId="09085A88" w14:textId="77777777" w:rsidR="007D7EF4" w:rsidRDefault="007D7EF4" w:rsidP="007D7EF4">
            <w:pPr>
              <w:spacing w:after="0" w:line="240" w:lineRule="auto"/>
            </w:pPr>
            <w:r>
              <w:rPr>
                <w:rFonts w:eastAsia="Arial"/>
                <w:b/>
                <w:color w:val="FFFFFF"/>
              </w:rPr>
              <w:t>Theoretical justification</w:t>
            </w:r>
          </w:p>
        </w:tc>
      </w:tr>
      <w:tr w:rsidR="007D7EF4" w14:paraId="56ED25CB" w14:textId="77777777" w:rsidTr="00A344FD">
        <w:trPr>
          <w:cantSplit/>
          <w:jc w:val="center"/>
        </w:trPr>
        <w:tc>
          <w:tcPr>
            <w:tcW w:w="2088" w:type="dxa"/>
            <w:tcMar>
              <w:top w:w="80" w:type="dxa"/>
              <w:left w:w="90" w:type="dxa"/>
              <w:bottom w:w="80" w:type="dxa"/>
              <w:right w:w="90" w:type="dxa"/>
            </w:tcMar>
            <w:vAlign w:val="center"/>
          </w:tcPr>
          <w:p w14:paraId="4867CF8C" w14:textId="77777777" w:rsidR="007D7EF4" w:rsidRDefault="007D7EF4" w:rsidP="007D7EF4">
            <w:pPr>
              <w:spacing w:after="0" w:line="240" w:lineRule="auto"/>
            </w:pPr>
            <w:r>
              <w:rPr>
                <w:rFonts w:eastAsia="Arial"/>
                <w:color w:val="253746"/>
              </w:rPr>
              <w:t>Cross-functional squads</w:t>
            </w:r>
          </w:p>
        </w:tc>
        <w:tc>
          <w:tcPr>
            <w:tcW w:w="4680" w:type="dxa"/>
            <w:tcMar>
              <w:top w:w="80" w:type="dxa"/>
              <w:left w:w="90" w:type="dxa"/>
              <w:bottom w:w="80" w:type="dxa"/>
              <w:right w:w="90" w:type="dxa"/>
            </w:tcMar>
          </w:tcPr>
          <w:p w14:paraId="51920E4B" w14:textId="0D08BA43" w:rsidR="007D7EF4" w:rsidRDefault="007D7EF4" w:rsidP="007D7EF4">
            <w:pPr>
              <w:spacing w:after="0" w:line="240" w:lineRule="auto"/>
            </w:pPr>
            <w:r w:rsidRPr="006673BD">
              <w:t xml:space="preserve">Integrate AI‚ software‚ clinical and data </w:t>
            </w:r>
            <w:proofErr w:type="spellStart"/>
            <w:r w:rsidRPr="006673BD">
              <w:t>roles</w:t>
            </w:r>
            <w:proofErr w:type="spellEnd"/>
            <w:r w:rsidRPr="006673BD">
              <w:t xml:space="preserve"> around shared objectives and regular end-user engagement</w:t>
            </w:r>
            <w:r w:rsidRPr="006673BD">
              <w:rPr>
                <w:rFonts w:ascii="MS Gothic" w:eastAsia="MS Gothic" w:hAnsi="MS Gothic" w:cs="MS Gothic" w:hint="eastAsia"/>
              </w:rPr>
              <w:t>․</w:t>
            </w:r>
          </w:p>
        </w:tc>
        <w:tc>
          <w:tcPr>
            <w:tcW w:w="2232" w:type="dxa"/>
            <w:tcMar>
              <w:top w:w="80" w:type="dxa"/>
              <w:left w:w="90" w:type="dxa"/>
              <w:bottom w:w="80" w:type="dxa"/>
              <w:right w:w="90" w:type="dxa"/>
            </w:tcMar>
            <w:vAlign w:val="center"/>
          </w:tcPr>
          <w:p w14:paraId="6B3B2451" w14:textId="77777777" w:rsidR="007D7EF4" w:rsidRDefault="007D7EF4" w:rsidP="007D7EF4">
            <w:pPr>
              <w:spacing w:after="0" w:line="240" w:lineRule="auto"/>
            </w:pPr>
            <w:r>
              <w:rPr>
                <w:rFonts w:eastAsia="Arial"/>
                <w:color w:val="253746"/>
              </w:rPr>
              <w:t>HIWS and sociotechnical design.</w:t>
            </w:r>
          </w:p>
        </w:tc>
      </w:tr>
      <w:tr w:rsidR="007D7EF4" w14:paraId="3FC49685" w14:textId="77777777" w:rsidTr="00A344FD">
        <w:trPr>
          <w:cantSplit/>
          <w:jc w:val="center"/>
        </w:trPr>
        <w:tc>
          <w:tcPr>
            <w:tcW w:w="2088" w:type="dxa"/>
            <w:shd w:val="clear" w:color="auto" w:fill="F2F6F8"/>
            <w:tcMar>
              <w:top w:w="80" w:type="dxa"/>
              <w:left w:w="90" w:type="dxa"/>
              <w:bottom w:w="80" w:type="dxa"/>
              <w:right w:w="90" w:type="dxa"/>
            </w:tcMar>
            <w:vAlign w:val="center"/>
          </w:tcPr>
          <w:p w14:paraId="62CFCC03" w14:textId="77777777" w:rsidR="007D7EF4" w:rsidRDefault="007D7EF4" w:rsidP="007D7EF4">
            <w:pPr>
              <w:spacing w:after="0" w:line="240" w:lineRule="auto"/>
            </w:pPr>
            <w:r>
              <w:rPr>
                <w:rFonts w:eastAsia="Arial"/>
                <w:color w:val="253746"/>
              </w:rPr>
              <w:t>Hybrid and global coordination</w:t>
            </w:r>
          </w:p>
        </w:tc>
        <w:tc>
          <w:tcPr>
            <w:tcW w:w="4680" w:type="dxa"/>
            <w:shd w:val="clear" w:color="auto" w:fill="F2F6F8"/>
            <w:tcMar>
              <w:top w:w="80" w:type="dxa"/>
              <w:left w:w="90" w:type="dxa"/>
              <w:bottom w:w="80" w:type="dxa"/>
              <w:right w:w="90" w:type="dxa"/>
            </w:tcMar>
          </w:tcPr>
          <w:p w14:paraId="58D2852D" w14:textId="47D95D61" w:rsidR="007D7EF4" w:rsidRDefault="007D7EF4" w:rsidP="007D7EF4">
            <w:pPr>
              <w:spacing w:after="0" w:line="240" w:lineRule="auto"/>
            </w:pPr>
            <w:r w:rsidRPr="006673BD">
              <w:t>Use anchor time for mentoring relationships; rotate core time in the UK‚ India‚ and UAE</w:t>
            </w:r>
            <w:r w:rsidRPr="006673BD">
              <w:rPr>
                <w:rFonts w:ascii="MS Gothic" w:eastAsia="MS Gothic" w:hAnsi="MS Gothic" w:cs="MS Gothic" w:hint="eastAsia"/>
              </w:rPr>
              <w:t>․</w:t>
            </w:r>
          </w:p>
        </w:tc>
        <w:tc>
          <w:tcPr>
            <w:tcW w:w="2232" w:type="dxa"/>
            <w:shd w:val="clear" w:color="auto" w:fill="F2F6F8"/>
            <w:tcMar>
              <w:top w:w="80" w:type="dxa"/>
              <w:left w:w="90" w:type="dxa"/>
              <w:bottom w:w="80" w:type="dxa"/>
              <w:right w:w="90" w:type="dxa"/>
            </w:tcMar>
            <w:vAlign w:val="center"/>
          </w:tcPr>
          <w:p w14:paraId="1F4BF361" w14:textId="77777777" w:rsidR="007D7EF4" w:rsidRDefault="007D7EF4" w:rsidP="007D7EF4">
            <w:pPr>
              <w:spacing w:after="0" w:line="240" w:lineRule="auto"/>
            </w:pPr>
            <w:r>
              <w:rPr>
                <w:rFonts w:eastAsia="Arial"/>
                <w:color w:val="253746"/>
              </w:rPr>
              <w:t>Coordination and cross-team ties (Yang et al., 2022).</w:t>
            </w:r>
          </w:p>
        </w:tc>
      </w:tr>
      <w:tr w:rsidR="007D7EF4" w14:paraId="3AD5A1CB" w14:textId="77777777" w:rsidTr="00A344FD">
        <w:trPr>
          <w:cantSplit/>
          <w:jc w:val="center"/>
        </w:trPr>
        <w:tc>
          <w:tcPr>
            <w:tcW w:w="2088" w:type="dxa"/>
            <w:tcMar>
              <w:top w:w="80" w:type="dxa"/>
              <w:left w:w="90" w:type="dxa"/>
              <w:bottom w:w="80" w:type="dxa"/>
              <w:right w:w="90" w:type="dxa"/>
            </w:tcMar>
            <w:vAlign w:val="center"/>
          </w:tcPr>
          <w:p w14:paraId="73CF54B0" w14:textId="77777777" w:rsidR="007D7EF4" w:rsidRDefault="007D7EF4" w:rsidP="007D7EF4">
            <w:pPr>
              <w:spacing w:after="0" w:line="240" w:lineRule="auto"/>
            </w:pPr>
            <w:r>
              <w:rPr>
                <w:rFonts w:eastAsia="Arial"/>
                <w:color w:val="253746"/>
              </w:rPr>
              <w:t>Autonomy and safety charters</w:t>
            </w:r>
          </w:p>
        </w:tc>
        <w:tc>
          <w:tcPr>
            <w:tcW w:w="4680" w:type="dxa"/>
            <w:tcMar>
              <w:top w:w="80" w:type="dxa"/>
              <w:left w:w="90" w:type="dxa"/>
              <w:bottom w:w="80" w:type="dxa"/>
              <w:right w:w="90" w:type="dxa"/>
            </w:tcMar>
          </w:tcPr>
          <w:p w14:paraId="73F0E51C" w14:textId="4B442A39" w:rsidR="007D7EF4" w:rsidRDefault="007D7EF4" w:rsidP="007D7EF4">
            <w:pPr>
              <w:spacing w:after="0" w:line="240" w:lineRule="auto"/>
            </w:pPr>
            <w:r w:rsidRPr="006673BD">
              <w:t>Set common goals for teams; allow employees to decide how to achieve those goals; give employees the right to pause unsafe work</w:t>
            </w:r>
            <w:r w:rsidRPr="006673BD">
              <w:rPr>
                <w:rFonts w:ascii="MS Gothic" w:eastAsia="MS Gothic" w:hAnsi="MS Gothic" w:cs="MS Gothic" w:hint="eastAsia"/>
              </w:rPr>
              <w:t>․</w:t>
            </w:r>
          </w:p>
        </w:tc>
        <w:tc>
          <w:tcPr>
            <w:tcW w:w="2232" w:type="dxa"/>
            <w:tcMar>
              <w:top w:w="80" w:type="dxa"/>
              <w:left w:w="90" w:type="dxa"/>
              <w:bottom w:w="80" w:type="dxa"/>
              <w:right w:w="90" w:type="dxa"/>
            </w:tcMar>
            <w:vAlign w:val="center"/>
          </w:tcPr>
          <w:p w14:paraId="7B926911" w14:textId="77777777" w:rsidR="007D7EF4" w:rsidRDefault="007D7EF4" w:rsidP="007D7EF4">
            <w:pPr>
              <w:spacing w:after="0" w:line="240" w:lineRule="auto"/>
            </w:pPr>
            <w:r>
              <w:rPr>
                <w:rFonts w:eastAsia="Arial"/>
                <w:color w:val="253746"/>
              </w:rPr>
              <w:t>Cherns (1976); Deci and Ryan (2000).</w:t>
            </w:r>
          </w:p>
        </w:tc>
      </w:tr>
      <w:tr w:rsidR="007D7EF4" w14:paraId="3865796B" w14:textId="77777777" w:rsidTr="00A344FD">
        <w:trPr>
          <w:cantSplit/>
          <w:jc w:val="center"/>
        </w:trPr>
        <w:tc>
          <w:tcPr>
            <w:tcW w:w="2088" w:type="dxa"/>
            <w:shd w:val="clear" w:color="auto" w:fill="F2F6F8"/>
            <w:tcMar>
              <w:top w:w="80" w:type="dxa"/>
              <w:left w:w="90" w:type="dxa"/>
              <w:bottom w:w="80" w:type="dxa"/>
              <w:right w:w="90" w:type="dxa"/>
            </w:tcMar>
            <w:vAlign w:val="center"/>
          </w:tcPr>
          <w:p w14:paraId="30ACC2E3" w14:textId="77777777" w:rsidR="007D7EF4" w:rsidRDefault="007D7EF4" w:rsidP="007D7EF4">
            <w:pPr>
              <w:spacing w:after="0" w:line="240" w:lineRule="auto"/>
            </w:pPr>
            <w:r>
              <w:rPr>
                <w:rFonts w:eastAsia="Arial"/>
                <w:color w:val="253746"/>
              </w:rPr>
              <w:t>Agile delivery</w:t>
            </w:r>
          </w:p>
        </w:tc>
        <w:tc>
          <w:tcPr>
            <w:tcW w:w="4680" w:type="dxa"/>
            <w:shd w:val="clear" w:color="auto" w:fill="F2F6F8"/>
            <w:tcMar>
              <w:top w:w="80" w:type="dxa"/>
              <w:left w:w="90" w:type="dxa"/>
              <w:bottom w:w="80" w:type="dxa"/>
              <w:right w:w="90" w:type="dxa"/>
            </w:tcMar>
          </w:tcPr>
          <w:p w14:paraId="6EBD45A5" w14:textId="5EBF2C1E" w:rsidR="007D7EF4" w:rsidRDefault="007D7EF4" w:rsidP="007D7EF4">
            <w:pPr>
              <w:spacing w:after="0" w:line="240" w:lineRule="auto"/>
            </w:pPr>
            <w:r w:rsidRPr="006673BD">
              <w:t>Employ iterative research and review strategies at decision points to help prepare for clinical applications</w:t>
            </w:r>
            <w:r w:rsidRPr="006673BD">
              <w:rPr>
                <w:rFonts w:ascii="MS Gothic" w:eastAsia="MS Gothic" w:hAnsi="MS Gothic" w:cs="MS Gothic" w:hint="eastAsia"/>
              </w:rPr>
              <w:t>․</w:t>
            </w:r>
          </w:p>
        </w:tc>
        <w:tc>
          <w:tcPr>
            <w:tcW w:w="2232" w:type="dxa"/>
            <w:shd w:val="clear" w:color="auto" w:fill="F2F6F8"/>
            <w:tcMar>
              <w:top w:w="80" w:type="dxa"/>
              <w:left w:w="90" w:type="dxa"/>
              <w:bottom w:w="80" w:type="dxa"/>
              <w:right w:w="90" w:type="dxa"/>
            </w:tcMar>
            <w:vAlign w:val="center"/>
          </w:tcPr>
          <w:p w14:paraId="6E25BA35" w14:textId="77777777" w:rsidR="007D7EF4" w:rsidRDefault="007D7EF4" w:rsidP="007D7EF4">
            <w:pPr>
              <w:spacing w:after="0" w:line="240" w:lineRule="auto"/>
            </w:pPr>
            <w:r>
              <w:rPr>
                <w:rFonts w:eastAsia="Arial"/>
                <w:color w:val="253746"/>
              </w:rPr>
              <w:t>Rigby et al. (2016).</w:t>
            </w:r>
          </w:p>
        </w:tc>
      </w:tr>
      <w:tr w:rsidR="007D7EF4" w14:paraId="2F5448FA" w14:textId="77777777" w:rsidTr="00A344FD">
        <w:trPr>
          <w:cantSplit/>
          <w:jc w:val="center"/>
        </w:trPr>
        <w:tc>
          <w:tcPr>
            <w:tcW w:w="2088" w:type="dxa"/>
            <w:tcMar>
              <w:top w:w="80" w:type="dxa"/>
              <w:left w:w="90" w:type="dxa"/>
              <w:bottom w:w="80" w:type="dxa"/>
              <w:right w:w="90" w:type="dxa"/>
            </w:tcMar>
            <w:vAlign w:val="center"/>
          </w:tcPr>
          <w:p w14:paraId="27EFC295" w14:textId="77777777" w:rsidR="007D7EF4" w:rsidRDefault="007D7EF4" w:rsidP="007D7EF4">
            <w:pPr>
              <w:spacing w:after="0" w:line="240" w:lineRule="auto"/>
            </w:pPr>
            <w:r>
              <w:rPr>
                <w:rFonts w:eastAsia="Arial"/>
                <w:color w:val="253746"/>
              </w:rPr>
              <w:t>Digital collaboration</w:t>
            </w:r>
          </w:p>
        </w:tc>
        <w:tc>
          <w:tcPr>
            <w:tcW w:w="4680" w:type="dxa"/>
            <w:tcMar>
              <w:top w:w="80" w:type="dxa"/>
              <w:left w:w="90" w:type="dxa"/>
              <w:bottom w:w="80" w:type="dxa"/>
              <w:right w:w="90" w:type="dxa"/>
            </w:tcMar>
          </w:tcPr>
          <w:p w14:paraId="34089743" w14:textId="628B40C2" w:rsidR="007D7EF4" w:rsidRDefault="007D7EF4" w:rsidP="007D7EF4">
            <w:pPr>
              <w:spacing w:after="0" w:line="240" w:lineRule="auto"/>
            </w:pPr>
            <w:r w:rsidRPr="006673BD">
              <w:t>Use secure collaborative workspaces and tools‚ searchable information about past decisions‚ asynchronous communication methods‚ and other privacy safeguards</w:t>
            </w:r>
            <w:r w:rsidRPr="006673BD">
              <w:rPr>
                <w:rFonts w:ascii="MS Gothic" w:eastAsia="MS Gothic" w:hAnsi="MS Gothic" w:cs="MS Gothic" w:hint="eastAsia"/>
              </w:rPr>
              <w:t>․</w:t>
            </w:r>
          </w:p>
        </w:tc>
        <w:tc>
          <w:tcPr>
            <w:tcW w:w="2232" w:type="dxa"/>
            <w:tcMar>
              <w:top w:w="80" w:type="dxa"/>
              <w:left w:w="90" w:type="dxa"/>
              <w:bottom w:w="80" w:type="dxa"/>
              <w:right w:w="90" w:type="dxa"/>
            </w:tcMar>
            <w:vAlign w:val="center"/>
          </w:tcPr>
          <w:p w14:paraId="489FA39B" w14:textId="77777777" w:rsidR="007D7EF4" w:rsidRDefault="007D7EF4" w:rsidP="007D7EF4">
            <w:pPr>
              <w:spacing w:after="0" w:line="240" w:lineRule="auto"/>
            </w:pPr>
            <w:r>
              <w:rPr>
                <w:rFonts w:eastAsia="Arial"/>
                <w:color w:val="253746"/>
              </w:rPr>
              <w:t>Sociotechnical design (Cherns, 1976).</w:t>
            </w:r>
          </w:p>
        </w:tc>
      </w:tr>
      <w:tr w:rsidR="007D7EF4" w14:paraId="75E98D04" w14:textId="77777777" w:rsidTr="00A344FD">
        <w:trPr>
          <w:cantSplit/>
          <w:jc w:val="center"/>
        </w:trPr>
        <w:tc>
          <w:tcPr>
            <w:tcW w:w="2088" w:type="dxa"/>
            <w:shd w:val="clear" w:color="auto" w:fill="F2F6F8"/>
            <w:tcMar>
              <w:top w:w="80" w:type="dxa"/>
              <w:left w:w="90" w:type="dxa"/>
              <w:bottom w:w="80" w:type="dxa"/>
              <w:right w:w="90" w:type="dxa"/>
            </w:tcMar>
            <w:vAlign w:val="center"/>
          </w:tcPr>
          <w:p w14:paraId="4F80663A" w14:textId="77777777" w:rsidR="007D7EF4" w:rsidRDefault="007D7EF4" w:rsidP="007D7EF4">
            <w:pPr>
              <w:spacing w:after="0" w:line="240" w:lineRule="auto"/>
            </w:pPr>
            <w:r>
              <w:rPr>
                <w:rFonts w:eastAsia="Arial"/>
                <w:color w:val="253746"/>
              </w:rPr>
              <w:t>HR systems and performance</w:t>
            </w:r>
          </w:p>
        </w:tc>
        <w:tc>
          <w:tcPr>
            <w:tcW w:w="4680" w:type="dxa"/>
            <w:shd w:val="clear" w:color="auto" w:fill="F2F6F8"/>
            <w:tcMar>
              <w:top w:w="80" w:type="dxa"/>
              <w:left w:w="90" w:type="dxa"/>
              <w:bottom w:w="80" w:type="dxa"/>
              <w:right w:w="90" w:type="dxa"/>
            </w:tcMar>
          </w:tcPr>
          <w:p w14:paraId="0BDE9CE2" w14:textId="209D6957" w:rsidR="007D7EF4" w:rsidRDefault="007D7EF4" w:rsidP="007D7EF4">
            <w:pPr>
              <w:spacing w:after="0" w:line="240" w:lineRule="auto"/>
            </w:pPr>
            <w:r w:rsidRPr="006673BD">
              <w:t>Customize employee training programs‚ employee feedback mechanisms‚ group incentives‚ and other health and wellness programs for NHSX</w:t>
            </w:r>
            <w:r w:rsidRPr="006673BD">
              <w:rPr>
                <w:rFonts w:ascii="MS Gothic" w:eastAsia="MS Gothic" w:hAnsi="MS Gothic" w:cs="MS Gothic" w:hint="eastAsia"/>
              </w:rPr>
              <w:t>․</w:t>
            </w:r>
          </w:p>
        </w:tc>
        <w:tc>
          <w:tcPr>
            <w:tcW w:w="2232" w:type="dxa"/>
            <w:shd w:val="clear" w:color="auto" w:fill="F2F6F8"/>
            <w:tcMar>
              <w:top w:w="80" w:type="dxa"/>
              <w:left w:w="90" w:type="dxa"/>
              <w:bottom w:w="80" w:type="dxa"/>
              <w:right w:w="90" w:type="dxa"/>
            </w:tcMar>
            <w:vAlign w:val="center"/>
          </w:tcPr>
          <w:p w14:paraId="76354D76" w14:textId="77777777" w:rsidR="007D7EF4" w:rsidRDefault="007D7EF4" w:rsidP="007D7EF4">
            <w:pPr>
              <w:spacing w:after="0" w:line="240" w:lineRule="auto"/>
            </w:pPr>
            <w:r>
              <w:rPr>
                <w:rFonts w:eastAsia="Arial"/>
                <w:color w:val="253746"/>
              </w:rPr>
              <w:t>HPWS best fit (Appelbaum et al., 2000; Boxall and Purcell, 2016).</w:t>
            </w:r>
          </w:p>
        </w:tc>
      </w:tr>
    </w:tbl>
    <w:p w14:paraId="1BD3DAE6" w14:textId="77777777" w:rsidR="005E4EA6" w:rsidRDefault="00000000">
      <w:pPr>
        <w:keepLines/>
        <w:jc w:val="center"/>
      </w:pPr>
      <w:r>
        <w:rPr>
          <w:noProof/>
        </w:rPr>
        <w:lastRenderedPageBreak/>
        <w:drawing>
          <wp:inline distT="0" distB="0" distL="0" distR="0" wp14:anchorId="515A9BA4" wp14:editId="07777777">
            <wp:extent cx="5715000" cy="3189767"/>
            <wp:effectExtent l="0" t="0" r="0" b="0"/>
            <wp:docPr id="3" name="Picture 3" descr="A central sociotechnical design principle linked to autonomy, hybrid work, cross-functional collaboration, agile clinical delivery, global coordination and digital collaboration." title="NHSX organisational design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hsx_organisational_framework_corrected.png"/>
                    <pic:cNvPicPr/>
                  </pic:nvPicPr>
                  <pic:blipFill>
                    <a:blip r:embed="rId9"/>
                    <a:stretch>
                      <a:fillRect/>
                    </a:stretch>
                  </pic:blipFill>
                  <pic:spPr>
                    <a:xfrm>
                      <a:off x="0" y="0"/>
                      <a:ext cx="5715000" cy="3189767"/>
                    </a:xfrm>
                    <a:prstGeom prst="rect">
                      <a:avLst/>
                    </a:prstGeom>
                  </pic:spPr>
                </pic:pic>
              </a:graphicData>
            </a:graphic>
          </wp:inline>
        </w:drawing>
      </w:r>
    </w:p>
    <w:p w14:paraId="29817A8E" w14:textId="77777777" w:rsidR="005E4EA6" w:rsidRDefault="00000000">
      <w:pPr>
        <w:pStyle w:val="Caption"/>
        <w:keepNext/>
      </w:pPr>
      <w:r>
        <w:t>Figure 1. NHSX organisational design framework</w:t>
      </w:r>
    </w:p>
    <w:p w14:paraId="67475A9F" w14:textId="77777777" w:rsidR="005E4EA6" w:rsidRDefault="719598A3">
      <w:r w:rsidRPr="719598A3">
        <w:rPr>
          <w:rFonts w:eastAsia="Arial"/>
          <w:szCs w:val="24"/>
        </w:rPr>
        <w:t>Source: Generated with Gemini and corrected for duplicated content; recommendations informed by Trist and Bamforth (1951), Cherns (1976, 1987), Rigby et al. (2016) and Yang et al. (2022).</w:t>
      </w:r>
    </w:p>
    <w:p w14:paraId="376C7914" w14:textId="0D919B38" w:rsidR="005E4EA6" w:rsidRDefault="157EF203" w:rsidP="719598A3">
      <w:pPr>
        <w:rPr>
          <w:rFonts w:eastAsia="Arial"/>
          <w:szCs w:val="24"/>
        </w:rPr>
      </w:pPr>
      <w:r w:rsidRPr="719598A3">
        <w:rPr>
          <w:rFonts w:eastAsia="Arial" w:cs="Arial"/>
          <w:szCs w:val="24"/>
        </w:rPr>
        <w:t xml:space="preserve">Overall, NHSX should not bring forward a working model but design it: sociotechnical joint optimisation as the frame; HPWS as part of a regulated context; a two-speed delivery model; the explicit mechanisms for its international footprint. </w:t>
      </w:r>
    </w:p>
    <w:p w14:paraId="576DBCA5" w14:textId="77777777" w:rsidR="005E4EA6" w:rsidRDefault="719598A3">
      <w:pPr>
        <w:pStyle w:val="Heading1"/>
        <w:pageBreakBefore/>
      </w:pPr>
      <w:bookmarkStart w:id="5" w:name="_Toc1383573987"/>
      <w:r>
        <w:lastRenderedPageBreak/>
        <w:t>Task B: Breeding an Environment Where Talent May Grow</w:t>
      </w:r>
      <w:bookmarkEnd w:id="5"/>
    </w:p>
    <w:p w14:paraId="27EAF19D" w14:textId="72146733" w:rsidR="53565ED5" w:rsidRDefault="53565ED5" w:rsidP="719598A3">
      <w:pPr>
        <w:rPr>
          <w:rFonts w:eastAsia="Arial" w:cs="Arial"/>
          <w:szCs w:val="24"/>
        </w:rPr>
      </w:pPr>
      <w:r w:rsidRPr="719598A3">
        <w:rPr>
          <w:rFonts w:eastAsia="Arial" w:cs="Arial"/>
          <w:szCs w:val="24"/>
        </w:rPr>
        <w:t>NHSX's lamented turnover is associated with low career progression and training. This renders talent development a strategic issue of capability and not a stand-alone HR metric. The strategy is based on the principle that talent is a whole ecosystem – psychological safety fosters experimentation; experimentation drives organisational learning; and employees see their development visually when it leads to a career within NHSX (Edmondson, 1999; Senge, 1990).</w:t>
      </w:r>
    </w:p>
    <w:p w14:paraId="7B43EE8C" w14:textId="77777777" w:rsidR="005E4EA6" w:rsidRDefault="719598A3" w:rsidP="719598A3">
      <w:pPr>
        <w:pStyle w:val="Heading2"/>
        <w:rPr>
          <w:sz w:val="24"/>
          <w:szCs w:val="24"/>
        </w:rPr>
      </w:pPr>
      <w:bookmarkStart w:id="6" w:name="_Toc1168862759"/>
      <w:r w:rsidRPr="719598A3">
        <w:rPr>
          <w:sz w:val="24"/>
          <w:szCs w:val="24"/>
        </w:rPr>
        <w:t>Critical Evaluation of Talent Development Approaches</w:t>
      </w:r>
      <w:bookmarkEnd w:id="6"/>
    </w:p>
    <w:p w14:paraId="78235AE1" w14:textId="738FFF88" w:rsidR="3CF7D712" w:rsidRDefault="3CF7D712" w:rsidP="719598A3">
      <w:pPr>
        <w:spacing w:after="160"/>
        <w:rPr>
          <w:rFonts w:eastAsia="Arial" w:cs="Arial"/>
          <w:szCs w:val="24"/>
        </w:rPr>
      </w:pPr>
      <w:r>
        <w:rPr>
          <w:rFonts w:eastAsia="Arial"/>
        </w:rPr>
        <w:t xml:space="preserve">Edmondson (1999) demonstrated that teams learn when team members feel they are OK to make mistakes and seek assistance. Psychological safety is also cited as a factor of team effectiveness (Rozovsky, 2015), albeit as an organisational case, and not as causal evidence. The two nuances that are relevant to NHSX are: safety is about work, not comfort; and it is a team climate created through practices of framing, inquiry and responses to failure, rather than being an individual characteristic or a survey score (Edmondson and Bransby, 2023). NHSX should embed a culture of blameless post-mortems following algorithm incidents – senior leaders should model this by admitting to errors first. This transforms the clinical caution into structured learning, allowing safety and regulation to support and not stifle innovation. The five disciplines provided by Senge (1990) provide an architecture for a learning organisation: personal mastery, mental models, shared vision, team learning and systems thinking. NHSX must call to Senge and then provide him with concrete mechanisms: protected learning time specifically identified and allocated in delivery plans; communities of practice across the UK, India and the UAE; and post-incident reviews and the creation of a searchable knowledge base with owners' names. </w:t>
      </w:r>
    </w:p>
    <w:p w14:paraId="7F626AD6" w14:textId="77777777" w:rsidR="3CF7D712" w:rsidRDefault="3CF7D712" w:rsidP="719598A3">
      <w:pPr>
        <w:spacing w:after="160"/>
        <w:rPr>
          <w:rFonts w:eastAsia="Arial" w:cs="Arial"/>
          <w:szCs w:val="24"/>
        </w:rPr>
      </w:pPr>
      <w:r>
        <w:rPr>
          <w:rFonts w:eastAsia="Arial"/>
        </w:rPr>
        <w:t>The growth mindset, in line with Dweck (2006), seems apposite for a rapidly growing AI company. A large-scale national experiment, however, did find significant but context-specific gains, especially for students who started out with lower performance levels and in supportive school environments (Yeager et al., 2019); it does not support the notion that the effects of mindset messaging are consistently found in all settings and for all students.</w:t>
      </w:r>
    </w:p>
    <w:p w14:paraId="7DA992BE" w14:textId="77777777" w:rsidR="3CF7D712" w:rsidRDefault="3CF7D712" w:rsidP="719598A3">
      <w:pPr>
        <w:spacing w:after="160"/>
        <w:rPr>
          <w:rFonts w:eastAsia="Arial" w:cs="Arial"/>
          <w:szCs w:val="24"/>
        </w:rPr>
      </w:pPr>
      <w:r>
        <w:rPr>
          <w:rFonts w:eastAsia="Arial"/>
        </w:rPr>
        <w:t xml:space="preserve">NHSX needs to incorporate learning into their recruitment process including learning agility, feedback that views mistakes as learning opportunities, and challenging projects across the </w:t>
      </w:r>
      <w:r>
        <w:rPr>
          <w:rFonts w:eastAsia="Arial"/>
        </w:rPr>
        <w:lastRenderedPageBreak/>
        <w:t>three locations, not just in isolation in workshops. The concept of strategic talent management is defined as identifying strategic jobs and investing in them differently (Collings and Mellahi, 2009). The orthodox 'war for talent' model focuses on a star elite (Michaels, Handfield-Jones and Axelrod, 2001), but fails to motivate the majority, creates resentment for others to keep them on board, and value lies not in a single star, but in a network of stars (Gallardo-Gallardo, Thunnissen and Scullion, 2020) in innovation work. I think NHSX should implement inclusive talent management: an internal talent marketplace which promotes projects to fill externally, sideways career moves as well as ladders, and cross-border mentoring of UK clinical/AI specialists with engineers working in India and the UAE to answer directly why high performers left, and in effect turning the retention problem into a development asset.</w:t>
      </w:r>
    </w:p>
    <w:p w14:paraId="6D6F7EBA" w14:textId="77777777" w:rsidR="005E4EA6" w:rsidRDefault="719598A3">
      <w:pPr>
        <w:pStyle w:val="Heading2"/>
      </w:pPr>
      <w:bookmarkStart w:id="7" w:name="_Toc2102692977"/>
      <w:r>
        <w:t>Strategic Talent Growth Strategy for NHSX</w:t>
      </w:r>
      <w:bookmarkEnd w:id="7"/>
    </w:p>
    <w:p w14:paraId="42690CAB" w14:textId="77777777" w:rsidR="00A56808" w:rsidRPr="00A56808" w:rsidRDefault="00A56808" w:rsidP="00A56808">
      <w:pPr>
        <w:spacing w:after="160"/>
        <w:rPr>
          <w:rFonts w:eastAsia="Arial"/>
        </w:rPr>
      </w:pPr>
      <w:r w:rsidRPr="00A56808">
        <w:rPr>
          <w:rFonts w:eastAsia="Arial"/>
        </w:rPr>
        <w:t>Job crafting (Tims and Bakker‚ 2010) refers to strategies that employees use to increase job engagement and prevent burnout</w:t>
      </w:r>
      <w:r w:rsidRPr="00A56808">
        <w:rPr>
          <w:rFonts w:ascii="MS Gothic" w:eastAsia="MS Gothic" w:hAnsi="MS Gothic" w:cs="MS Gothic" w:hint="eastAsia"/>
        </w:rPr>
        <w:t>․</w:t>
      </w:r>
      <w:r w:rsidRPr="00A56808">
        <w:rPr>
          <w:rFonts w:eastAsia="Arial"/>
        </w:rPr>
        <w:t xml:space="preserve"> These strategies align with other psychological theories of job satisfaction based on autonomy‚ mastery‚ and relatedness (Deci and Ryan‚ 2000)</w:t>
      </w:r>
      <w:r w:rsidRPr="00A56808">
        <w:rPr>
          <w:rFonts w:ascii="MS Gothic" w:eastAsia="MS Gothic" w:hAnsi="MS Gothic" w:cs="MS Gothic" w:hint="eastAsia"/>
        </w:rPr>
        <w:t>․</w:t>
      </w:r>
      <w:r w:rsidRPr="00A56808">
        <w:rPr>
          <w:rFonts w:eastAsia="Arial"/>
        </w:rPr>
        <w:t xml:space="preserve"> Measures such as quarterly job-crafting workshops and other programs to improve staff morale and the work environment (Morgan‚ 2017) can help NHSX link system-level initiatives to employee satisfaction and demonstrate commitment to authentic employer branding</w:t>
      </w:r>
      <w:r w:rsidRPr="00A56808">
        <w:rPr>
          <w:rFonts w:ascii="MS Gothic" w:eastAsia="MS Gothic" w:hAnsi="MS Gothic" w:cs="MS Gothic" w:hint="eastAsia"/>
        </w:rPr>
        <w:t>․</w:t>
      </w:r>
    </w:p>
    <w:p w14:paraId="65D96586" w14:textId="77777777" w:rsidR="00A56808" w:rsidRDefault="00A56808" w:rsidP="00A56808">
      <w:pPr>
        <w:spacing w:after="160"/>
        <w:rPr>
          <w:rFonts w:ascii="MS Gothic" w:eastAsia="MS Gothic" w:hAnsi="MS Gothic" w:cs="MS Gothic"/>
        </w:rPr>
      </w:pPr>
      <w:r w:rsidRPr="00A56808">
        <w:rPr>
          <w:rFonts w:eastAsia="Arial"/>
        </w:rPr>
        <w:t xml:space="preserve">But a disadvantage of flextime is higher‚ not lower‚ job demands and constant availability‚ leading to other forms of turnover problems‚ including an inability to work effectively with employees in other countries‚ including India and the United Arab Emirates‚ who need to be available to work at night (Kelliher and Anderson‚ </w:t>
      </w:r>
      <w:proofErr w:type="gramStart"/>
      <w:r w:rsidRPr="00A56808">
        <w:rPr>
          <w:rFonts w:eastAsia="Arial"/>
        </w:rPr>
        <w:t>2010)</w:t>
      </w:r>
      <w:r w:rsidRPr="00A56808">
        <w:rPr>
          <w:rFonts w:ascii="MS Gothic" w:eastAsia="MS Gothic" w:hAnsi="MS Gothic" w:cs="MS Gothic" w:hint="eastAsia"/>
        </w:rPr>
        <w:t>․</w:t>
      </w:r>
      <w:proofErr w:type="gramEnd"/>
    </w:p>
    <w:p w14:paraId="21149955" w14:textId="54D40BE6" w:rsidR="005E4EA6" w:rsidRDefault="00000000" w:rsidP="00A56808">
      <w:pPr>
        <w:spacing w:after="160"/>
        <w:rPr>
          <w:rFonts w:eastAsia="Arial" w:cs="Arial"/>
          <w:szCs w:val="24"/>
        </w:rPr>
      </w:pPr>
      <w:r>
        <w:rPr>
          <w:rFonts w:eastAsia="Arial"/>
        </w:rPr>
        <w:t xml:space="preserve">The judgement is to create sustainability: norms of right-to-disconnect, rotating meeting times, monitoring workload, and leaders who set limits. </w:t>
      </w:r>
    </w:p>
    <w:p w14:paraId="2E4B0701" w14:textId="77777777" w:rsidR="005E4EA6" w:rsidRDefault="00000000" w:rsidP="719598A3">
      <w:pPr>
        <w:spacing w:after="160"/>
        <w:rPr>
          <w:rFonts w:eastAsia="Arial" w:cs="Arial"/>
          <w:szCs w:val="24"/>
        </w:rPr>
      </w:pPr>
      <w:r>
        <w:rPr>
          <w:rFonts w:eastAsia="Arial"/>
        </w:rPr>
        <w:t xml:space="preserve">The ecosystem needs to be monitored with a limited number of human-capital indicators that are reviewed on a quarterly basis: Rate of retention in critical AI positions, percentage of internal hires filling positions (the internal job marketplace must be able to attract a significant percentage of candidates before hiring from outside), cross-border mentoring participation, and pulse scores of psychological safety per team. These measures are </w:t>
      </w:r>
      <w:r>
        <w:rPr>
          <w:rFonts w:eastAsia="Arial"/>
        </w:rPr>
        <w:lastRenderedPageBreak/>
        <w:t xml:space="preserve">designed to create a link between talent strategy and organisational strategy as Collings and Mellahi (2009) have called </w:t>
      </w:r>
      <w:proofErr w:type="gramStart"/>
      <w:r>
        <w:rPr>
          <w:rFonts w:eastAsia="Arial"/>
        </w:rPr>
        <w:t>for, and</w:t>
      </w:r>
      <w:proofErr w:type="gramEnd"/>
      <w:r>
        <w:rPr>
          <w:rFonts w:eastAsia="Arial"/>
        </w:rPr>
        <w:t xml:space="preserve"> will bring early warning to NHSX when the environment is fostering talent in name only.</w:t>
      </w:r>
    </w:p>
    <w:p w14:paraId="0F5882E3" w14:textId="77777777" w:rsidR="005E4EA6" w:rsidRDefault="00000000">
      <w:pPr>
        <w:keepNext/>
      </w:pPr>
      <w:r>
        <w:rPr>
          <w:rFonts w:eastAsia="Arial"/>
          <w:b/>
        </w:rPr>
        <w:t>Table 2: NHSX talent-growth ecosystem</w:t>
      </w:r>
    </w:p>
    <w:tbl>
      <w:tblPr>
        <w:tblStyle w:val="TableGrid"/>
        <w:tblW w:w="0" w:type="auto"/>
        <w:jc w:val="center"/>
        <w:tblLayout w:type="fixed"/>
        <w:tblLook w:val="04A0" w:firstRow="1" w:lastRow="0" w:firstColumn="1" w:lastColumn="0" w:noHBand="0" w:noVBand="1"/>
      </w:tblPr>
      <w:tblGrid>
        <w:gridCol w:w="1944"/>
        <w:gridCol w:w="4320"/>
        <w:gridCol w:w="2736"/>
      </w:tblGrid>
      <w:tr w:rsidR="005E4EA6" w14:paraId="48627E31" w14:textId="77777777">
        <w:trPr>
          <w:cantSplit/>
          <w:tblHeader/>
          <w:jc w:val="center"/>
        </w:trPr>
        <w:tc>
          <w:tcPr>
            <w:tcW w:w="1944" w:type="dxa"/>
            <w:shd w:val="clear" w:color="auto" w:fill="17324D"/>
            <w:tcMar>
              <w:top w:w="90" w:type="dxa"/>
              <w:left w:w="100" w:type="dxa"/>
              <w:bottom w:w="90" w:type="dxa"/>
              <w:right w:w="100" w:type="dxa"/>
            </w:tcMar>
            <w:vAlign w:val="center"/>
          </w:tcPr>
          <w:p w14:paraId="51A209EB" w14:textId="77777777" w:rsidR="005E4EA6" w:rsidRDefault="00000000">
            <w:pPr>
              <w:spacing w:after="0" w:line="240" w:lineRule="auto"/>
            </w:pPr>
            <w:r>
              <w:rPr>
                <w:rFonts w:eastAsia="Arial"/>
                <w:b/>
                <w:color w:val="FFFFFF"/>
              </w:rPr>
              <w:t>Ecosystem element</w:t>
            </w:r>
          </w:p>
        </w:tc>
        <w:tc>
          <w:tcPr>
            <w:tcW w:w="4320" w:type="dxa"/>
            <w:shd w:val="clear" w:color="auto" w:fill="17324D"/>
            <w:tcMar>
              <w:top w:w="90" w:type="dxa"/>
              <w:left w:w="100" w:type="dxa"/>
              <w:bottom w:w="90" w:type="dxa"/>
              <w:right w:w="100" w:type="dxa"/>
            </w:tcMar>
            <w:vAlign w:val="center"/>
          </w:tcPr>
          <w:p w14:paraId="506352D6" w14:textId="77777777" w:rsidR="005E4EA6" w:rsidRDefault="00000000">
            <w:pPr>
              <w:spacing w:after="0" w:line="240" w:lineRule="auto"/>
            </w:pPr>
            <w:r>
              <w:rPr>
                <w:rFonts w:eastAsia="Arial"/>
                <w:b/>
                <w:color w:val="FFFFFF"/>
              </w:rPr>
              <w:t>NHSX design</w:t>
            </w:r>
          </w:p>
        </w:tc>
        <w:tc>
          <w:tcPr>
            <w:tcW w:w="2736" w:type="dxa"/>
            <w:shd w:val="clear" w:color="auto" w:fill="17324D"/>
            <w:tcMar>
              <w:top w:w="90" w:type="dxa"/>
              <w:left w:w="100" w:type="dxa"/>
              <w:bottom w:w="90" w:type="dxa"/>
              <w:right w:w="100" w:type="dxa"/>
            </w:tcMar>
            <w:vAlign w:val="center"/>
          </w:tcPr>
          <w:p w14:paraId="0D6DCD1D" w14:textId="77777777" w:rsidR="005E4EA6" w:rsidRDefault="00000000">
            <w:pPr>
              <w:spacing w:after="0" w:line="240" w:lineRule="auto"/>
            </w:pPr>
            <w:r>
              <w:rPr>
                <w:rFonts w:eastAsia="Arial"/>
                <w:b/>
                <w:color w:val="FFFFFF"/>
              </w:rPr>
              <w:t>Justification and link</w:t>
            </w:r>
          </w:p>
        </w:tc>
      </w:tr>
      <w:tr w:rsidR="00481488" w14:paraId="6AFA8C91" w14:textId="77777777" w:rsidTr="00001875">
        <w:trPr>
          <w:cantSplit/>
          <w:jc w:val="center"/>
        </w:trPr>
        <w:tc>
          <w:tcPr>
            <w:tcW w:w="1944" w:type="dxa"/>
            <w:tcMar>
              <w:top w:w="90" w:type="dxa"/>
              <w:left w:w="100" w:type="dxa"/>
              <w:bottom w:w="90" w:type="dxa"/>
              <w:right w:w="100" w:type="dxa"/>
            </w:tcMar>
            <w:vAlign w:val="center"/>
          </w:tcPr>
          <w:p w14:paraId="05900189" w14:textId="77777777" w:rsidR="00481488" w:rsidRDefault="00481488" w:rsidP="00481488">
            <w:pPr>
              <w:spacing w:after="0" w:line="240" w:lineRule="auto"/>
            </w:pPr>
            <w:r>
              <w:rPr>
                <w:rFonts w:eastAsia="Arial"/>
                <w:color w:val="253746"/>
              </w:rPr>
              <w:t>Base layer: psychological safety</w:t>
            </w:r>
          </w:p>
        </w:tc>
        <w:tc>
          <w:tcPr>
            <w:tcW w:w="4320" w:type="dxa"/>
            <w:tcMar>
              <w:top w:w="90" w:type="dxa"/>
              <w:left w:w="100" w:type="dxa"/>
              <w:bottom w:w="90" w:type="dxa"/>
              <w:right w:w="100" w:type="dxa"/>
            </w:tcMar>
          </w:tcPr>
          <w:p w14:paraId="00978F2F" w14:textId="1081F67A" w:rsidR="00481488" w:rsidRDefault="00481488" w:rsidP="00481488">
            <w:pPr>
              <w:spacing w:after="0" w:line="240" w:lineRule="auto"/>
            </w:pPr>
            <w:r w:rsidRPr="0094030B">
              <w:t>No-blame postmortems; leaders model vulnerability</w:t>
            </w:r>
            <w:r w:rsidRPr="0094030B">
              <w:rPr>
                <w:rFonts w:ascii="MS Gothic" w:eastAsia="MS Gothic" w:hAnsi="MS Gothic" w:cs="MS Gothic" w:hint="eastAsia"/>
              </w:rPr>
              <w:t>․</w:t>
            </w:r>
          </w:p>
        </w:tc>
        <w:tc>
          <w:tcPr>
            <w:tcW w:w="2736" w:type="dxa"/>
            <w:tcMar>
              <w:top w:w="90" w:type="dxa"/>
              <w:left w:w="100" w:type="dxa"/>
              <w:bottom w:w="90" w:type="dxa"/>
              <w:right w:w="100" w:type="dxa"/>
            </w:tcMar>
            <w:vAlign w:val="center"/>
          </w:tcPr>
          <w:p w14:paraId="515CAA35" w14:textId="77777777" w:rsidR="00481488" w:rsidRDefault="00481488" w:rsidP="00481488">
            <w:pPr>
              <w:spacing w:after="0" w:line="240" w:lineRule="auto"/>
            </w:pPr>
            <w:r>
              <w:rPr>
                <w:rFonts w:eastAsia="Arial"/>
                <w:color w:val="253746"/>
              </w:rPr>
              <w:t>Safety enables learning behaviour (Edmondson, 1999)</w:t>
            </w:r>
          </w:p>
        </w:tc>
      </w:tr>
      <w:tr w:rsidR="00481488" w14:paraId="7EDC32BA" w14:textId="77777777" w:rsidTr="00001875">
        <w:trPr>
          <w:cantSplit/>
          <w:jc w:val="center"/>
        </w:trPr>
        <w:tc>
          <w:tcPr>
            <w:tcW w:w="1944" w:type="dxa"/>
            <w:shd w:val="clear" w:color="auto" w:fill="F2F6F8"/>
            <w:tcMar>
              <w:top w:w="90" w:type="dxa"/>
              <w:left w:w="100" w:type="dxa"/>
              <w:bottom w:w="90" w:type="dxa"/>
              <w:right w:w="100" w:type="dxa"/>
            </w:tcMar>
            <w:vAlign w:val="center"/>
          </w:tcPr>
          <w:p w14:paraId="28EF8FC3" w14:textId="77777777" w:rsidR="00481488" w:rsidRDefault="00481488" w:rsidP="00481488">
            <w:pPr>
              <w:spacing w:after="0" w:line="240" w:lineRule="auto"/>
            </w:pPr>
            <w:r>
              <w:rPr>
                <w:rFonts w:eastAsia="Arial"/>
                <w:color w:val="253746"/>
              </w:rPr>
              <w:t>Learning organisation</w:t>
            </w:r>
          </w:p>
        </w:tc>
        <w:tc>
          <w:tcPr>
            <w:tcW w:w="4320" w:type="dxa"/>
            <w:shd w:val="clear" w:color="auto" w:fill="F2F6F8"/>
            <w:tcMar>
              <w:top w:w="90" w:type="dxa"/>
              <w:left w:w="100" w:type="dxa"/>
              <w:bottom w:w="90" w:type="dxa"/>
              <w:right w:w="100" w:type="dxa"/>
            </w:tcMar>
          </w:tcPr>
          <w:p w14:paraId="096AF3B3" w14:textId="0167F802" w:rsidR="00481488" w:rsidRDefault="00481488" w:rsidP="00481488">
            <w:pPr>
              <w:spacing w:after="0" w:line="240" w:lineRule="auto"/>
            </w:pPr>
            <w:r w:rsidRPr="0094030B">
              <w:t>Ten per cent learning time; cross-border communities of practice; shared knowledge base</w:t>
            </w:r>
          </w:p>
        </w:tc>
        <w:tc>
          <w:tcPr>
            <w:tcW w:w="2736" w:type="dxa"/>
            <w:shd w:val="clear" w:color="auto" w:fill="F2F6F8"/>
            <w:tcMar>
              <w:top w:w="90" w:type="dxa"/>
              <w:left w:w="100" w:type="dxa"/>
              <w:bottom w:w="90" w:type="dxa"/>
              <w:right w:w="100" w:type="dxa"/>
            </w:tcMar>
            <w:vAlign w:val="center"/>
          </w:tcPr>
          <w:p w14:paraId="6713D4EB" w14:textId="77777777" w:rsidR="00481488" w:rsidRDefault="00481488" w:rsidP="00481488">
            <w:pPr>
              <w:spacing w:after="0" w:line="240" w:lineRule="auto"/>
            </w:pPr>
            <w:r>
              <w:rPr>
                <w:rFonts w:eastAsia="Arial"/>
                <w:color w:val="253746"/>
              </w:rPr>
              <w:t>Senge made concrete (Senge, 1990)</w:t>
            </w:r>
          </w:p>
        </w:tc>
      </w:tr>
      <w:tr w:rsidR="00481488" w14:paraId="43D5D12B" w14:textId="77777777" w:rsidTr="00001875">
        <w:trPr>
          <w:cantSplit/>
          <w:jc w:val="center"/>
        </w:trPr>
        <w:tc>
          <w:tcPr>
            <w:tcW w:w="1944" w:type="dxa"/>
            <w:tcMar>
              <w:top w:w="90" w:type="dxa"/>
              <w:left w:w="100" w:type="dxa"/>
              <w:bottom w:w="90" w:type="dxa"/>
              <w:right w:w="100" w:type="dxa"/>
            </w:tcMar>
            <w:vAlign w:val="center"/>
          </w:tcPr>
          <w:p w14:paraId="60931755" w14:textId="77777777" w:rsidR="00481488" w:rsidRDefault="00481488" w:rsidP="00481488">
            <w:pPr>
              <w:spacing w:after="0" w:line="240" w:lineRule="auto"/>
            </w:pPr>
            <w:r>
              <w:rPr>
                <w:rFonts w:eastAsia="Arial"/>
                <w:color w:val="253746"/>
              </w:rPr>
              <w:t>Careers</w:t>
            </w:r>
          </w:p>
        </w:tc>
        <w:tc>
          <w:tcPr>
            <w:tcW w:w="4320" w:type="dxa"/>
            <w:tcMar>
              <w:top w:w="90" w:type="dxa"/>
              <w:left w:w="100" w:type="dxa"/>
              <w:bottom w:w="90" w:type="dxa"/>
              <w:right w:w="100" w:type="dxa"/>
            </w:tcMar>
          </w:tcPr>
          <w:p w14:paraId="05F30B33" w14:textId="43813DCD" w:rsidR="00481488" w:rsidRDefault="00481488" w:rsidP="00481488">
            <w:pPr>
              <w:spacing w:after="0" w:line="240" w:lineRule="auto"/>
            </w:pPr>
            <w:r w:rsidRPr="0094030B">
              <w:t>Internal job postings; career network; mentoring opportunities in the UK‚ India‚ and UAE</w:t>
            </w:r>
          </w:p>
        </w:tc>
        <w:tc>
          <w:tcPr>
            <w:tcW w:w="2736" w:type="dxa"/>
            <w:tcMar>
              <w:top w:w="90" w:type="dxa"/>
              <w:left w:w="100" w:type="dxa"/>
              <w:bottom w:w="90" w:type="dxa"/>
              <w:right w:w="100" w:type="dxa"/>
            </w:tcMar>
            <w:vAlign w:val="center"/>
          </w:tcPr>
          <w:p w14:paraId="5801458B" w14:textId="77777777" w:rsidR="00481488" w:rsidRDefault="00481488" w:rsidP="00481488">
            <w:pPr>
              <w:spacing w:after="0" w:line="240" w:lineRule="auto"/>
            </w:pPr>
            <w:r>
              <w:rPr>
                <w:rFonts w:eastAsia="Arial"/>
                <w:color w:val="253746"/>
              </w:rPr>
              <w:t>Inclusive TM (Collings and Mellahi, 2009; Gallardo-Gallardo et al., 2020)</w:t>
            </w:r>
          </w:p>
        </w:tc>
      </w:tr>
      <w:tr w:rsidR="00481488" w14:paraId="511C379A" w14:textId="77777777" w:rsidTr="00001875">
        <w:trPr>
          <w:cantSplit/>
          <w:jc w:val="center"/>
        </w:trPr>
        <w:tc>
          <w:tcPr>
            <w:tcW w:w="1944" w:type="dxa"/>
            <w:shd w:val="clear" w:color="auto" w:fill="F2F6F8"/>
            <w:tcMar>
              <w:top w:w="90" w:type="dxa"/>
              <w:left w:w="100" w:type="dxa"/>
              <w:bottom w:w="90" w:type="dxa"/>
              <w:right w:w="100" w:type="dxa"/>
            </w:tcMar>
            <w:vAlign w:val="center"/>
          </w:tcPr>
          <w:p w14:paraId="7CC63922" w14:textId="77777777" w:rsidR="00481488" w:rsidRDefault="00481488" w:rsidP="00481488">
            <w:pPr>
              <w:spacing w:after="0" w:line="240" w:lineRule="auto"/>
            </w:pPr>
            <w:r>
              <w:rPr>
                <w:rFonts w:eastAsia="Arial"/>
                <w:color w:val="253746"/>
              </w:rPr>
              <w:t>Motivation</w:t>
            </w:r>
          </w:p>
        </w:tc>
        <w:tc>
          <w:tcPr>
            <w:tcW w:w="4320" w:type="dxa"/>
            <w:shd w:val="clear" w:color="auto" w:fill="F2F6F8"/>
            <w:tcMar>
              <w:top w:w="90" w:type="dxa"/>
              <w:left w:w="100" w:type="dxa"/>
              <w:bottom w:w="90" w:type="dxa"/>
              <w:right w:w="100" w:type="dxa"/>
            </w:tcMar>
          </w:tcPr>
          <w:p w14:paraId="5B8AB760" w14:textId="614CB47D" w:rsidR="00481488" w:rsidRDefault="00481488" w:rsidP="00481488">
            <w:pPr>
              <w:spacing w:after="0" w:line="240" w:lineRule="auto"/>
            </w:pPr>
            <w:r w:rsidRPr="0094030B">
              <w:t>Job-crafting meetings; independent work with performance goals</w:t>
            </w:r>
          </w:p>
        </w:tc>
        <w:tc>
          <w:tcPr>
            <w:tcW w:w="2736" w:type="dxa"/>
            <w:shd w:val="clear" w:color="auto" w:fill="F2F6F8"/>
            <w:tcMar>
              <w:top w:w="90" w:type="dxa"/>
              <w:left w:w="100" w:type="dxa"/>
              <w:bottom w:w="90" w:type="dxa"/>
              <w:right w:w="100" w:type="dxa"/>
            </w:tcMar>
            <w:vAlign w:val="center"/>
          </w:tcPr>
          <w:p w14:paraId="73A9B89C" w14:textId="77777777" w:rsidR="00481488" w:rsidRDefault="00481488" w:rsidP="00481488">
            <w:pPr>
              <w:spacing w:after="0" w:line="240" w:lineRule="auto"/>
            </w:pPr>
            <w:r>
              <w:rPr>
                <w:rFonts w:eastAsia="Arial"/>
                <w:color w:val="253746"/>
              </w:rPr>
              <w:t>SDT and job crafting (Deci and Ryan, 2000; Tims and Bakker, 2010)</w:t>
            </w:r>
          </w:p>
        </w:tc>
      </w:tr>
      <w:tr w:rsidR="00481488" w14:paraId="4E92904D" w14:textId="77777777" w:rsidTr="00001875">
        <w:trPr>
          <w:cantSplit/>
          <w:jc w:val="center"/>
        </w:trPr>
        <w:tc>
          <w:tcPr>
            <w:tcW w:w="1944" w:type="dxa"/>
            <w:tcMar>
              <w:top w:w="90" w:type="dxa"/>
              <w:left w:w="100" w:type="dxa"/>
              <w:bottom w:w="90" w:type="dxa"/>
              <w:right w:w="100" w:type="dxa"/>
            </w:tcMar>
            <w:vAlign w:val="center"/>
          </w:tcPr>
          <w:p w14:paraId="428DDD3F" w14:textId="77777777" w:rsidR="00481488" w:rsidRDefault="00481488" w:rsidP="00481488">
            <w:pPr>
              <w:spacing w:after="0" w:line="240" w:lineRule="auto"/>
            </w:pPr>
            <w:r>
              <w:rPr>
                <w:rFonts w:eastAsia="Arial"/>
                <w:color w:val="253746"/>
              </w:rPr>
              <w:t>Sustainability</w:t>
            </w:r>
          </w:p>
        </w:tc>
        <w:tc>
          <w:tcPr>
            <w:tcW w:w="4320" w:type="dxa"/>
            <w:tcMar>
              <w:top w:w="90" w:type="dxa"/>
              <w:left w:w="100" w:type="dxa"/>
              <w:bottom w:w="90" w:type="dxa"/>
              <w:right w:w="100" w:type="dxa"/>
            </w:tcMar>
          </w:tcPr>
          <w:p w14:paraId="576D8C9B" w14:textId="783DD8BF" w:rsidR="00481488" w:rsidRDefault="00481488" w:rsidP="00481488">
            <w:pPr>
              <w:spacing w:after="0" w:line="240" w:lineRule="auto"/>
            </w:pPr>
            <w:r w:rsidRPr="0094030B">
              <w:t>Right to disconnect policies and practices; rotating core hours; policies to assess and manage workload</w:t>
            </w:r>
          </w:p>
        </w:tc>
        <w:tc>
          <w:tcPr>
            <w:tcW w:w="2736" w:type="dxa"/>
            <w:tcMar>
              <w:top w:w="90" w:type="dxa"/>
              <w:left w:w="100" w:type="dxa"/>
              <w:bottom w:w="90" w:type="dxa"/>
              <w:right w:w="100" w:type="dxa"/>
            </w:tcMar>
            <w:vAlign w:val="center"/>
          </w:tcPr>
          <w:p w14:paraId="20B80488" w14:textId="77777777" w:rsidR="00481488" w:rsidRDefault="00481488" w:rsidP="00481488">
            <w:pPr>
              <w:spacing w:after="0" w:line="240" w:lineRule="auto"/>
            </w:pPr>
            <w:r>
              <w:rPr>
                <w:rFonts w:eastAsia="Arial"/>
                <w:color w:val="253746"/>
              </w:rPr>
              <w:t>Preventing intensification (Kelliher and Anderson, 2010)</w:t>
            </w:r>
          </w:p>
        </w:tc>
      </w:tr>
      <w:tr w:rsidR="00481488" w14:paraId="087C46BD" w14:textId="77777777" w:rsidTr="00001875">
        <w:trPr>
          <w:cantSplit/>
          <w:jc w:val="center"/>
        </w:trPr>
        <w:tc>
          <w:tcPr>
            <w:tcW w:w="1944" w:type="dxa"/>
            <w:shd w:val="clear" w:color="auto" w:fill="F2F6F8"/>
            <w:tcMar>
              <w:top w:w="90" w:type="dxa"/>
              <w:left w:w="100" w:type="dxa"/>
              <w:bottom w:w="90" w:type="dxa"/>
              <w:right w:w="100" w:type="dxa"/>
            </w:tcMar>
            <w:vAlign w:val="center"/>
          </w:tcPr>
          <w:p w14:paraId="67B6AAF8" w14:textId="77777777" w:rsidR="00481488" w:rsidRDefault="00481488" w:rsidP="00481488">
            <w:pPr>
              <w:spacing w:after="0" w:line="240" w:lineRule="auto"/>
            </w:pPr>
            <w:r>
              <w:rPr>
                <w:rFonts w:eastAsia="Arial"/>
                <w:color w:val="253746"/>
              </w:rPr>
              <w:t>Selection and development</w:t>
            </w:r>
          </w:p>
        </w:tc>
        <w:tc>
          <w:tcPr>
            <w:tcW w:w="4320" w:type="dxa"/>
            <w:shd w:val="clear" w:color="auto" w:fill="F2F6F8"/>
            <w:tcMar>
              <w:top w:w="90" w:type="dxa"/>
              <w:left w:w="100" w:type="dxa"/>
              <w:bottom w:w="90" w:type="dxa"/>
              <w:right w:w="100" w:type="dxa"/>
            </w:tcMar>
          </w:tcPr>
          <w:p w14:paraId="65C9D37E" w14:textId="5E1CA209" w:rsidR="00481488" w:rsidRDefault="00481488" w:rsidP="00481488">
            <w:pPr>
              <w:spacing w:after="0" w:line="240" w:lineRule="auto"/>
            </w:pPr>
            <w:r w:rsidRPr="0094030B">
              <w:t>Hire for learning skills; assign challenging tasks and offer feedback</w:t>
            </w:r>
            <w:r w:rsidRPr="0094030B">
              <w:rPr>
                <w:rFonts w:ascii="MS Gothic" w:eastAsia="MS Gothic" w:hAnsi="MS Gothic" w:cs="MS Gothic" w:hint="eastAsia"/>
              </w:rPr>
              <w:t>․</w:t>
            </w:r>
          </w:p>
        </w:tc>
        <w:tc>
          <w:tcPr>
            <w:tcW w:w="2736" w:type="dxa"/>
            <w:shd w:val="clear" w:color="auto" w:fill="F2F6F8"/>
            <w:tcMar>
              <w:top w:w="90" w:type="dxa"/>
              <w:left w:w="100" w:type="dxa"/>
              <w:bottom w:w="90" w:type="dxa"/>
              <w:right w:w="100" w:type="dxa"/>
            </w:tcMar>
            <w:vAlign w:val="center"/>
          </w:tcPr>
          <w:p w14:paraId="0AC37C17" w14:textId="77777777" w:rsidR="00481488" w:rsidRDefault="00481488" w:rsidP="00481488">
            <w:pPr>
              <w:spacing w:after="0" w:line="240" w:lineRule="auto"/>
            </w:pPr>
            <w:r>
              <w:rPr>
                <w:rFonts w:eastAsia="Arial"/>
                <w:color w:val="253746"/>
              </w:rPr>
              <w:t>Mindset embedded in systems (Dweck, 2006; Yeager et al., 2019)</w:t>
            </w:r>
          </w:p>
        </w:tc>
      </w:tr>
    </w:tbl>
    <w:p w14:paraId="22B285F9" w14:textId="77777777" w:rsidR="005E4EA6" w:rsidRDefault="00000000">
      <w:pPr>
        <w:keepLines/>
        <w:jc w:val="center"/>
      </w:pPr>
      <w:r>
        <w:rPr>
          <w:noProof/>
        </w:rPr>
        <w:lastRenderedPageBreak/>
        <w:drawing>
          <wp:inline distT="0" distB="0" distL="0" distR="0" wp14:anchorId="4FC27860" wp14:editId="07777777">
            <wp:extent cx="5715000" cy="3189767"/>
            <wp:effectExtent l="0" t="0" r="0" b="0"/>
            <wp:docPr id="4" name="Picture 4" descr="A six-stage talent-growth cycle linking psychological safety, learning, career mobility, autonomy and job crafting, sustainable performance, and review." title="NHSX talent-growth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emini_Generated_Image_rj8t8brj8t8brj8t.png"/>
                    <pic:cNvPicPr/>
                  </pic:nvPicPr>
                  <pic:blipFill>
                    <a:blip r:embed="rId10"/>
                    <a:stretch>
                      <a:fillRect/>
                    </a:stretch>
                  </pic:blipFill>
                  <pic:spPr>
                    <a:xfrm>
                      <a:off x="0" y="0"/>
                      <a:ext cx="5715000" cy="3189767"/>
                    </a:xfrm>
                    <a:prstGeom prst="rect">
                      <a:avLst/>
                    </a:prstGeom>
                  </pic:spPr>
                </pic:pic>
              </a:graphicData>
            </a:graphic>
          </wp:inline>
        </w:drawing>
      </w:r>
    </w:p>
    <w:p w14:paraId="35CA559C" w14:textId="77777777" w:rsidR="005E4EA6" w:rsidRDefault="00000000">
      <w:pPr>
        <w:pStyle w:val="Caption"/>
        <w:keepNext/>
      </w:pPr>
      <w:r>
        <w:t>Figure 2. NHSX talent-growth cycle</w:t>
      </w:r>
    </w:p>
    <w:p w14:paraId="2E430555" w14:textId="77777777" w:rsidR="005E4EA6" w:rsidRDefault="00000000">
      <w:r>
        <w:rPr>
          <w:rFonts w:eastAsia="Arial"/>
        </w:rPr>
        <w:t>Source: Generated with Gemini; conceptual framework informed by Edmondson (1999), Senge (1990), Collings and Mellahi (2009), Deci and Ryan (2000), and Tims and Bakker (2010).</w:t>
      </w:r>
    </w:p>
    <w:p w14:paraId="5C30688A" w14:textId="77777777" w:rsidR="005E4EA6" w:rsidRDefault="719598A3">
      <w:pPr>
        <w:pStyle w:val="Heading2"/>
      </w:pPr>
      <w:bookmarkStart w:id="8" w:name="_Toc1420530158"/>
      <w:r>
        <w:t>Implementation and Evaluation</w:t>
      </w:r>
      <w:bookmarkEnd w:id="8"/>
    </w:p>
    <w:p w14:paraId="2BB76124" w14:textId="77777777" w:rsidR="005E4EA6" w:rsidRDefault="00000000">
      <w:pPr>
        <w:keepLines/>
        <w:jc w:val="center"/>
      </w:pPr>
      <w:r>
        <w:rPr>
          <w:noProof/>
        </w:rPr>
        <w:drawing>
          <wp:inline distT="0" distB="0" distL="0" distR="0" wp14:anchorId="2C99D564" wp14:editId="07777777">
            <wp:extent cx="5715000" cy="3189767"/>
            <wp:effectExtent l="0" t="0" r="0" b="0"/>
            <wp:docPr id="5" name="Picture 5" descr="Three proposed phases: diagnose and co-design, pilot and learn, and scale and review across the UK, India and UAE; includes quarterly workforce review measures." title="NHSX HR strategy implementation road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emini_Generated_Image_oj4tahoj4tahoj4t.png"/>
                    <pic:cNvPicPr/>
                  </pic:nvPicPr>
                  <pic:blipFill>
                    <a:blip r:embed="rId11"/>
                    <a:stretch>
                      <a:fillRect/>
                    </a:stretch>
                  </pic:blipFill>
                  <pic:spPr>
                    <a:xfrm>
                      <a:off x="0" y="0"/>
                      <a:ext cx="5715000" cy="3189767"/>
                    </a:xfrm>
                    <a:prstGeom prst="rect">
                      <a:avLst/>
                    </a:prstGeom>
                  </pic:spPr>
                </pic:pic>
              </a:graphicData>
            </a:graphic>
          </wp:inline>
        </w:drawing>
      </w:r>
    </w:p>
    <w:p w14:paraId="3516746D" w14:textId="77777777" w:rsidR="005E4EA6" w:rsidRDefault="00000000">
      <w:pPr>
        <w:pStyle w:val="Caption"/>
        <w:keepNext/>
      </w:pPr>
      <w:r>
        <w:rPr>
          <w:rFonts w:eastAsia="Arial"/>
          <w:color w:val="17324D"/>
          <w:sz w:val="20"/>
        </w:rPr>
        <w:lastRenderedPageBreak/>
        <w:t>Figure 3. Proposed NHSX HR strategy implementation roadmap</w:t>
      </w:r>
    </w:p>
    <w:p w14:paraId="397D44FA" w14:textId="77777777" w:rsidR="005E4EA6" w:rsidRDefault="00000000">
      <w:r>
        <w:rPr>
          <w:rFonts w:eastAsia="Arial"/>
          <w:color w:val="526575"/>
          <w:sz w:val="20"/>
        </w:rPr>
        <w:t>Source: Generated with Gemini; proposed phases based on the recommendations in Task B. The roadmap does not report actual NHSX results.</w:t>
      </w:r>
    </w:p>
    <w:p w14:paraId="15CBFA52" w14:textId="77777777" w:rsidR="005E4EA6" w:rsidRDefault="719598A3">
      <w:pPr>
        <w:pStyle w:val="Heading1"/>
        <w:pageBreakBefore/>
      </w:pPr>
      <w:bookmarkStart w:id="9" w:name="_Toc2073501528"/>
      <w:r>
        <w:lastRenderedPageBreak/>
        <w:t>Task C: Reflective Report</w:t>
      </w:r>
      <w:bookmarkEnd w:id="9"/>
    </w:p>
    <w:p w14:paraId="314C905F" w14:textId="77777777" w:rsidR="00481488" w:rsidRDefault="00481488" w:rsidP="00481488">
      <w:pPr>
        <w:pStyle w:val="Heading2"/>
      </w:pPr>
      <w:bookmarkStart w:id="10" w:name="_Toc1658923795"/>
      <w:r>
        <w:t>AI Applications in Decision Making and Planning in Human Resources Management</w:t>
      </w:r>
    </w:p>
    <w:p w14:paraId="06AA4249" w14:textId="77777777" w:rsidR="00481488" w:rsidRDefault="00481488" w:rsidP="00481488">
      <w:pPr>
        <w:rPr>
          <w:rFonts w:ascii="MS Gothic" w:eastAsia="MS Gothic" w:hAnsi="MS Gothic" w:cs="MS Gothic"/>
        </w:rPr>
      </w:pPr>
      <w:r>
        <w:t>AI tools can be used for workforce planning and other HR applications‚ such as detecting skills shortages and high worker attrition</w:t>
      </w:r>
      <w:r>
        <w:rPr>
          <w:rFonts w:ascii="MS Gothic" w:eastAsia="MS Gothic" w:hAnsi="MS Gothic" w:cs="MS Gothic" w:hint="eastAsia"/>
        </w:rPr>
        <w:t>․</w:t>
      </w:r>
      <w:r>
        <w:t xml:space="preserve"> Other workforce planning considerations using AI include data and decision-making access issues</w:t>
      </w:r>
      <w:r>
        <w:rPr>
          <w:rFonts w:ascii="MS Gothic" w:eastAsia="MS Gothic" w:hAnsi="MS Gothic" w:cs="MS Gothic" w:hint="eastAsia"/>
        </w:rPr>
        <w:t>․</w:t>
      </w:r>
      <w:r>
        <w:t xml:space="preserve"> Risks associated with lack of transparency about AI tools include hiring discrimination</w:t>
      </w:r>
      <w:r>
        <w:rPr>
          <w:rFonts w:ascii="MS Gothic" w:eastAsia="MS Gothic" w:hAnsi="MS Gothic" w:cs="MS Gothic" w:hint="eastAsia"/>
        </w:rPr>
        <w:t>․</w:t>
      </w:r>
      <w:r>
        <w:t xml:space="preserve"> Actions NHSX can take to address these issues include examining AI and other tools and processes and including human oversight (Tambe‚ Cappelli and Yakubovich‚ 2019; Raghavan et al</w:t>
      </w:r>
      <w:r>
        <w:rPr>
          <w:rFonts w:ascii="MS Gothic" w:eastAsia="MS Gothic" w:hAnsi="MS Gothic" w:cs="MS Gothic" w:hint="eastAsia"/>
        </w:rPr>
        <w:t>․</w:t>
      </w:r>
      <w:r>
        <w:t>‚ 2020)</w:t>
      </w:r>
      <w:r>
        <w:rPr>
          <w:rFonts w:ascii="MS Gothic" w:eastAsia="MS Gothic" w:hAnsi="MS Gothic" w:cs="MS Gothic" w:hint="eastAsia"/>
        </w:rPr>
        <w:t>․</w:t>
      </w:r>
      <w:r>
        <w:t xml:space="preserve"> Workers must be notified of and have recourse against decisions made using AI tools</w:t>
      </w:r>
      <w:r>
        <w:rPr>
          <w:rFonts w:ascii="MS Gothic" w:eastAsia="MS Gothic" w:hAnsi="MS Gothic" w:cs="MS Gothic" w:hint="eastAsia"/>
        </w:rPr>
        <w:t>․</w:t>
      </w:r>
    </w:p>
    <w:p w14:paraId="22F51EEC" w14:textId="10ED9CEF" w:rsidR="005E4EA6" w:rsidRDefault="719598A3" w:rsidP="00481488">
      <w:pPr>
        <w:pStyle w:val="Heading2"/>
      </w:pPr>
      <w:r>
        <w:t>Reflective Analysis of Three AI Uses</w:t>
      </w:r>
      <w:bookmarkEnd w:id="10"/>
    </w:p>
    <w:p w14:paraId="30B002C0" w14:textId="77777777" w:rsidR="12206721" w:rsidRDefault="12206721" w:rsidP="719598A3">
      <w:pPr>
        <w:spacing w:after="160"/>
        <w:rPr>
          <w:rFonts w:eastAsia="Arial" w:cs="Arial"/>
          <w:szCs w:val="24"/>
        </w:rPr>
      </w:pPr>
      <w:r>
        <w:rPr>
          <w:rFonts w:eastAsia="Arial"/>
        </w:rPr>
        <w:t>With the aid of Gibbs' (1988) cycle, I consider three uses of AI in my current role as an HR support and the ethical concerns raised by each of these applications, as well as the skills I need to acquire.</w:t>
      </w:r>
    </w:p>
    <w:p w14:paraId="6B66505F" w14:textId="77777777" w:rsidR="12206721" w:rsidRDefault="12206721" w:rsidP="719598A3">
      <w:pPr>
        <w:spacing w:after="160"/>
        <w:rPr>
          <w:rFonts w:eastAsia="Arial" w:cs="Arial"/>
          <w:szCs w:val="24"/>
        </w:rPr>
      </w:pPr>
      <w:r>
        <w:rPr>
          <w:rFonts w:eastAsia="Arial"/>
        </w:rPr>
        <w:t>Description.</w:t>
      </w:r>
    </w:p>
    <w:p w14:paraId="4F26376F" w14:textId="77777777" w:rsidR="12206721" w:rsidRDefault="12206721" w:rsidP="719598A3">
      <w:pPr>
        <w:spacing w:after="160"/>
        <w:rPr>
          <w:rFonts w:eastAsia="Arial" w:cs="Arial"/>
          <w:szCs w:val="24"/>
        </w:rPr>
      </w:pPr>
      <w:r>
        <w:rPr>
          <w:rFonts w:eastAsia="Arial"/>
        </w:rPr>
        <w:t>My experience with generative AI in the last 12 months was that I've used ChatGPT and Microsoft Copilot to draft job descriptions and person specifications, researching our hybrid-working policies, and creating a candidate FAQ Chatbot for our careers page. Initially, I appreciated the saved time of regular tasks. Later I realized there were inaccuracies and began to be more careful with outputs that weren't my own or that I didn't write. Feelings and evaluation.</w:t>
      </w:r>
    </w:p>
    <w:p w14:paraId="08297EF6" w14:textId="687E23C3" w:rsidR="12206721" w:rsidRDefault="12206721" w:rsidP="719598A3">
      <w:pPr>
        <w:spacing w:after="160"/>
        <w:rPr>
          <w:rFonts w:eastAsia="Arial" w:cs="Arial"/>
          <w:szCs w:val="24"/>
        </w:rPr>
      </w:pPr>
      <w:r>
        <w:rPr>
          <w:rFonts w:eastAsia="Arial"/>
        </w:rPr>
        <w:t>The AI was best with drafting, structuring and summarising – these provided good starting points but still required professional review. It was least in areas where there was a need for accuracy, context or fairness. Analysis.</w:t>
      </w:r>
    </w:p>
    <w:p w14:paraId="3AF84A7B" w14:textId="0587EA00" w:rsidR="12206721" w:rsidRDefault="12206721" w:rsidP="719598A3">
      <w:pPr>
        <w:spacing w:after="160"/>
        <w:rPr>
          <w:rFonts w:eastAsia="Arial" w:cs="Arial"/>
          <w:szCs w:val="24"/>
        </w:rPr>
      </w:pPr>
      <w:r>
        <w:rPr>
          <w:rFonts w:eastAsia="Arial"/>
        </w:rPr>
        <w:t xml:space="preserve">The first ones: job descriptions - AI generated well-structured and legally compliant drafts in a matter of </w:t>
      </w:r>
      <w:proofErr w:type="gramStart"/>
      <w:r>
        <w:rPr>
          <w:rFonts w:eastAsia="Arial"/>
        </w:rPr>
        <w:t>minutes, but</w:t>
      </w:r>
      <w:proofErr w:type="gramEnd"/>
      <w:r>
        <w:rPr>
          <w:rFonts w:eastAsia="Arial"/>
        </w:rPr>
        <w:t xml:space="preserve"> reverted to phrases that carried with it age and gender bias like 'digital native' and 'energetic self-starter'. Each AI draft is subjected to an inclusive-language audit and, if unedited, it would fail to meet our own inclusion standards. Secondly, policy research: the tool could not only summarise the hybrid working evidence fluently, but it also </w:t>
      </w:r>
      <w:r>
        <w:rPr>
          <w:rFonts w:eastAsia="Arial"/>
        </w:rPr>
        <w:lastRenderedPageBreak/>
        <w:t>referenced a plausible journal, statistic and author that it was not. Third, the chatbot: It addressed the simple questions, allowing me to do more with the difficult ones, but on one occasion it provided an incorrect answer regarding the right-to-work, which might have misled a potential applicant. We added human escalation rules and limited its topics.</w:t>
      </w:r>
    </w:p>
    <w:p w14:paraId="624E237A" w14:textId="77777777" w:rsidR="005E4EA6" w:rsidRDefault="719598A3" w:rsidP="719598A3">
      <w:pPr>
        <w:rPr>
          <w:rFonts w:eastAsia="Arial" w:cs="Arial"/>
          <w:szCs w:val="24"/>
        </w:rPr>
      </w:pPr>
      <w:r w:rsidRPr="719598A3">
        <w:rPr>
          <w:rFonts w:eastAsia="Arial"/>
          <w:b/>
          <w:bCs/>
          <w:szCs w:val="24"/>
        </w:rPr>
        <w:t>Ethics.</w:t>
      </w:r>
      <w:r w:rsidRPr="719598A3">
        <w:rPr>
          <w:rFonts w:eastAsia="Arial"/>
          <w:szCs w:val="24"/>
        </w:rPr>
        <w:t xml:space="preserve"> </w:t>
      </w:r>
      <w:r w:rsidR="793270EF" w:rsidRPr="719598A3">
        <w:rPr>
          <w:rFonts w:eastAsia="Arial" w:cs="Arial"/>
          <w:szCs w:val="24"/>
        </w:rPr>
        <w:t>These moments highlight four specific, concrete ethical issues: algorithmic bias in hiring practices tools (Raghavan et al., 2020); algorithmic management and surveillance of remote work (Kellogg, Valentine and Christin, 2020); data privacy at the point of employees' data being used in public models (Tambe, Cappelli and Yakubovich, 2019); and de-skilling, as routine professional judgement is handed over to algorithms. The takeaway for my work is that HR needs to be a good steward (decide on policy, monitor vendors, question deployments) and not just a user.</w:t>
      </w:r>
    </w:p>
    <w:p w14:paraId="6AB3F482" w14:textId="77777777" w:rsidR="005E4EA6" w:rsidRDefault="719598A3">
      <w:pPr>
        <w:pStyle w:val="Heading2"/>
      </w:pPr>
      <w:bookmarkStart w:id="11" w:name="_Toc1839851540"/>
      <w:r>
        <w:t>Personal Capability Development Plan</w:t>
      </w:r>
      <w:bookmarkEnd w:id="11"/>
    </w:p>
    <w:p w14:paraId="14B7FC5E" w14:textId="4A28B27A" w:rsidR="005E4EA6" w:rsidRDefault="3E5CA82F" w:rsidP="719598A3">
      <w:pPr>
        <w:rPr>
          <w:szCs w:val="24"/>
        </w:rPr>
      </w:pPr>
      <w:r w:rsidRPr="719598A3">
        <w:rPr>
          <w:rFonts w:eastAsia="Arial" w:cs="Arial"/>
          <w:szCs w:val="24"/>
        </w:rPr>
        <w:t xml:space="preserve">My SMART action plan is: within 3 months, complete a CIPD-accredited module on AI in HR to be certified and to have an applied project completed; within 3 months, introduce an audit checklist for AI-assisted people documents, with a view to audit coverage within 3 months, and no bias findings at quarterly review; shadow the AI product team for 1 day/month from June 2027 until April 2027; produce a SMART action plan for an organisation for an AI-use policy for people documents by March 2027 for senior-leadership review. Once a quarter, I will take one instance of changed practice and then will discuss with my manager and adjust my </w:t>
      </w:r>
      <w:proofErr w:type="gramStart"/>
      <w:r w:rsidRPr="719598A3">
        <w:rPr>
          <w:rFonts w:eastAsia="Arial" w:cs="Arial"/>
          <w:szCs w:val="24"/>
        </w:rPr>
        <w:t>action</w:t>
      </w:r>
      <w:proofErr w:type="gramEnd"/>
      <w:r w:rsidRPr="719598A3">
        <w:rPr>
          <w:rFonts w:eastAsia="Arial" w:cs="Arial"/>
          <w:szCs w:val="24"/>
        </w:rPr>
        <w:t xml:space="preserve"> so it is increasing the desired skill. </w:t>
      </w:r>
    </w:p>
    <w:p w14:paraId="71594D28" w14:textId="77777777" w:rsidR="005E4EA6" w:rsidRDefault="719598A3">
      <w:pPr>
        <w:pStyle w:val="Heading1"/>
        <w:pageBreakBefore/>
      </w:pPr>
      <w:bookmarkStart w:id="12" w:name="_Toc166589643"/>
      <w:r>
        <w:lastRenderedPageBreak/>
        <w:t>Conclusion</w:t>
      </w:r>
      <w:bookmarkEnd w:id="12"/>
    </w:p>
    <w:p w14:paraId="09F1DB6A" w14:textId="37F0FB5A" w:rsidR="005E4EA6" w:rsidRDefault="476195E5" w:rsidP="719598A3">
      <w:pPr>
        <w:rPr>
          <w:szCs w:val="24"/>
        </w:rPr>
      </w:pPr>
      <w:r w:rsidRPr="719598A3">
        <w:rPr>
          <w:rFonts w:eastAsia="Arial" w:cs="Arial"/>
          <w:szCs w:val="24"/>
        </w:rPr>
        <w:t xml:space="preserve">Rather than dividing working design and talent growth into two separate systems, NHSX needs to create a single system by empowering teams working in clinical safeguards, linking learning to career opportunities, and piloting and measuring practices before rolling them out to all three locations. NHSX should scale only in areas where evidence collected during each quarter indicates improved retention in pivotal roles and internal mobility/cross-team learning; not at the expense of safety or an increased workload. </w:t>
      </w:r>
    </w:p>
    <w:p w14:paraId="1E7B29EE" w14:textId="77777777" w:rsidR="005E4EA6" w:rsidRDefault="719598A3">
      <w:pPr>
        <w:pStyle w:val="Heading1"/>
        <w:pageBreakBefore/>
      </w:pPr>
      <w:bookmarkStart w:id="13" w:name="_Toc458814106"/>
      <w:r>
        <w:lastRenderedPageBreak/>
        <w:t>References</w:t>
      </w:r>
      <w:bookmarkEnd w:id="13"/>
    </w:p>
    <w:p w14:paraId="760460AE" w14:textId="77777777" w:rsidR="005E4EA6" w:rsidRDefault="00000000">
      <w:pPr>
        <w:ind w:left="360" w:hanging="360"/>
      </w:pPr>
      <w:r>
        <w:rPr>
          <w:rFonts w:eastAsia="Arial"/>
        </w:rPr>
        <w:t>Aksoy, C.G., Barrero, J.M., Bloom, N., Davis, S.J., Dolls, M. and Zarate, P. (2022) 'Working from home around the world', NBER Working Paper No. 30446. Cambridge, MA: National Bureau of Economic Research.</w:t>
      </w:r>
    </w:p>
    <w:p w14:paraId="20FDEF85" w14:textId="77777777" w:rsidR="005E4EA6" w:rsidRDefault="00000000">
      <w:pPr>
        <w:ind w:left="360" w:hanging="360"/>
      </w:pPr>
      <w:r>
        <w:rPr>
          <w:rFonts w:eastAsia="Arial"/>
        </w:rPr>
        <w:t>Appelbaum, E., Bailey, T., Berg, P. and Kalleberg, A. (2000) Manufacturing Advantage: Why High-Performance Work Systems Pay Off. Ithaca, NY: ILR Press.</w:t>
      </w:r>
    </w:p>
    <w:p w14:paraId="48DA81FB" w14:textId="77777777" w:rsidR="005E4EA6" w:rsidRDefault="00000000">
      <w:pPr>
        <w:ind w:left="360" w:hanging="360"/>
      </w:pPr>
      <w:r>
        <w:rPr>
          <w:rFonts w:eastAsia="Arial"/>
        </w:rPr>
        <w:t>Barrero, J.M., Bloom, N. and Davis, S.J. (2021) 'Why working from home will stick', NBER Working Paper No. 28731. Cambridge, MA: National Bureau of Economic Research.</w:t>
      </w:r>
    </w:p>
    <w:p w14:paraId="01B94AA9" w14:textId="77777777" w:rsidR="005E4EA6" w:rsidRDefault="00000000">
      <w:pPr>
        <w:ind w:left="360" w:hanging="360"/>
      </w:pPr>
      <w:r>
        <w:rPr>
          <w:rFonts w:eastAsia="Arial"/>
        </w:rPr>
        <w:t>Barrero, J.M., Bloom, N. and Davis, S.J. (2023) 'The evolution of work from home', Journal of Economic Perspectives, 37(4), pp. 23-49.</w:t>
      </w:r>
    </w:p>
    <w:p w14:paraId="3C71EC05" w14:textId="77777777" w:rsidR="005E4EA6" w:rsidRDefault="00000000">
      <w:pPr>
        <w:ind w:left="360" w:hanging="360"/>
      </w:pPr>
      <w:r>
        <w:rPr>
          <w:rFonts w:eastAsia="Arial"/>
        </w:rPr>
        <w:t>Benson, G.S. and Lawler, E.E. (2003) 'Employee involvement: utilization, impacts, and future prospects', in Cooper, C.L. and Robertson, I.T. (eds.) International Review of Industrial and Organizational Psychology, Vol. 18. Chichester: Wiley.</w:t>
      </w:r>
    </w:p>
    <w:p w14:paraId="79783F40" w14:textId="77777777" w:rsidR="005E4EA6" w:rsidRDefault="00000000">
      <w:pPr>
        <w:ind w:left="360" w:hanging="360"/>
      </w:pPr>
      <w:r>
        <w:rPr>
          <w:rFonts w:eastAsia="Arial"/>
        </w:rPr>
        <w:t xml:space="preserve">Bloom, N., Liang, J., Roberts, J. and Ying, Z.J. (2015) 'Does working from </w:t>
      </w:r>
      <w:proofErr w:type="gramStart"/>
      <w:r>
        <w:rPr>
          <w:rFonts w:eastAsia="Arial"/>
        </w:rPr>
        <w:t>home work</w:t>
      </w:r>
      <w:proofErr w:type="gramEnd"/>
      <w:r>
        <w:rPr>
          <w:rFonts w:eastAsia="Arial"/>
        </w:rPr>
        <w:t>? Evidence from a Chinese experiment', The Quarterly Journal of Economics, 130(1), pp. 165-218.</w:t>
      </w:r>
    </w:p>
    <w:p w14:paraId="151F7D61" w14:textId="77777777" w:rsidR="005E4EA6" w:rsidRDefault="00000000">
      <w:pPr>
        <w:ind w:left="360" w:hanging="360"/>
      </w:pPr>
      <w:r>
        <w:rPr>
          <w:rFonts w:eastAsia="Arial"/>
        </w:rPr>
        <w:t>Boxall, P. and Purcell, J. (2016) Strategy and Human Resource Management. 4th edn. London: Palgrave Macmillan.</w:t>
      </w:r>
    </w:p>
    <w:p w14:paraId="7419A0C4" w14:textId="77777777" w:rsidR="005E4EA6" w:rsidRDefault="00000000">
      <w:pPr>
        <w:ind w:left="360" w:hanging="360"/>
      </w:pPr>
      <w:r>
        <w:rPr>
          <w:rFonts w:eastAsia="Arial"/>
        </w:rPr>
        <w:t>Cherns, A. (1976) 'The principles of sociotechnical design', Human Relations, 29(8), pp. 783-799.</w:t>
      </w:r>
    </w:p>
    <w:p w14:paraId="163977B1" w14:textId="77777777" w:rsidR="005E4EA6" w:rsidRDefault="00000000">
      <w:pPr>
        <w:ind w:left="360" w:hanging="360"/>
      </w:pPr>
      <w:r>
        <w:rPr>
          <w:rFonts w:eastAsia="Arial"/>
        </w:rPr>
        <w:t>Cherns, A. (1987) 'Principles of sociotechnical design revisited', Human Relations, 40(3), pp. 153-162.</w:t>
      </w:r>
    </w:p>
    <w:p w14:paraId="35B177C6" w14:textId="77777777" w:rsidR="005E4EA6" w:rsidRDefault="00000000">
      <w:pPr>
        <w:ind w:left="360" w:hanging="360"/>
      </w:pPr>
      <w:r>
        <w:rPr>
          <w:rFonts w:eastAsia="Arial"/>
        </w:rPr>
        <w:t>Choudhury, P., Foroughi, C. and Larson, B. (2020) 'Our work-from-anywhere future', Harvard Business Review, 98(6), pp. 58-67.</w:t>
      </w:r>
    </w:p>
    <w:p w14:paraId="744CC2CA" w14:textId="77777777" w:rsidR="005E4EA6" w:rsidRDefault="00000000">
      <w:pPr>
        <w:ind w:left="360" w:hanging="360"/>
      </w:pPr>
      <w:r>
        <w:rPr>
          <w:rFonts w:eastAsia="Arial"/>
        </w:rPr>
        <w:t>Choudhury, P., Foroughi, C. and Larson, B. (2021) 'Work-from-anywhere: the productivity effects of geographic flexibility', Strategic Management Journal, 42(4), pp. 655-683.</w:t>
      </w:r>
    </w:p>
    <w:p w14:paraId="3FD9B3BF" w14:textId="77777777" w:rsidR="005E4EA6" w:rsidRDefault="00000000">
      <w:pPr>
        <w:ind w:left="360" w:hanging="360"/>
      </w:pPr>
      <w:r>
        <w:rPr>
          <w:rFonts w:eastAsia="Arial"/>
        </w:rPr>
        <w:t>Collings, D.G. and Mellahi, K. (2009) 'Strategic talent management: a review and research agenda', Human Resource Management Review, 19(4), pp. 304-313.</w:t>
      </w:r>
    </w:p>
    <w:p w14:paraId="1DD183AD" w14:textId="77777777" w:rsidR="005E4EA6" w:rsidRDefault="00000000">
      <w:pPr>
        <w:ind w:left="360" w:hanging="360"/>
      </w:pPr>
      <w:r>
        <w:rPr>
          <w:rFonts w:eastAsia="Arial"/>
        </w:rPr>
        <w:lastRenderedPageBreak/>
        <w:t>Deci, E.L. and Ryan, R.M. (2000) 'The "what" and "why" of goal pursuits: human needs and the self-determination of behavior', Psychological Inquiry, 11(4), pp. 227-268.</w:t>
      </w:r>
    </w:p>
    <w:p w14:paraId="09B53CCC" w14:textId="77777777" w:rsidR="005E4EA6" w:rsidRDefault="00000000">
      <w:r>
        <w:t>Department for Science, Innovation and Technology (2024) Implementing the UK’s AI regulatory principles: initial guidance for regulators. Available at: https://www.gov.uk/government/publications/implementing-the-uks-ai-regulatory-principles-initial-guidance-for-regulators/implementing-the-uks-ai-regulatory-principles-initial-guidance-for-regulators (Accessed: 15 October 2026).</w:t>
      </w:r>
    </w:p>
    <w:p w14:paraId="08EA1363" w14:textId="77777777" w:rsidR="005E4EA6" w:rsidRDefault="00000000">
      <w:pPr>
        <w:ind w:left="360" w:hanging="360"/>
      </w:pPr>
      <w:r>
        <w:rPr>
          <w:rFonts w:eastAsia="Arial"/>
        </w:rPr>
        <w:t>Dweck, C.S. (2006) Mindset: The New Psychology of Success. New York: Random House.</w:t>
      </w:r>
    </w:p>
    <w:p w14:paraId="16F67610" w14:textId="77777777" w:rsidR="005E4EA6" w:rsidRDefault="00000000">
      <w:pPr>
        <w:ind w:left="360" w:hanging="360"/>
      </w:pPr>
      <w:r>
        <w:rPr>
          <w:rFonts w:eastAsia="Arial"/>
        </w:rPr>
        <w:t>Edmondson, A. (1999) 'Psychological safety and learning behavior in work teams', Administrative Science Quarterly, 44(2), pp. 350-383.</w:t>
      </w:r>
    </w:p>
    <w:p w14:paraId="081C0707" w14:textId="77777777" w:rsidR="005E4EA6" w:rsidRDefault="00000000">
      <w:pPr>
        <w:ind w:left="360" w:hanging="360"/>
      </w:pPr>
      <w:r>
        <w:rPr>
          <w:rFonts w:eastAsia="Arial"/>
        </w:rPr>
        <w:t>Edmondson, A. and Bransby, D.P. (2023) 'Psychological safety comes of age: observed themes in an established literature', Annual Review of Organizational Psychology and Organizational Behavior, 10, pp. 55-78.</w:t>
      </w:r>
    </w:p>
    <w:p w14:paraId="36464866" w14:textId="77777777" w:rsidR="005E4EA6" w:rsidRDefault="00000000">
      <w:pPr>
        <w:ind w:left="360" w:hanging="360"/>
      </w:pPr>
      <w:r>
        <w:rPr>
          <w:rFonts w:eastAsia="Arial"/>
        </w:rPr>
        <w:t>Gallardo-Gallardo, E., Thunnissen, M. and Scullion, H. (2020) 'Talent management: context matters', The International Journal of Human Resource Management, 31(4), pp. 457-473.</w:t>
      </w:r>
    </w:p>
    <w:p w14:paraId="41543504" w14:textId="77777777" w:rsidR="005E4EA6" w:rsidRDefault="00000000">
      <w:pPr>
        <w:ind w:left="360" w:hanging="360"/>
      </w:pPr>
      <w:r>
        <w:rPr>
          <w:rFonts w:eastAsia="Arial"/>
        </w:rPr>
        <w:t>Gibbs, G. (1988) Learning by Doing: A Guide to Teaching and Learning Methods. Oxford: Oxford Further Education Unit.</w:t>
      </w:r>
    </w:p>
    <w:p w14:paraId="5682AAA0" w14:textId="77777777" w:rsidR="005E4EA6" w:rsidRDefault="00000000">
      <w:r>
        <w:t>Government Digital Service (2025) Algorithmic Transparency Recording Standard: guidance for public sector bodies. Available at: https://www.gov.uk/government/publications/guidance-for-organisations-using-the-algorithmic-transparency-recording-standard/algorithmic-transparency-recording-standard-guidance-for-public-sector-bodies (Accessed: 15 October 2026).</w:t>
      </w:r>
    </w:p>
    <w:p w14:paraId="6DD8A399" w14:textId="77777777" w:rsidR="005E4EA6" w:rsidRDefault="00000000">
      <w:pPr>
        <w:ind w:left="360" w:hanging="360"/>
      </w:pPr>
      <w:r>
        <w:rPr>
          <w:rFonts w:eastAsia="Arial"/>
        </w:rPr>
        <w:t>Hofstede, G. (2001) Culture's Consequences: Comparing Values, Behaviors, Institutions and Organizations Across Nations. 2nd edn. Thousand Oaks, CA: Sage.</w:t>
      </w:r>
    </w:p>
    <w:p w14:paraId="2B091EDE" w14:textId="77777777" w:rsidR="005E4EA6" w:rsidRDefault="00000000">
      <w:pPr>
        <w:ind w:left="360" w:hanging="360"/>
      </w:pPr>
      <w:r>
        <w:rPr>
          <w:rFonts w:eastAsia="Arial"/>
        </w:rPr>
        <w:t>Ipsen, C., van Veldhoven, M., Kirchner, K. and Hansen, J.P. (2021) 'Six key advantages and disadvantages of working from home in Europe during COVID-19', International Journal of Environmental Research and Public Health, 18(4), 1826.</w:t>
      </w:r>
    </w:p>
    <w:p w14:paraId="17F1EEE9" w14:textId="77777777" w:rsidR="005E4EA6" w:rsidRDefault="00000000">
      <w:pPr>
        <w:ind w:left="360" w:hanging="360"/>
      </w:pPr>
      <w:r>
        <w:rPr>
          <w:rFonts w:eastAsia="Arial"/>
        </w:rPr>
        <w:t>Kelliher, C. and Anderson, D. (2010) '"Doing more with less?" Flexible working practices and the intensification of work', Human Relations, 63(1), pp. 83-106.</w:t>
      </w:r>
    </w:p>
    <w:p w14:paraId="37672654" w14:textId="77777777" w:rsidR="005E4EA6" w:rsidRDefault="00000000">
      <w:pPr>
        <w:ind w:left="360" w:hanging="360"/>
      </w:pPr>
      <w:r>
        <w:rPr>
          <w:rFonts w:eastAsia="Arial"/>
        </w:rPr>
        <w:lastRenderedPageBreak/>
        <w:t>Kellogg, K.C., Valentine, M.A. and Christin, A. (2020) 'Algorithms at work: the new contested terrain of control', Academy of Management Annals, 14(1), pp. 366-410.</w:t>
      </w:r>
    </w:p>
    <w:p w14:paraId="0B363B83" w14:textId="77777777" w:rsidR="005E4EA6" w:rsidRDefault="00000000">
      <w:pPr>
        <w:ind w:left="360" w:hanging="360"/>
      </w:pPr>
      <w:r>
        <w:rPr>
          <w:rFonts w:eastAsia="Arial"/>
        </w:rPr>
        <w:t>Lawler, E.E. (1986) High-Involvement Management. San Francisco: Jossey-Bass.</w:t>
      </w:r>
    </w:p>
    <w:p w14:paraId="3A95BFA5" w14:textId="77777777" w:rsidR="005E4EA6" w:rsidRDefault="00000000">
      <w:pPr>
        <w:ind w:left="360" w:hanging="360"/>
      </w:pPr>
      <w:r>
        <w:rPr>
          <w:rFonts w:eastAsia="Arial"/>
        </w:rPr>
        <w:t>Michaels, E., Handfield-Jones, H. and Axelrod, B. (2001) The War for Talent. Boston, MA: Harvard Business School Press.</w:t>
      </w:r>
    </w:p>
    <w:p w14:paraId="1DE5F97B" w14:textId="77777777" w:rsidR="005E4EA6" w:rsidRDefault="00000000">
      <w:pPr>
        <w:ind w:left="360" w:hanging="360"/>
      </w:pPr>
      <w:r>
        <w:rPr>
          <w:rFonts w:eastAsia="Arial"/>
        </w:rPr>
        <w:t>Morgan, J. (2017) The Employee Experience Advantage: How to Win the War for Talent by Giving Employees the Workspaces they Want, the Tools they Need, and a Culture they Can Celebrate. Hoboken, NJ: Wiley.</w:t>
      </w:r>
    </w:p>
    <w:p w14:paraId="1AA0A3AD" w14:textId="77777777" w:rsidR="005E4EA6" w:rsidRDefault="00000000">
      <w:pPr>
        <w:ind w:left="360" w:hanging="360"/>
      </w:pPr>
      <w:r>
        <w:rPr>
          <w:rFonts w:eastAsia="Arial"/>
        </w:rPr>
        <w:t>Raghavan, M., Barocas, S., Kleinberg, J. and Levy, K. (2020) 'Mitigating bias in algorithmic hiring: evaluating claims and practices', Proceedings of the 2020 Conference on Fairness, Accountability, and Transparency (FAT '</w:t>
      </w:r>
      <w:proofErr w:type="gramStart"/>
      <w:r>
        <w:rPr>
          <w:rFonts w:eastAsia="Arial"/>
        </w:rPr>
        <w:t>20)*</w:t>
      </w:r>
      <w:proofErr w:type="gramEnd"/>
      <w:r>
        <w:rPr>
          <w:rFonts w:eastAsia="Arial"/>
        </w:rPr>
        <w:t>, pp. 469-481.</w:t>
      </w:r>
    </w:p>
    <w:p w14:paraId="1FB3DBF9" w14:textId="77777777" w:rsidR="005E4EA6" w:rsidRDefault="00000000">
      <w:pPr>
        <w:ind w:left="360" w:hanging="360"/>
      </w:pPr>
      <w:r>
        <w:rPr>
          <w:rFonts w:eastAsia="Arial"/>
        </w:rPr>
        <w:t>Rigby, D.K., Sutherland, J. and Takeuchi, H. (2016) 'Embracing agile', Harvard Business Review, 94(5), pp. 40-50.</w:t>
      </w:r>
    </w:p>
    <w:p w14:paraId="520A94CE" w14:textId="77777777" w:rsidR="005E4EA6" w:rsidRDefault="00000000">
      <w:pPr>
        <w:ind w:left="360" w:hanging="360"/>
      </w:pPr>
      <w:r>
        <w:rPr>
          <w:rFonts w:eastAsia="Arial"/>
        </w:rPr>
        <w:t>Rozovsky, J. (2015) The five keys to a successful Google team. Available at: https://rework.withgoogle.com/blog/five-keys-to-a-successful-google-team/ (Accessed: 12 October 2026).</w:t>
      </w:r>
    </w:p>
    <w:p w14:paraId="7AFB8942" w14:textId="77777777" w:rsidR="005E4EA6" w:rsidRDefault="00000000">
      <w:pPr>
        <w:ind w:left="360" w:hanging="360"/>
      </w:pPr>
      <w:r>
        <w:rPr>
          <w:rFonts w:eastAsia="Arial"/>
        </w:rPr>
        <w:t>Senge, P.M. (1990) The Fifth Discipline: The Art and Practice of the Learning Organization. New York: Doubleday.</w:t>
      </w:r>
    </w:p>
    <w:p w14:paraId="1ECDB4CC" w14:textId="77777777" w:rsidR="005E4EA6" w:rsidRDefault="00000000">
      <w:pPr>
        <w:ind w:left="360" w:hanging="360"/>
      </w:pPr>
      <w:r>
        <w:rPr>
          <w:rFonts w:eastAsia="Arial"/>
        </w:rPr>
        <w:t>Tambe, P., Cappelli, P. and Yakubovich, V. (2019) 'Artificial intelligence in human resources management: challenges and a path forward', California Management Review, 61(4), pp. 15-42.</w:t>
      </w:r>
    </w:p>
    <w:p w14:paraId="549DA756" w14:textId="77777777" w:rsidR="005E4EA6" w:rsidRDefault="00000000">
      <w:pPr>
        <w:ind w:left="360" w:hanging="360"/>
      </w:pPr>
      <w:r>
        <w:rPr>
          <w:rFonts w:eastAsia="Arial"/>
        </w:rPr>
        <w:t>Tims, M. and Bakker, A.B. (2010) 'Job crafting: towards a new model of individual job redesign', SA Journal of Industrial Psychology, 36(2), pp. 1-9.</w:t>
      </w:r>
    </w:p>
    <w:p w14:paraId="3F29750B" w14:textId="77777777" w:rsidR="005E4EA6" w:rsidRDefault="00000000">
      <w:pPr>
        <w:ind w:left="360" w:hanging="360"/>
      </w:pPr>
      <w:r>
        <w:rPr>
          <w:rFonts w:eastAsia="Arial"/>
        </w:rPr>
        <w:t>Trist, E.L. and Bamforth, K.W. (1951) 'Some social and psychological consequences of the longwall method of coal-getting', Human Relations, 4(1), pp. 3-38.</w:t>
      </w:r>
    </w:p>
    <w:p w14:paraId="347C08EE" w14:textId="77777777" w:rsidR="005E4EA6" w:rsidRDefault="00000000">
      <w:pPr>
        <w:ind w:left="360" w:hanging="360"/>
      </w:pPr>
      <w:r>
        <w:rPr>
          <w:rFonts w:eastAsia="Arial"/>
        </w:rPr>
        <w:t>Wang, B., Liu, Y., Qian, J. and Parker, S.K. (2021) 'Achieving effective remote working during the COVID-19 pandemic: a work design perspective', Applied Psychology, 70(1), pp. 16-59.</w:t>
      </w:r>
    </w:p>
    <w:p w14:paraId="156F5573" w14:textId="77777777" w:rsidR="005E4EA6" w:rsidRDefault="00000000">
      <w:pPr>
        <w:ind w:left="360" w:hanging="360"/>
      </w:pPr>
      <w:r>
        <w:rPr>
          <w:rFonts w:eastAsia="Arial"/>
        </w:rPr>
        <w:lastRenderedPageBreak/>
        <w:t>Yang, L., Holtz, D., Jaffe, S., Suri, S., Sinha, S., Weston, J., Joyce, C., Shah, N., Sherman, K., Hecht, B. and Teevan, J. (2022) 'The effects of remote work on collaboration among information workers', Nature Human Behaviour, 6(1), pp. 43-54.</w:t>
      </w:r>
    </w:p>
    <w:p w14:paraId="6B2DDF16" w14:textId="77777777" w:rsidR="005E4EA6" w:rsidRDefault="00000000">
      <w:pPr>
        <w:ind w:left="360" w:hanging="360"/>
      </w:pPr>
      <w:r>
        <w:rPr>
          <w:rFonts w:eastAsia="Arial"/>
        </w:rPr>
        <w:t>Yeager, D.S., Hanselman, P., Walton, G.M., Murray, J.S., Crosnoe, R., Muller, C., Tipton, E., Schneider, B., Hulleman, C.S., Hinojosa, C.P., Paunesku, D., Romero, C., Flint, K., Roberts, A., Trott, J., Iachan, R., Buontempo, J., Yang, S.M., Carvalho, C.M., Hahn, P.R., Gopalan, M., Mhatre, P., Ferguson, R., Duckworth, A.L. and Dweck, C.S. (2019) 'A national experiment reveals where a growth mindset improves achievement', Nature, 573(7774), pp. 364-369.</w:t>
      </w:r>
    </w:p>
    <w:p w14:paraId="59D445AD" w14:textId="77777777" w:rsidR="005E4EA6" w:rsidRDefault="005E4EA6">
      <w:pPr>
        <w:sectPr w:rsidR="005E4EA6">
          <w:headerReference w:type="default" r:id="rId12"/>
          <w:footerReference w:type="default" r:id="rId13"/>
          <w:footerReference w:type="first" r:id="rId14"/>
          <w:pgSz w:w="12240" w:h="15840"/>
          <w:pgMar w:top="1152" w:right="1224" w:bottom="1152" w:left="1224" w:header="504" w:footer="504" w:gutter="0"/>
          <w:cols w:space="720"/>
          <w:titlePg/>
          <w:docGrid w:linePitch="360"/>
        </w:sectPr>
      </w:pPr>
    </w:p>
    <w:p w14:paraId="3F81F343" w14:textId="77777777" w:rsidR="005E4EA6" w:rsidRDefault="719598A3">
      <w:pPr>
        <w:pStyle w:val="Heading1"/>
      </w:pPr>
      <w:bookmarkStart w:id="14" w:name="_Toc197614853"/>
      <w:r>
        <w:lastRenderedPageBreak/>
        <w:t>Appendix A: Proposed Talent Metrics Dashboard Template</w:t>
      </w:r>
      <w:bookmarkEnd w:id="14"/>
    </w:p>
    <w:p w14:paraId="775E1D04" w14:textId="77777777" w:rsidR="005E4EA6" w:rsidRDefault="00000000">
      <w:r>
        <w:rPr>
          <w:rFonts w:eastAsia="Arial"/>
        </w:rPr>
        <w:t>This is a blank reporting template for future use. Populate it only with validated NHSX workforce data and identify the source and reporting period.</w:t>
      </w:r>
    </w:p>
    <w:p w14:paraId="708C0DD3" w14:textId="77777777" w:rsidR="005E4EA6" w:rsidRDefault="00000000">
      <w:pPr>
        <w:keepLines/>
        <w:jc w:val="center"/>
      </w:pPr>
      <w:r>
        <w:rPr>
          <w:noProof/>
        </w:rPr>
        <w:drawing>
          <wp:inline distT="0" distB="0" distL="0" distR="0" wp14:anchorId="5867CC66" wp14:editId="07777777">
            <wp:extent cx="8686800" cy="4738255"/>
            <wp:effectExtent l="0" t="0" r="0" b="0"/>
            <wp:docPr id="6" name="Picture 6" descr="A blank four-metric dashboard for pivotal-role retention, internal-fill rate, cross-border mentoring participation and team psychological-safety pulse; all values await a validated baseline." title="Blank NHSX talent-strategy dash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emini_Generated_Image_5ghpzv5ghpzv5ghp.png"/>
                    <pic:cNvPicPr/>
                  </pic:nvPicPr>
                  <pic:blipFill>
                    <a:blip r:embed="rId15"/>
                    <a:stretch>
                      <a:fillRect/>
                    </a:stretch>
                  </pic:blipFill>
                  <pic:spPr>
                    <a:xfrm>
                      <a:off x="0" y="0"/>
                      <a:ext cx="8686800" cy="4738255"/>
                    </a:xfrm>
                    <a:prstGeom prst="rect">
                      <a:avLst/>
                    </a:prstGeom>
                  </pic:spPr>
                </pic:pic>
              </a:graphicData>
            </a:graphic>
          </wp:inline>
        </w:drawing>
      </w:r>
    </w:p>
    <w:p w14:paraId="47FB3CBB" w14:textId="77777777" w:rsidR="005E4EA6" w:rsidRDefault="00000000">
      <w:pPr>
        <w:pStyle w:val="Caption"/>
      </w:pPr>
      <w:r>
        <w:rPr>
          <w:rFonts w:eastAsia="Arial"/>
          <w:color w:val="17324D"/>
          <w:sz w:val="20"/>
        </w:rPr>
        <w:t>Figure A1. Proposed talent-metrics dashboard template (values intentionally blank)</w:t>
      </w:r>
    </w:p>
    <w:p w14:paraId="0C55AD20" w14:textId="77777777" w:rsidR="005E4EA6" w:rsidRDefault="00000000">
      <w:r>
        <w:rPr>
          <w:rFonts w:eastAsia="Arial"/>
          <w:color w:val="526575"/>
          <w:sz w:val="20"/>
        </w:rPr>
        <w:t>Source: Generated with Gemini. This is a proposed template and contains no NHSX performance data.</w:t>
      </w:r>
    </w:p>
    <w:p w14:paraId="4DDF5A46" w14:textId="77777777" w:rsidR="005E4EA6" w:rsidRDefault="00000000">
      <w:pPr>
        <w:spacing w:before="120"/>
      </w:pPr>
      <w:r>
        <w:rPr>
          <w:rFonts w:eastAsia="Arial"/>
          <w:b/>
          <w:color w:val="526575"/>
          <w:sz w:val="18"/>
        </w:rPr>
        <w:lastRenderedPageBreak/>
        <w:t xml:space="preserve">Generative AI acknowledgement: </w:t>
      </w:r>
      <w:r>
        <w:rPr>
          <w:rFonts w:eastAsia="Arial"/>
          <w:color w:val="526575"/>
          <w:sz w:val="18"/>
        </w:rPr>
        <w:t>Gemini was used to generate initial visual assets. AI assistance also supported structural and formatting edits. The organisational design visual was corrected to remove a repeated recommendation; the dashboard is a conceptual blank template and does not contain NHSX data.</w:t>
      </w:r>
    </w:p>
    <w:p w14:paraId="0C970B5F" w14:textId="77777777" w:rsidR="005E4EA6" w:rsidRDefault="005E4EA6">
      <w:pPr>
        <w:sectPr w:rsidR="005E4EA6">
          <w:pgSz w:w="15840" w:h="12240" w:orient="landscape"/>
          <w:pgMar w:top="936" w:right="1008" w:bottom="936" w:left="1008" w:header="504" w:footer="504" w:gutter="0"/>
          <w:cols w:space="720"/>
          <w:titlePg/>
          <w:docGrid w:linePitch="360"/>
        </w:sectPr>
      </w:pPr>
    </w:p>
    <w:p w14:paraId="199BEA1F" w14:textId="77777777" w:rsidR="005E4EA6" w:rsidRDefault="00000000">
      <w:pPr>
        <w:pStyle w:val="Heading1"/>
        <w:spacing w:before="0" w:after="60"/>
      </w:pPr>
      <w:r>
        <w:rPr>
          <w:rFonts w:eastAsia="Arial"/>
          <w:color w:val="142B52"/>
        </w:rPr>
        <w:lastRenderedPageBreak/>
        <w:t>Appendix B: Human Capital Management Poster</w:t>
      </w:r>
    </w:p>
    <w:p w14:paraId="0D7159FE" w14:textId="77777777" w:rsidR="005E4EA6" w:rsidRDefault="00000000">
      <w:pPr>
        <w:spacing w:after="0" w:line="240" w:lineRule="auto"/>
        <w:jc w:val="center"/>
      </w:pPr>
      <w:r>
        <w:rPr>
          <w:noProof/>
        </w:rPr>
        <w:drawing>
          <wp:inline distT="0" distB="0" distL="0" distR="0" wp14:anchorId="2D138744" wp14:editId="6139044F">
            <wp:extent cx="13441680" cy="9274759"/>
            <wp:effectExtent l="0" t="0" r="0" b="0"/>
            <wp:docPr id="8" name="Picture 8" descr="Human Capital Management poster summarising NHSX work design, talent growth, responsible AI and implementation metr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HSX_Human_Capital_Management_Poster.png"/>
                    <pic:cNvPicPr/>
                  </pic:nvPicPr>
                  <pic:blipFill>
                    <a:blip r:embed="rId16"/>
                    <a:stretch>
                      <a:fillRect/>
                    </a:stretch>
                  </pic:blipFill>
                  <pic:spPr>
                    <a:xfrm>
                      <a:off x="0" y="0"/>
                      <a:ext cx="13441680" cy="9274759"/>
                    </a:xfrm>
                    <a:prstGeom prst="rect">
                      <a:avLst/>
                    </a:prstGeom>
                  </pic:spPr>
                </pic:pic>
              </a:graphicData>
            </a:graphic>
          </wp:inline>
        </w:drawing>
      </w:r>
    </w:p>
    <w:sectPr w:rsidR="005E4EA6" w:rsidSect="00034616">
      <w:pgSz w:w="23811" w:h="16838" w:orient="landscape"/>
      <w:pgMar w:top="576" w:right="576" w:bottom="576" w:left="576" w:header="317" w:footer="317"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B7852A9" w14:textId="77777777" w:rsidR="004B3613" w:rsidRDefault="004B3613">
      <w:pPr>
        <w:spacing w:after="0" w:line="240" w:lineRule="auto"/>
      </w:pPr>
      <w:r>
        <w:separator/>
      </w:r>
    </w:p>
  </w:endnote>
  <w:endnote w:type="continuationSeparator" w:id="0">
    <w:p w14:paraId="22299E12" w14:textId="77777777" w:rsidR="004B3613" w:rsidRDefault="004B36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Courier">
    <w:panose1 w:val="020703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05BA388" w14:textId="77777777" w:rsidR="005E4EA6" w:rsidRDefault="00000000">
    <w:pPr>
      <w:pStyle w:val="Footer"/>
      <w:jc w:val="center"/>
    </w:pPr>
    <w:r>
      <w:t>LCMB</w:t>
    </w:r>
    <w:proofErr w:type="gramStart"/>
    <w:r>
      <w:t>7023  |</w:t>
    </w:r>
    <w:proofErr w:type="gramEnd"/>
    <w:r>
      <w:t xml:space="preserve">  NHSX HR </w:t>
    </w:r>
    <w:proofErr w:type="gramStart"/>
    <w:r>
      <w:t>Strategy  |</w:t>
    </w:r>
    <w:proofErr w:type="gramEnd"/>
    <w:r>
      <w:t xml:space="preserve">  </w:t>
    </w:r>
    <w:r>
      <w:rPr>
        <w:rFonts w:eastAsia="Arial"/>
        <w:color w:val="526575"/>
        <w:sz w:val="20"/>
      </w:rPr>
      <w:fldChar w:fldCharType="begin"/>
    </w:r>
    <w:r>
      <w:rPr>
        <w:rFonts w:eastAsia="Arial"/>
        <w:color w:val="526575"/>
        <w:sz w:val="20"/>
      </w:rPr>
      <w:instrText xml:space="preserve"> PAGE </w:instrText>
    </w:r>
    <w:r>
      <w:rPr>
        <w:rFonts w:eastAsia="Arial"/>
        <w:color w:val="526575"/>
        <w:sz w:val="20"/>
      </w:rPr>
      <w:fldChar w:fldCharType="separate"/>
    </w:r>
    <w:r>
      <w:rPr>
        <w:rFonts w:eastAsia="Arial"/>
        <w:color w:val="526575"/>
        <w:sz w:val="20"/>
      </w:rPr>
      <w:t>1</w:t>
    </w:r>
    <w:r>
      <w:rPr>
        <w:rFonts w:eastAsia="Arial"/>
        <w:color w:val="526575"/>
        <w:sz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D5AB8EC" w14:textId="77777777" w:rsidR="005E4EA6" w:rsidRDefault="005E4E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59B3527" w14:textId="77777777" w:rsidR="004B3613" w:rsidRDefault="004B3613">
      <w:pPr>
        <w:spacing w:after="0" w:line="240" w:lineRule="auto"/>
      </w:pPr>
      <w:r>
        <w:separator/>
      </w:r>
    </w:p>
  </w:footnote>
  <w:footnote w:type="continuationSeparator" w:id="0">
    <w:p w14:paraId="6B44F34F" w14:textId="77777777" w:rsidR="004B3613" w:rsidRDefault="004B36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EB0B293" w14:textId="77777777" w:rsidR="005E4EA6" w:rsidRDefault="00000000">
    <w:pPr>
      <w:pStyle w:val="Header"/>
      <w:jc w:val="right"/>
    </w:pPr>
    <w:r>
      <w:rPr>
        <w:color w:val="646464"/>
        <w:sz w:val="18"/>
      </w:rPr>
      <w:t>NHSX | Evidence-Based HR Strategy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602254659">
    <w:abstractNumId w:val="8"/>
  </w:num>
  <w:num w:numId="2" w16cid:durableId="1844859251">
    <w:abstractNumId w:val="6"/>
  </w:num>
  <w:num w:numId="3" w16cid:durableId="2102287923">
    <w:abstractNumId w:val="5"/>
  </w:num>
  <w:num w:numId="4" w16cid:durableId="1574703244">
    <w:abstractNumId w:val="4"/>
  </w:num>
  <w:num w:numId="5" w16cid:durableId="1562398775">
    <w:abstractNumId w:val="7"/>
  </w:num>
  <w:num w:numId="6" w16cid:durableId="1687321670">
    <w:abstractNumId w:val="3"/>
  </w:num>
  <w:num w:numId="7" w16cid:durableId="834685877">
    <w:abstractNumId w:val="2"/>
  </w:num>
  <w:num w:numId="8" w16cid:durableId="1551575170">
    <w:abstractNumId w:val="1"/>
  </w:num>
  <w:num w:numId="9" w16cid:durableId="979506148">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26F90"/>
    <w:rsid w:val="00481488"/>
    <w:rsid w:val="004B3613"/>
    <w:rsid w:val="00553BCE"/>
    <w:rsid w:val="005E4EA6"/>
    <w:rsid w:val="007A659C"/>
    <w:rsid w:val="007D6CF8"/>
    <w:rsid w:val="007D7EF4"/>
    <w:rsid w:val="00A42598"/>
    <w:rsid w:val="00A56808"/>
    <w:rsid w:val="00AA1D8D"/>
    <w:rsid w:val="00B06142"/>
    <w:rsid w:val="00B47730"/>
    <w:rsid w:val="00CB0664"/>
    <w:rsid w:val="00D124E1"/>
    <w:rsid w:val="00DC2AC1"/>
    <w:rsid w:val="00FC693F"/>
    <w:rsid w:val="081F3EAD"/>
    <w:rsid w:val="08D01BEB"/>
    <w:rsid w:val="0C7FB3E6"/>
    <w:rsid w:val="0DE0276F"/>
    <w:rsid w:val="0F744771"/>
    <w:rsid w:val="11749110"/>
    <w:rsid w:val="12206721"/>
    <w:rsid w:val="157EF203"/>
    <w:rsid w:val="1E61928B"/>
    <w:rsid w:val="22AD9FC4"/>
    <w:rsid w:val="2A0AD949"/>
    <w:rsid w:val="3082FF69"/>
    <w:rsid w:val="36299CD0"/>
    <w:rsid w:val="3CF7D712"/>
    <w:rsid w:val="3E5CA82F"/>
    <w:rsid w:val="3F578F53"/>
    <w:rsid w:val="476195E5"/>
    <w:rsid w:val="494AA591"/>
    <w:rsid w:val="4B867815"/>
    <w:rsid w:val="53565ED5"/>
    <w:rsid w:val="5D15252E"/>
    <w:rsid w:val="61D5F658"/>
    <w:rsid w:val="61FB3FEA"/>
    <w:rsid w:val="65B43ED2"/>
    <w:rsid w:val="7146087D"/>
    <w:rsid w:val="719598A3"/>
    <w:rsid w:val="74A7B4D7"/>
    <w:rsid w:val="76F07C6B"/>
    <w:rsid w:val="793270E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8018FEF"/>
  <w14:defaultImageDpi w14:val="300"/>
  <w15:docId w15:val="{E370D493-D93B-4DAC-8B84-6580F0EC07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pPr>
    <w:rPr>
      <w:rFonts w:ascii="Arial" w:hAnsi="Arial"/>
      <w:sz w:val="24"/>
    </w:rPr>
  </w:style>
  <w:style w:type="paragraph" w:styleId="Heading1">
    <w:name w:val="heading 1"/>
    <w:basedOn w:val="Normal"/>
    <w:next w:val="Normal"/>
    <w:link w:val="Heading1Char"/>
    <w:uiPriority w:val="9"/>
    <w:qFormat/>
    <w:rsid w:val="007D6CF8"/>
    <w:pPr>
      <w:keepNext/>
      <w:keepLines/>
      <w:spacing w:before="280" w:after="140"/>
      <w:outlineLvl w:val="0"/>
    </w:pPr>
    <w:rPr>
      <w:rFonts w:eastAsiaTheme="majorEastAsia" w:cstheme="majorBidi"/>
      <w:b/>
      <w:bCs/>
      <w:color w:val="000000" w:themeColor="text1"/>
      <w:sz w:val="30"/>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17324D"/>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17324D"/>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7D6CF8"/>
    <w:rPr>
      <w:rFonts w:ascii="Arial" w:eastAsiaTheme="majorEastAsia" w:hAnsi="Arial" w:cstheme="majorBidi"/>
      <w:b/>
      <w:bCs/>
      <w:color w:val="000000" w:themeColor="text1"/>
      <w:sz w:val="30"/>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keepNext/>
      <w:pBdr>
        <w:bottom w:val="single" w:sz="8" w:space="4" w:color="4F81BD" w:themeColor="accent1"/>
      </w:pBdr>
      <w:spacing w:after="300" w:line="240" w:lineRule="auto"/>
      <w:contextualSpacing/>
    </w:pPr>
    <w:rPr>
      <w:rFonts w:asciiTheme="majorHAnsi" w:eastAsiaTheme="majorEastAsia" w:hAnsiTheme="majorHAnsi" w:cstheme="majorBidi"/>
      <w:b/>
      <w:color w:val="17324D"/>
      <w:spacing w:val="5"/>
      <w:kern w:val="28"/>
      <w:sz w:val="40"/>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8"/>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uiPriority w:val="39"/>
    <w:unhideWhenUsed/>
    <w:rsid w:val="719598A3"/>
    <w:pPr>
      <w:spacing w:after="100"/>
    </w:pPr>
  </w:style>
  <w:style w:type="paragraph" w:styleId="TOC2">
    <w:name w:val="toc 2"/>
    <w:basedOn w:val="Normal"/>
    <w:next w:val="Normal"/>
    <w:uiPriority w:val="39"/>
    <w:unhideWhenUsed/>
    <w:rsid w:val="719598A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22</Pages>
  <Words>4144</Words>
  <Characters>23622</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27711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Kunj Vimalkumar Patel</cp:lastModifiedBy>
  <cp:revision>25</cp:revision>
  <dcterms:created xsi:type="dcterms:W3CDTF">2013-12-23T23:15:00Z</dcterms:created>
  <dcterms:modified xsi:type="dcterms:W3CDTF">2026-10-15T12:58:00Z</dcterms:modified>
  <cp:category/>
</cp:coreProperties>
</file>