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04E1D" w14:textId="71075A6D" w:rsidR="000808E0" w:rsidRPr="000808E0" w:rsidRDefault="000808E0" w:rsidP="000808E0">
      <w:pPr>
        <w:spacing w:line="360" w:lineRule="auto"/>
        <w:jc w:val="center"/>
        <w:rPr>
          <w:rFonts w:ascii="Times New Roman" w:hAnsi="Times New Roman" w:cs="Times New Roman"/>
          <w:b/>
          <w:bCs/>
          <w:sz w:val="28"/>
          <w:szCs w:val="28"/>
        </w:rPr>
      </w:pPr>
      <w:r w:rsidRPr="000808E0">
        <w:rPr>
          <w:rFonts w:ascii="Times New Roman" w:hAnsi="Times New Roman" w:cs="Times New Roman"/>
          <w:b/>
          <w:bCs/>
          <w:sz w:val="28"/>
          <w:szCs w:val="28"/>
        </w:rPr>
        <w:t>International Meetings Management</w:t>
      </w:r>
    </w:p>
    <w:p w14:paraId="1DEBE05D" w14:textId="77777777" w:rsidR="000808E0" w:rsidRDefault="000808E0" w:rsidP="000808E0">
      <w:pPr>
        <w:spacing w:line="360" w:lineRule="auto"/>
        <w:jc w:val="center"/>
        <w:rPr>
          <w:rFonts w:ascii="Times New Roman" w:hAnsi="Times New Roman" w:cs="Times New Roman"/>
          <w:b/>
          <w:bCs/>
          <w:sz w:val="24"/>
          <w:szCs w:val="24"/>
        </w:rPr>
      </w:pPr>
    </w:p>
    <w:p w14:paraId="2B3E0ADE" w14:textId="77777777" w:rsidR="000808E0" w:rsidRDefault="000808E0" w:rsidP="000808E0">
      <w:pPr>
        <w:spacing w:line="360" w:lineRule="auto"/>
        <w:jc w:val="center"/>
        <w:rPr>
          <w:rFonts w:ascii="Times New Roman" w:hAnsi="Times New Roman" w:cs="Times New Roman"/>
          <w:b/>
          <w:bCs/>
          <w:sz w:val="24"/>
          <w:szCs w:val="24"/>
        </w:rPr>
      </w:pPr>
    </w:p>
    <w:p w14:paraId="05F4408F" w14:textId="77777777" w:rsidR="000808E0" w:rsidRDefault="000808E0" w:rsidP="000808E0">
      <w:pPr>
        <w:spacing w:line="360" w:lineRule="auto"/>
        <w:jc w:val="center"/>
        <w:rPr>
          <w:rFonts w:ascii="Times New Roman" w:hAnsi="Times New Roman" w:cs="Times New Roman"/>
          <w:b/>
          <w:bCs/>
          <w:sz w:val="24"/>
          <w:szCs w:val="24"/>
        </w:rPr>
      </w:pPr>
    </w:p>
    <w:p w14:paraId="45F3F557" w14:textId="77777777" w:rsidR="000808E0" w:rsidRDefault="000808E0" w:rsidP="000808E0">
      <w:pPr>
        <w:spacing w:line="360" w:lineRule="auto"/>
        <w:jc w:val="center"/>
        <w:rPr>
          <w:rFonts w:ascii="Times New Roman" w:hAnsi="Times New Roman" w:cs="Times New Roman"/>
          <w:b/>
          <w:bCs/>
          <w:sz w:val="24"/>
          <w:szCs w:val="24"/>
        </w:rPr>
      </w:pPr>
    </w:p>
    <w:p w14:paraId="62D929D4" w14:textId="77777777" w:rsidR="000808E0" w:rsidRDefault="000808E0" w:rsidP="000808E0">
      <w:pPr>
        <w:spacing w:line="360" w:lineRule="auto"/>
        <w:jc w:val="center"/>
        <w:rPr>
          <w:rFonts w:ascii="Times New Roman" w:hAnsi="Times New Roman" w:cs="Times New Roman"/>
          <w:b/>
          <w:bCs/>
          <w:sz w:val="24"/>
          <w:szCs w:val="24"/>
        </w:rPr>
      </w:pPr>
    </w:p>
    <w:p w14:paraId="1F9AEFF7" w14:textId="77777777" w:rsidR="000808E0" w:rsidRDefault="000808E0" w:rsidP="000808E0">
      <w:pPr>
        <w:spacing w:line="360" w:lineRule="auto"/>
        <w:jc w:val="center"/>
        <w:rPr>
          <w:rFonts w:ascii="Times New Roman" w:hAnsi="Times New Roman" w:cs="Times New Roman"/>
          <w:b/>
          <w:bCs/>
          <w:sz w:val="24"/>
          <w:szCs w:val="24"/>
        </w:rPr>
      </w:pPr>
    </w:p>
    <w:p w14:paraId="65B6B343" w14:textId="77777777" w:rsidR="000808E0" w:rsidRPr="000808E0" w:rsidRDefault="000808E0" w:rsidP="000808E0">
      <w:pPr>
        <w:spacing w:line="360" w:lineRule="auto"/>
        <w:jc w:val="center"/>
        <w:rPr>
          <w:rFonts w:ascii="Times New Roman" w:hAnsi="Times New Roman" w:cs="Times New Roman"/>
          <w:b/>
          <w:bCs/>
          <w:sz w:val="44"/>
          <w:szCs w:val="44"/>
        </w:rPr>
      </w:pPr>
    </w:p>
    <w:p w14:paraId="2814A480" w14:textId="168B0F25" w:rsidR="000808E0" w:rsidRPr="000808E0" w:rsidRDefault="000808E0" w:rsidP="000808E0">
      <w:pPr>
        <w:spacing w:line="360" w:lineRule="auto"/>
        <w:jc w:val="center"/>
        <w:rPr>
          <w:rFonts w:ascii="Times New Roman" w:hAnsi="Times New Roman" w:cs="Times New Roman"/>
          <w:b/>
          <w:bCs/>
          <w:sz w:val="44"/>
          <w:szCs w:val="44"/>
        </w:rPr>
      </w:pPr>
      <w:r w:rsidRPr="000808E0">
        <w:rPr>
          <w:rFonts w:ascii="Times New Roman" w:hAnsi="Times New Roman" w:cs="Times New Roman"/>
          <w:b/>
          <w:bCs/>
          <w:sz w:val="44"/>
          <w:szCs w:val="44"/>
        </w:rPr>
        <w:t>Planning and Delivering an International Event</w:t>
      </w:r>
    </w:p>
    <w:p w14:paraId="790712DB" w14:textId="77777777" w:rsidR="000808E0" w:rsidRDefault="000808E0" w:rsidP="000808E0">
      <w:pPr>
        <w:spacing w:line="360" w:lineRule="auto"/>
        <w:jc w:val="both"/>
        <w:rPr>
          <w:rFonts w:ascii="Times New Roman" w:hAnsi="Times New Roman" w:cs="Times New Roman"/>
          <w:b/>
          <w:bCs/>
          <w:sz w:val="24"/>
          <w:szCs w:val="24"/>
        </w:rPr>
      </w:pPr>
    </w:p>
    <w:p w14:paraId="7289F228" w14:textId="77777777" w:rsidR="000808E0" w:rsidRDefault="000808E0" w:rsidP="000808E0">
      <w:pPr>
        <w:spacing w:line="360" w:lineRule="auto"/>
        <w:jc w:val="both"/>
        <w:rPr>
          <w:rFonts w:ascii="Times New Roman" w:hAnsi="Times New Roman" w:cs="Times New Roman"/>
          <w:b/>
          <w:bCs/>
          <w:sz w:val="24"/>
          <w:szCs w:val="24"/>
        </w:rPr>
      </w:pPr>
    </w:p>
    <w:p w14:paraId="145241C7" w14:textId="77777777" w:rsidR="000808E0" w:rsidRDefault="000808E0" w:rsidP="000808E0">
      <w:pPr>
        <w:spacing w:line="360" w:lineRule="auto"/>
        <w:jc w:val="both"/>
        <w:rPr>
          <w:rFonts w:ascii="Times New Roman" w:hAnsi="Times New Roman" w:cs="Times New Roman"/>
          <w:b/>
          <w:bCs/>
          <w:sz w:val="24"/>
          <w:szCs w:val="24"/>
        </w:rPr>
      </w:pPr>
    </w:p>
    <w:p w14:paraId="77684BAD" w14:textId="77777777" w:rsidR="000808E0" w:rsidRDefault="000808E0" w:rsidP="000808E0">
      <w:pPr>
        <w:spacing w:line="360" w:lineRule="auto"/>
        <w:jc w:val="both"/>
        <w:rPr>
          <w:rFonts w:ascii="Times New Roman" w:hAnsi="Times New Roman" w:cs="Times New Roman"/>
          <w:b/>
          <w:bCs/>
          <w:sz w:val="24"/>
          <w:szCs w:val="24"/>
        </w:rPr>
      </w:pPr>
    </w:p>
    <w:p w14:paraId="71024A2A" w14:textId="77777777" w:rsidR="000808E0" w:rsidRDefault="000808E0" w:rsidP="000808E0">
      <w:pPr>
        <w:spacing w:line="360" w:lineRule="auto"/>
        <w:jc w:val="both"/>
        <w:rPr>
          <w:rFonts w:ascii="Times New Roman" w:hAnsi="Times New Roman" w:cs="Times New Roman"/>
          <w:b/>
          <w:bCs/>
          <w:sz w:val="24"/>
          <w:szCs w:val="24"/>
        </w:rPr>
      </w:pPr>
    </w:p>
    <w:p w14:paraId="6DE4EE4E" w14:textId="77777777" w:rsidR="000808E0" w:rsidRDefault="000808E0" w:rsidP="000808E0">
      <w:pPr>
        <w:spacing w:line="360" w:lineRule="auto"/>
        <w:jc w:val="both"/>
        <w:rPr>
          <w:rFonts w:ascii="Times New Roman" w:hAnsi="Times New Roman" w:cs="Times New Roman"/>
          <w:b/>
          <w:bCs/>
          <w:sz w:val="24"/>
          <w:szCs w:val="24"/>
        </w:rPr>
      </w:pPr>
    </w:p>
    <w:p w14:paraId="77FF784C" w14:textId="77777777" w:rsidR="000808E0" w:rsidRDefault="000808E0" w:rsidP="000808E0">
      <w:pPr>
        <w:spacing w:line="360" w:lineRule="auto"/>
        <w:jc w:val="both"/>
        <w:rPr>
          <w:rFonts w:ascii="Times New Roman" w:hAnsi="Times New Roman" w:cs="Times New Roman"/>
          <w:b/>
          <w:bCs/>
          <w:sz w:val="24"/>
          <w:szCs w:val="24"/>
        </w:rPr>
      </w:pPr>
    </w:p>
    <w:p w14:paraId="697A8AC1" w14:textId="77777777" w:rsidR="000808E0" w:rsidRDefault="000808E0" w:rsidP="000808E0">
      <w:pPr>
        <w:spacing w:line="360" w:lineRule="auto"/>
        <w:jc w:val="both"/>
        <w:rPr>
          <w:rFonts w:ascii="Times New Roman" w:hAnsi="Times New Roman" w:cs="Times New Roman"/>
          <w:b/>
          <w:bCs/>
          <w:sz w:val="24"/>
          <w:szCs w:val="24"/>
        </w:rPr>
      </w:pPr>
    </w:p>
    <w:p w14:paraId="6FB67F24" w14:textId="77777777" w:rsidR="000808E0" w:rsidRDefault="000808E0" w:rsidP="000808E0">
      <w:pPr>
        <w:spacing w:line="360" w:lineRule="auto"/>
        <w:jc w:val="both"/>
        <w:rPr>
          <w:rFonts w:ascii="Times New Roman" w:hAnsi="Times New Roman" w:cs="Times New Roman"/>
          <w:b/>
          <w:bCs/>
          <w:sz w:val="24"/>
          <w:szCs w:val="24"/>
        </w:rPr>
      </w:pPr>
    </w:p>
    <w:p w14:paraId="5CBD3BE7" w14:textId="26B89D33" w:rsidR="000808E0" w:rsidRDefault="003F53E6" w:rsidP="000808E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name: Tony Ancuta</w:t>
      </w:r>
    </w:p>
    <w:p w14:paraId="4C7FB37C" w14:textId="4D642F90" w:rsidR="003F53E6" w:rsidRDefault="003F53E6" w:rsidP="000808E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number: 2122379</w:t>
      </w:r>
    </w:p>
    <w:p w14:paraId="5C2AFF06" w14:textId="220A3BDA" w:rsidR="003F53E6" w:rsidRDefault="003F53E6" w:rsidP="000808E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Module code: BMIH6007</w:t>
      </w:r>
    </w:p>
    <w:p w14:paraId="049D009B" w14:textId="6E00FDE6" w:rsidR="003F53E6" w:rsidRDefault="003F53E6" w:rsidP="000808E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Lecturer name: Philippa Fitzgerald</w:t>
      </w:r>
    </w:p>
    <w:p w14:paraId="5FA5520F" w14:textId="77777777" w:rsidR="003F53E6" w:rsidRDefault="003F53E6" w:rsidP="000808E0">
      <w:pPr>
        <w:spacing w:line="360" w:lineRule="auto"/>
        <w:jc w:val="both"/>
        <w:rPr>
          <w:rFonts w:ascii="Times New Roman" w:hAnsi="Times New Roman" w:cs="Times New Roman"/>
          <w:b/>
          <w:bCs/>
          <w:sz w:val="24"/>
          <w:szCs w:val="24"/>
        </w:rPr>
      </w:pPr>
    </w:p>
    <w:p w14:paraId="152F9BD8" w14:textId="37194629" w:rsidR="0052513F" w:rsidRPr="000808E0" w:rsidRDefault="0052513F"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lastRenderedPageBreak/>
        <w:t>Introduction</w:t>
      </w:r>
    </w:p>
    <w:p w14:paraId="3219C0A6" w14:textId="33E3CA27" w:rsidR="0043262E" w:rsidRPr="000808E0" w:rsidRDefault="0043262E"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 xml:space="preserve">This report delves into the strategic planning and delivery mechanisms crucial for integrating solar panels into hotels. Through an in-depth exploration of cost-benefit analysis, regulatory compliance, technology selection, project management strategies, and best practices, the report provides actionable insights for hoteliers aiming to adopt solar energy solutions. By strategically planning and effectively delivering solar panel installations, hotels can enhance operational efficiency, reduce environmental impact, and establish themselves as leaders in sustainable hospitality practices. </w:t>
      </w:r>
      <w:r w:rsidR="003C4D9A" w:rsidRPr="000808E0">
        <w:rPr>
          <w:rFonts w:ascii="Times New Roman" w:hAnsi="Times New Roman" w:cs="Times New Roman"/>
          <w:sz w:val="24"/>
          <w:szCs w:val="24"/>
        </w:rPr>
        <w:t>(Navratil, et al</w:t>
      </w:r>
      <w:r w:rsidR="00BE334D" w:rsidRPr="000808E0">
        <w:rPr>
          <w:rFonts w:ascii="Times New Roman" w:hAnsi="Times New Roman" w:cs="Times New Roman"/>
          <w:sz w:val="24"/>
          <w:szCs w:val="24"/>
        </w:rPr>
        <w:t>., 2019)</w:t>
      </w:r>
    </w:p>
    <w:p w14:paraId="4A793DBA" w14:textId="0B7D97E7" w:rsidR="0043262E" w:rsidRPr="000808E0" w:rsidRDefault="0043262E" w:rsidP="000808E0">
      <w:pPr>
        <w:spacing w:line="360" w:lineRule="auto"/>
        <w:rPr>
          <w:rFonts w:ascii="Times New Roman" w:hAnsi="Times New Roman" w:cs="Times New Roman"/>
          <w:sz w:val="24"/>
          <w:szCs w:val="24"/>
        </w:rPr>
      </w:pPr>
      <w:r w:rsidRPr="000808E0">
        <w:rPr>
          <w:rFonts w:ascii="Times New Roman" w:hAnsi="Times New Roman" w:cs="Times New Roman"/>
          <w:sz w:val="24"/>
          <w:szCs w:val="24"/>
        </w:rPr>
        <w:t xml:space="preserve">The location of the event will be Mariott Hotel Portsmouth, chosen because of their wide sustainability background. From energy-efficient lighting and water-saving fixtures to locally sourced organic cuisine, every aspect of the hotel operations is carefully designed to minimize the ecological footprint while maximizing guest comfort and satisfaction. Their commitment to sustainability extends beyond the confines of the property. They actively engage with local communities, support conservation efforts, and partner with eco-friendly suppliers to promote environmental preservation and social responsibility. </w:t>
      </w:r>
      <w:r w:rsidR="00BE334D" w:rsidRPr="000808E0">
        <w:rPr>
          <w:rFonts w:ascii="Times New Roman" w:eastAsia="Times New Roman" w:hAnsi="Times New Roman" w:cs="Times New Roman"/>
          <w:sz w:val="24"/>
          <w:szCs w:val="24"/>
          <w:lang w:eastAsia="en-GB"/>
        </w:rPr>
        <w:t>(Bonvoy, n.d.)</w:t>
      </w:r>
    </w:p>
    <w:p w14:paraId="42781739" w14:textId="44C41924" w:rsidR="0052513F" w:rsidRPr="000808E0" w:rsidRDefault="0043262E"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 xml:space="preserve">The hospitality industry increasingly recognizes sustainability as vital for meeting customer expectations, reducing operational costs, and mitigating environmental impact. Solar energy offers a renewable and efficient solution to power hotel facilities, aligning with corporate social responsibility goals. The integration of solar panels in hotels thus represents a strategic opportunity to enhance operational efficiency, reduce environmental footprint, and enhance brand reputation. This report aims to provide hoteliers with a comprehensive framework for strategically planning and effectively delivering solar panel installations, maximizing the benefits of solar energy adoption within the hospitality sector. </w:t>
      </w:r>
      <w:r w:rsidR="000A6D1F" w:rsidRPr="000808E0">
        <w:rPr>
          <w:rFonts w:ascii="Times New Roman" w:hAnsi="Times New Roman" w:cs="Times New Roman"/>
          <w:sz w:val="24"/>
          <w:szCs w:val="24"/>
        </w:rPr>
        <w:t>(</w:t>
      </w:r>
      <w:r w:rsidR="000A6D1F" w:rsidRPr="003C4D9A">
        <w:rPr>
          <w:rFonts w:ascii="Times New Roman" w:eastAsia="Times New Roman" w:hAnsi="Times New Roman" w:cs="Times New Roman"/>
          <w:sz w:val="24"/>
          <w:szCs w:val="24"/>
          <w:lang w:eastAsia="en-GB"/>
        </w:rPr>
        <w:t>Costa, Costa</w:t>
      </w:r>
      <w:r w:rsidR="000A6D1F" w:rsidRPr="000808E0">
        <w:rPr>
          <w:rFonts w:ascii="Times New Roman" w:eastAsia="Times New Roman" w:hAnsi="Times New Roman" w:cs="Times New Roman"/>
          <w:sz w:val="24"/>
          <w:szCs w:val="24"/>
          <w:lang w:eastAsia="en-GB"/>
        </w:rPr>
        <w:t xml:space="preserve">, </w:t>
      </w:r>
      <w:r w:rsidR="000A6D1F" w:rsidRPr="003C4D9A">
        <w:rPr>
          <w:rFonts w:ascii="Times New Roman" w:eastAsia="Times New Roman" w:hAnsi="Times New Roman" w:cs="Times New Roman"/>
          <w:sz w:val="24"/>
          <w:szCs w:val="24"/>
          <w:lang w:eastAsia="en-GB"/>
        </w:rPr>
        <w:t>2022)</w:t>
      </w:r>
    </w:p>
    <w:p w14:paraId="4C028DC1" w14:textId="77777777" w:rsidR="0052513F" w:rsidRPr="000808E0" w:rsidRDefault="0052513F" w:rsidP="000808E0">
      <w:pPr>
        <w:spacing w:line="360" w:lineRule="auto"/>
        <w:jc w:val="both"/>
        <w:rPr>
          <w:rFonts w:ascii="Times New Roman" w:hAnsi="Times New Roman" w:cs="Times New Roman"/>
          <w:sz w:val="24"/>
          <w:szCs w:val="24"/>
        </w:rPr>
      </w:pPr>
    </w:p>
    <w:p w14:paraId="717BD3E0" w14:textId="0914AD57" w:rsidR="0052513F" w:rsidRPr="000808E0" w:rsidRDefault="0052513F"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The Event Cycle</w:t>
      </w:r>
      <w:r w:rsidR="00F37D93" w:rsidRPr="000808E0">
        <w:rPr>
          <w:rFonts w:ascii="Times New Roman" w:hAnsi="Times New Roman" w:cs="Times New Roman"/>
          <w:b/>
          <w:bCs/>
          <w:sz w:val="24"/>
          <w:szCs w:val="24"/>
        </w:rPr>
        <w:t xml:space="preserve"> (5 Steps Plan)</w:t>
      </w:r>
    </w:p>
    <w:p w14:paraId="09748AE3" w14:textId="02A06DF9" w:rsidR="0052513F" w:rsidRPr="000808E0" w:rsidRDefault="0052513F" w:rsidP="000808E0">
      <w:pPr>
        <w:spacing w:line="360" w:lineRule="auto"/>
        <w:rPr>
          <w:rFonts w:ascii="Times New Roman" w:eastAsia="Times New Roman" w:hAnsi="Times New Roman" w:cs="Times New Roman"/>
          <w:sz w:val="24"/>
          <w:szCs w:val="24"/>
          <w:lang w:eastAsia="en-GB"/>
        </w:rPr>
      </w:pPr>
      <w:r w:rsidRPr="000808E0">
        <w:rPr>
          <w:rFonts w:ascii="Times New Roman" w:hAnsi="Times New Roman" w:cs="Times New Roman"/>
          <w:b/>
          <w:bCs/>
          <w:sz w:val="24"/>
          <w:szCs w:val="24"/>
        </w:rPr>
        <w:tab/>
      </w:r>
      <w:r w:rsidRPr="000808E0">
        <w:rPr>
          <w:rFonts w:ascii="Times New Roman" w:hAnsi="Times New Roman" w:cs="Times New Roman"/>
          <w:sz w:val="24"/>
          <w:szCs w:val="24"/>
        </w:rPr>
        <w:t xml:space="preserve">The event cycle refers to the sequential phases or stages involved in the planning, execution, and evaluation of an event. These phases typically include pre-event planning and preparation, event execution, and post-event evaluation and follow-up. The event cycle encompasses all the activities and processes necessary for the successful conceptualization, organization, and management of an event, from inception to conclusion. It provides a </w:t>
      </w:r>
      <w:r w:rsidRPr="000808E0">
        <w:rPr>
          <w:rFonts w:ascii="Times New Roman" w:hAnsi="Times New Roman" w:cs="Times New Roman"/>
          <w:sz w:val="24"/>
          <w:szCs w:val="24"/>
        </w:rPr>
        <w:lastRenderedPageBreak/>
        <w:t xml:space="preserve">structured framework for managing the entire lifecycle of an event, ensuring that each phase is carefully coordinated and executed to achieve the desired objectives and outcomes. </w:t>
      </w:r>
      <w:r w:rsidR="000A6D1F" w:rsidRPr="000808E0">
        <w:rPr>
          <w:rFonts w:ascii="Times New Roman" w:eastAsia="Times New Roman" w:hAnsi="Times New Roman" w:cs="Times New Roman"/>
          <w:sz w:val="24"/>
          <w:szCs w:val="24"/>
          <w:lang w:eastAsia="en-GB"/>
        </w:rPr>
        <w:t>(Lyyti, n.d.)</w:t>
      </w:r>
    </w:p>
    <w:p w14:paraId="3C368EC2" w14:textId="77777777" w:rsidR="000A6D1F" w:rsidRPr="000808E0" w:rsidRDefault="000A6D1F" w:rsidP="000808E0">
      <w:pPr>
        <w:spacing w:line="360" w:lineRule="auto"/>
        <w:rPr>
          <w:rFonts w:ascii="Times New Roman" w:eastAsia="Times New Roman" w:hAnsi="Times New Roman" w:cs="Times New Roman"/>
          <w:sz w:val="24"/>
          <w:szCs w:val="24"/>
          <w:lang w:eastAsia="en-GB"/>
        </w:rPr>
      </w:pPr>
    </w:p>
    <w:p w14:paraId="48136DBE" w14:textId="60A1E7BF" w:rsidR="0052513F" w:rsidRPr="000808E0" w:rsidRDefault="0052513F" w:rsidP="000808E0">
      <w:pPr>
        <w:pStyle w:val="ListParagraph"/>
        <w:numPr>
          <w:ilvl w:val="0"/>
          <w:numId w:val="6"/>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Planning</w:t>
      </w:r>
      <w:r w:rsidR="00F37D93" w:rsidRPr="000808E0">
        <w:rPr>
          <w:rFonts w:ascii="Times New Roman" w:hAnsi="Times New Roman" w:cs="Times New Roman"/>
          <w:b/>
          <w:bCs/>
          <w:sz w:val="24"/>
          <w:szCs w:val="24"/>
        </w:rPr>
        <w:t>:</w:t>
      </w:r>
    </w:p>
    <w:p w14:paraId="788533C8" w14:textId="6D409FF2" w:rsidR="0052513F" w:rsidRPr="000808E0" w:rsidRDefault="0052513F" w:rsidP="000808E0">
      <w:pPr>
        <w:pStyle w:val="ListParagraph"/>
        <w:numPr>
          <w:ilvl w:val="0"/>
          <w:numId w:val="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Define Event Objectives: Clearly outline the goals and objectives of the Solar-Powered Hospitality Showcase, such as raising awareness about solar energy adoption in hotels and fostering collaboration among industry stakeholders.</w:t>
      </w:r>
      <w:r w:rsidR="000A6D1F" w:rsidRPr="000808E0">
        <w:rPr>
          <w:rFonts w:ascii="Times New Roman" w:hAnsi="Times New Roman" w:cs="Times New Roman"/>
          <w:sz w:val="24"/>
          <w:szCs w:val="24"/>
        </w:rPr>
        <w:t xml:space="preserve"> (</w:t>
      </w:r>
      <w:r w:rsidR="000A6D1F" w:rsidRPr="003C4D9A">
        <w:rPr>
          <w:rFonts w:ascii="Times New Roman" w:eastAsia="Times New Roman" w:hAnsi="Times New Roman" w:cs="Times New Roman"/>
          <w:sz w:val="24"/>
          <w:szCs w:val="24"/>
          <w:lang w:eastAsia="en-GB"/>
        </w:rPr>
        <w:t xml:space="preserve">Tresidder, </w:t>
      </w:r>
      <w:r w:rsidR="000A6D1F" w:rsidRPr="000808E0">
        <w:rPr>
          <w:rFonts w:ascii="Times New Roman" w:eastAsia="Times New Roman" w:hAnsi="Times New Roman" w:cs="Times New Roman"/>
          <w:sz w:val="24"/>
          <w:szCs w:val="24"/>
          <w:lang w:eastAsia="en-GB"/>
        </w:rPr>
        <w:t xml:space="preserve">et al., </w:t>
      </w:r>
      <w:r w:rsidR="000A6D1F" w:rsidRPr="003C4D9A">
        <w:rPr>
          <w:rFonts w:ascii="Times New Roman" w:eastAsia="Times New Roman" w:hAnsi="Times New Roman" w:cs="Times New Roman"/>
          <w:sz w:val="24"/>
          <w:szCs w:val="24"/>
          <w:lang w:eastAsia="en-GB"/>
        </w:rPr>
        <w:t>2012)</w:t>
      </w:r>
    </w:p>
    <w:p w14:paraId="1864F484" w14:textId="0527BD6B" w:rsidR="0052513F" w:rsidRPr="000808E0" w:rsidRDefault="0052513F" w:rsidP="000808E0">
      <w:pPr>
        <w:pStyle w:val="ListParagraph"/>
        <w:numPr>
          <w:ilvl w:val="0"/>
          <w:numId w:val="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Budgeting and Resource Allocation: Determine the budget and allocate resources for venue rental, equipment, marketing materials, and staffing required for the event.</w:t>
      </w:r>
    </w:p>
    <w:p w14:paraId="567F605E" w14:textId="765EDB53" w:rsidR="0052513F" w:rsidRPr="000808E0" w:rsidRDefault="0052513F" w:rsidP="000808E0">
      <w:pPr>
        <w:pStyle w:val="ListParagraph"/>
        <w:numPr>
          <w:ilvl w:val="0"/>
          <w:numId w:val="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Invitations and RSVPs: Prepare invitations and send them to </w:t>
      </w:r>
      <w:r w:rsidR="00ED4C1B" w:rsidRPr="000808E0">
        <w:rPr>
          <w:rFonts w:ascii="Times New Roman" w:hAnsi="Times New Roman" w:cs="Times New Roman"/>
          <w:sz w:val="24"/>
          <w:szCs w:val="24"/>
        </w:rPr>
        <w:t>target</w:t>
      </w:r>
      <w:r w:rsidRPr="000808E0">
        <w:rPr>
          <w:rFonts w:ascii="Times New Roman" w:hAnsi="Times New Roman" w:cs="Times New Roman"/>
          <w:sz w:val="24"/>
          <w:szCs w:val="24"/>
        </w:rPr>
        <w:t xml:space="preserve"> guests, including hoteliers, sustainability experts, media representatives, and local community members. </w:t>
      </w:r>
    </w:p>
    <w:p w14:paraId="165B7206" w14:textId="04F95BBA" w:rsidR="0052513F" w:rsidRPr="000808E0" w:rsidRDefault="0052513F" w:rsidP="000808E0">
      <w:pPr>
        <w:pStyle w:val="ListParagraph"/>
        <w:numPr>
          <w:ilvl w:val="0"/>
          <w:numId w:val="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Marketing and Promotion: Develop a marketing strategy to promote the event through various channels, including social media, email newsletters, press releases, and partnerships with relevant organizations.</w:t>
      </w:r>
      <w:r w:rsidR="000A6D1F" w:rsidRPr="000808E0">
        <w:rPr>
          <w:rFonts w:ascii="Times New Roman" w:hAnsi="Times New Roman" w:cs="Times New Roman"/>
          <w:sz w:val="24"/>
          <w:szCs w:val="24"/>
        </w:rPr>
        <w:t xml:space="preserve">  </w:t>
      </w:r>
      <w:r w:rsidR="00D8295C" w:rsidRPr="000808E0">
        <w:rPr>
          <w:rFonts w:ascii="Times New Roman" w:hAnsi="Times New Roman" w:cs="Times New Roman"/>
          <w:sz w:val="24"/>
          <w:szCs w:val="24"/>
        </w:rPr>
        <w:t>(</w:t>
      </w:r>
      <w:r w:rsidR="000A6D1F" w:rsidRPr="003C4D9A">
        <w:rPr>
          <w:rFonts w:ascii="Times New Roman" w:eastAsia="Times New Roman" w:hAnsi="Times New Roman" w:cs="Times New Roman"/>
          <w:sz w:val="24"/>
          <w:szCs w:val="24"/>
          <w:lang w:eastAsia="en-GB"/>
        </w:rPr>
        <w:t>Boo,</w:t>
      </w:r>
      <w:r w:rsidR="00D8295C" w:rsidRPr="000808E0">
        <w:rPr>
          <w:rFonts w:ascii="Times New Roman" w:eastAsia="Times New Roman" w:hAnsi="Times New Roman" w:cs="Times New Roman"/>
          <w:sz w:val="24"/>
          <w:szCs w:val="24"/>
          <w:lang w:eastAsia="en-GB"/>
        </w:rPr>
        <w:t xml:space="preserve"> </w:t>
      </w:r>
      <w:r w:rsidR="000A6D1F" w:rsidRPr="003C4D9A">
        <w:rPr>
          <w:rFonts w:ascii="Times New Roman" w:eastAsia="Times New Roman" w:hAnsi="Times New Roman" w:cs="Times New Roman"/>
          <w:sz w:val="24"/>
          <w:szCs w:val="24"/>
          <w:lang w:eastAsia="en-GB"/>
        </w:rPr>
        <w:t>Busser,</w:t>
      </w:r>
      <w:r w:rsidR="000A6D1F" w:rsidRPr="000808E0">
        <w:rPr>
          <w:rFonts w:ascii="Times New Roman" w:eastAsia="Times New Roman" w:hAnsi="Times New Roman" w:cs="Times New Roman"/>
          <w:sz w:val="24"/>
          <w:szCs w:val="24"/>
          <w:lang w:eastAsia="en-GB"/>
        </w:rPr>
        <w:t xml:space="preserve"> </w:t>
      </w:r>
      <w:r w:rsidR="000A6D1F" w:rsidRPr="003C4D9A">
        <w:rPr>
          <w:rFonts w:ascii="Times New Roman" w:eastAsia="Times New Roman" w:hAnsi="Times New Roman" w:cs="Times New Roman"/>
          <w:sz w:val="24"/>
          <w:szCs w:val="24"/>
          <w:lang w:eastAsia="en-GB"/>
        </w:rPr>
        <w:t>2018)</w:t>
      </w:r>
    </w:p>
    <w:p w14:paraId="796661C7" w14:textId="77777777" w:rsidR="00F37D93" w:rsidRPr="000808E0" w:rsidRDefault="00F37D93" w:rsidP="000808E0">
      <w:pPr>
        <w:pStyle w:val="ListParagraph"/>
        <w:spacing w:line="360" w:lineRule="auto"/>
        <w:ind w:left="2160"/>
        <w:jc w:val="both"/>
        <w:rPr>
          <w:rFonts w:ascii="Times New Roman" w:hAnsi="Times New Roman" w:cs="Times New Roman"/>
          <w:sz w:val="24"/>
          <w:szCs w:val="24"/>
        </w:rPr>
      </w:pPr>
    </w:p>
    <w:p w14:paraId="1943FF32" w14:textId="66BC8A3B" w:rsidR="00F37D93" w:rsidRPr="000808E0" w:rsidRDefault="00F37D93" w:rsidP="000808E0">
      <w:pPr>
        <w:pStyle w:val="ListParagraph"/>
        <w:numPr>
          <w:ilvl w:val="0"/>
          <w:numId w:val="6"/>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Organise:</w:t>
      </w:r>
    </w:p>
    <w:p w14:paraId="0F8DD95C" w14:textId="1C3D47DB" w:rsidR="00F37D93" w:rsidRPr="000808E0" w:rsidRDefault="00F37D93" w:rsidP="000808E0">
      <w:pPr>
        <w:pStyle w:val="ListParagraph"/>
        <w:numPr>
          <w:ilvl w:val="0"/>
          <w:numId w:val="10"/>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Registration and Welcome: Greet attendees as they arrive, provide registration services, and offer a warm welcome, along with event programs and informational materials.</w:t>
      </w:r>
    </w:p>
    <w:p w14:paraId="166D80B9" w14:textId="7635B1F8" w:rsidR="00F37D93" w:rsidRPr="000808E0" w:rsidRDefault="00F37D93" w:rsidP="000808E0">
      <w:pPr>
        <w:pStyle w:val="ListParagraph"/>
        <w:numPr>
          <w:ilvl w:val="0"/>
          <w:numId w:val="10"/>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Setup and Logistics: Coordinate with vendors and staff to set up the event venue, including signage, seating arrangements, audiovisual equipment, and catering stations.</w:t>
      </w:r>
      <w:r w:rsidR="00D8295C" w:rsidRPr="000808E0">
        <w:rPr>
          <w:rFonts w:ascii="Times New Roman" w:hAnsi="Times New Roman" w:cs="Times New Roman"/>
          <w:sz w:val="24"/>
          <w:szCs w:val="24"/>
        </w:rPr>
        <w:t xml:space="preserve"> (</w:t>
      </w:r>
      <w:r w:rsidR="00D8295C" w:rsidRPr="003C4D9A">
        <w:rPr>
          <w:rFonts w:ascii="Times New Roman" w:eastAsia="Times New Roman" w:hAnsi="Times New Roman" w:cs="Times New Roman"/>
          <w:sz w:val="24"/>
          <w:szCs w:val="24"/>
          <w:lang w:eastAsia="en-GB"/>
        </w:rPr>
        <w:t>Piga, Melis,</w:t>
      </w:r>
      <w:r w:rsidR="00D8295C" w:rsidRPr="000808E0">
        <w:rPr>
          <w:rFonts w:ascii="Times New Roman" w:eastAsia="Times New Roman" w:hAnsi="Times New Roman" w:cs="Times New Roman"/>
          <w:sz w:val="24"/>
          <w:szCs w:val="24"/>
          <w:lang w:eastAsia="en-GB"/>
        </w:rPr>
        <w:t xml:space="preserve"> </w:t>
      </w:r>
      <w:r w:rsidR="00D8295C" w:rsidRPr="003C4D9A">
        <w:rPr>
          <w:rFonts w:ascii="Times New Roman" w:eastAsia="Times New Roman" w:hAnsi="Times New Roman" w:cs="Times New Roman"/>
          <w:sz w:val="24"/>
          <w:szCs w:val="24"/>
          <w:lang w:eastAsia="en-GB"/>
        </w:rPr>
        <w:t>2021)</w:t>
      </w:r>
    </w:p>
    <w:p w14:paraId="107FDA6E" w14:textId="691F70C2" w:rsidR="00F37D93" w:rsidRPr="000808E0" w:rsidRDefault="00F37D93" w:rsidP="000808E0">
      <w:pPr>
        <w:pStyle w:val="ListParagraph"/>
        <w:numPr>
          <w:ilvl w:val="0"/>
          <w:numId w:val="10"/>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Networking Opportunities: Organize networking sessions and cocktail receptions to encourage interaction and collaboration among attendees, fostering meaningful connections and partnerships.</w:t>
      </w:r>
      <w:r w:rsidR="00D8295C" w:rsidRPr="000808E0">
        <w:rPr>
          <w:rFonts w:ascii="Times New Roman" w:hAnsi="Times New Roman" w:cs="Times New Roman"/>
          <w:sz w:val="24"/>
          <w:szCs w:val="24"/>
        </w:rPr>
        <w:t xml:space="preserve"> (</w:t>
      </w:r>
      <w:r w:rsidR="00D8295C" w:rsidRPr="003C4D9A">
        <w:rPr>
          <w:rFonts w:ascii="Times New Roman" w:eastAsia="Times New Roman" w:hAnsi="Times New Roman" w:cs="Times New Roman"/>
          <w:sz w:val="24"/>
          <w:szCs w:val="24"/>
          <w:lang w:eastAsia="en-GB"/>
        </w:rPr>
        <w:t>Waldon, 2023)</w:t>
      </w:r>
    </w:p>
    <w:p w14:paraId="3C9AD91E" w14:textId="261A7E5D" w:rsidR="00F37D93" w:rsidRPr="000808E0" w:rsidRDefault="00F37D93" w:rsidP="000808E0">
      <w:pPr>
        <w:pStyle w:val="ListParagraph"/>
        <w:numPr>
          <w:ilvl w:val="0"/>
          <w:numId w:val="10"/>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Presentations and Workshops: Facilitate expert panel discussions, interactive workshops, and presentations on topics related to solar </w:t>
      </w:r>
      <w:r w:rsidRPr="000808E0">
        <w:rPr>
          <w:rFonts w:ascii="Times New Roman" w:hAnsi="Times New Roman" w:cs="Times New Roman"/>
          <w:sz w:val="24"/>
          <w:szCs w:val="24"/>
        </w:rPr>
        <w:lastRenderedPageBreak/>
        <w:t>energy adoption, sustainability best practices, and innovative technologies.</w:t>
      </w:r>
    </w:p>
    <w:p w14:paraId="4AC894D2" w14:textId="2BE7F1D0" w:rsidR="00F37D93" w:rsidRPr="000808E0" w:rsidRDefault="00F37D93" w:rsidP="000808E0">
      <w:pPr>
        <w:pStyle w:val="ListParagraph"/>
        <w:numPr>
          <w:ilvl w:val="0"/>
          <w:numId w:val="10"/>
        </w:numPr>
        <w:spacing w:line="360" w:lineRule="auto"/>
        <w:jc w:val="both"/>
        <w:rPr>
          <w:rFonts w:ascii="Times New Roman" w:hAnsi="Times New Roman" w:cs="Times New Roman"/>
          <w:sz w:val="24"/>
          <w:szCs w:val="24"/>
        </w:rPr>
      </w:pPr>
      <w:r w:rsidRPr="000808E0">
        <w:rPr>
          <w:rFonts w:ascii="Times New Roman" w:hAnsi="Times New Roman" w:cs="Times New Roman"/>
          <w:color w:val="0D0D0D"/>
          <w:sz w:val="24"/>
          <w:szCs w:val="24"/>
          <w:shd w:val="clear" w:color="auto" w:fill="FFFFFF"/>
        </w:rPr>
        <w:t>Real Solar Experience: Provide attendees with an immersive real experience that simulates solar-powered hotel environments, allowing them to explore interactive simulations and learn about solar energy production.</w:t>
      </w:r>
    </w:p>
    <w:p w14:paraId="796AF535" w14:textId="77777777" w:rsidR="00F37D93" w:rsidRPr="000808E0" w:rsidRDefault="00F37D93" w:rsidP="000808E0">
      <w:pPr>
        <w:pStyle w:val="ListParagraph"/>
        <w:spacing w:line="360" w:lineRule="auto"/>
        <w:ind w:left="2160"/>
        <w:jc w:val="both"/>
        <w:rPr>
          <w:rFonts w:ascii="Times New Roman" w:hAnsi="Times New Roman" w:cs="Times New Roman"/>
          <w:sz w:val="24"/>
          <w:szCs w:val="24"/>
        </w:rPr>
      </w:pPr>
    </w:p>
    <w:p w14:paraId="66C18665" w14:textId="193D8AF0" w:rsidR="00F37D93" w:rsidRPr="000808E0" w:rsidRDefault="00F37D93" w:rsidP="000808E0">
      <w:pPr>
        <w:pStyle w:val="ListParagraph"/>
        <w:numPr>
          <w:ilvl w:val="0"/>
          <w:numId w:val="6"/>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 xml:space="preserve">Evaluation (post-event): </w:t>
      </w:r>
    </w:p>
    <w:p w14:paraId="67D5CC82" w14:textId="26820443" w:rsidR="00F37D93" w:rsidRPr="000808E0" w:rsidRDefault="00F37D93"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Documentation and Reporting: Document the event proceedings, including photos, videos, and written summaries, for internal records and external communications. Prepare a comprehensive report highlighting key outcomes, insights, and recommendations for future events.</w:t>
      </w:r>
      <w:r w:rsidR="0048761E" w:rsidRPr="000808E0">
        <w:rPr>
          <w:rFonts w:ascii="Times New Roman" w:hAnsi="Times New Roman" w:cs="Times New Roman"/>
          <w:sz w:val="24"/>
          <w:szCs w:val="24"/>
        </w:rPr>
        <w:t xml:space="preserve"> (</w:t>
      </w:r>
      <w:r w:rsidR="0048761E" w:rsidRPr="008904E2">
        <w:rPr>
          <w:rFonts w:ascii="Times New Roman" w:eastAsia="Times New Roman" w:hAnsi="Times New Roman" w:cs="Times New Roman"/>
          <w:sz w:val="24"/>
          <w:szCs w:val="24"/>
          <w:lang w:eastAsia="en-GB"/>
        </w:rPr>
        <w:t>Getz, 2018</w:t>
      </w:r>
      <w:r w:rsidR="0048761E" w:rsidRPr="000808E0">
        <w:rPr>
          <w:rFonts w:ascii="Times New Roman" w:eastAsia="Times New Roman" w:hAnsi="Times New Roman" w:cs="Times New Roman"/>
          <w:sz w:val="24"/>
          <w:szCs w:val="24"/>
          <w:lang w:eastAsia="en-GB"/>
        </w:rPr>
        <w:t>)</w:t>
      </w:r>
    </w:p>
    <w:p w14:paraId="279B1038" w14:textId="641F7C3D" w:rsidR="00F37D93" w:rsidRPr="000808E0" w:rsidRDefault="00F37D93"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Planning for Future Events: Reflect on lessons learned from the Solar-Powered Hospitality Showcase and use insights gained to inform the planning and execution of future events. Incorporate feedback and suggestions to enhance the quality and impact of future sustainability initiatives within the hospitality sector.</w:t>
      </w:r>
      <w:r w:rsidR="0048761E" w:rsidRPr="000808E0">
        <w:rPr>
          <w:rFonts w:ascii="Times New Roman" w:hAnsi="Times New Roman" w:cs="Times New Roman"/>
          <w:sz w:val="24"/>
          <w:szCs w:val="24"/>
        </w:rPr>
        <w:t xml:space="preserve"> </w:t>
      </w:r>
    </w:p>
    <w:p w14:paraId="6302B6C2" w14:textId="727AD22B" w:rsidR="00ED4C1B" w:rsidRPr="000808E0" w:rsidRDefault="00ED4C1B" w:rsidP="000808E0">
      <w:pPr>
        <w:pStyle w:val="ListParagraph"/>
        <w:numPr>
          <w:ilvl w:val="0"/>
          <w:numId w:val="6"/>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Analyse:</w:t>
      </w:r>
    </w:p>
    <w:p w14:paraId="524E817C" w14:textId="77777777" w:rsidR="00ED4C1B" w:rsidRPr="000808E0" w:rsidRDefault="00ED4C1B"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Feedback Collection: Solicit feedback from attendees through surveys, interviews, or online forms to evaluate their satisfaction with the event and gather suggestions for improvement.</w:t>
      </w:r>
    </w:p>
    <w:p w14:paraId="51A3F401" w14:textId="216AC8C5" w:rsidR="00ED4C1B" w:rsidRPr="000808E0" w:rsidRDefault="00ED4C1B"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Performance Analysis: Analyse key performance metrics, such as attendance numbers, engagement levels, and media coverage, to assess the overall success of the Solar-Powered Hospitality Showcase.</w:t>
      </w:r>
      <w:r w:rsidR="0048761E" w:rsidRPr="000808E0">
        <w:rPr>
          <w:rFonts w:ascii="Times New Roman" w:hAnsi="Times New Roman" w:cs="Times New Roman"/>
          <w:sz w:val="24"/>
          <w:szCs w:val="24"/>
        </w:rPr>
        <w:t xml:space="preserve"> (</w:t>
      </w:r>
      <w:r w:rsidR="0048761E" w:rsidRPr="008904E2">
        <w:rPr>
          <w:rFonts w:ascii="Times New Roman" w:eastAsia="Times New Roman" w:hAnsi="Times New Roman" w:cs="Times New Roman"/>
          <w:sz w:val="24"/>
          <w:szCs w:val="24"/>
          <w:lang w:eastAsia="en-GB"/>
        </w:rPr>
        <w:t>Yang</w:t>
      </w:r>
      <w:r w:rsidR="0048761E" w:rsidRPr="000808E0">
        <w:rPr>
          <w:rFonts w:ascii="Times New Roman" w:eastAsia="Times New Roman" w:hAnsi="Times New Roman" w:cs="Times New Roman"/>
          <w:sz w:val="24"/>
          <w:szCs w:val="24"/>
          <w:lang w:eastAsia="en-GB"/>
        </w:rPr>
        <w:t xml:space="preserve">, et al, </w:t>
      </w:r>
      <w:r w:rsidR="0048761E" w:rsidRPr="008904E2">
        <w:rPr>
          <w:rFonts w:ascii="Times New Roman" w:eastAsia="Times New Roman" w:hAnsi="Times New Roman" w:cs="Times New Roman"/>
          <w:sz w:val="24"/>
          <w:szCs w:val="24"/>
          <w:lang w:eastAsia="en-GB"/>
        </w:rPr>
        <w:t>2021).</w:t>
      </w:r>
    </w:p>
    <w:p w14:paraId="6E6EE22B" w14:textId="3010FD2F" w:rsidR="00ED4C1B" w:rsidRPr="000808E0" w:rsidRDefault="00ED4C1B" w:rsidP="000808E0">
      <w:pPr>
        <w:pStyle w:val="ListParagraph"/>
        <w:numPr>
          <w:ilvl w:val="0"/>
          <w:numId w:val="6"/>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Share:</w:t>
      </w:r>
    </w:p>
    <w:p w14:paraId="0EB2C2AF" w14:textId="77777777" w:rsidR="00ED4C1B" w:rsidRPr="000808E0" w:rsidRDefault="00ED4C1B"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Follow-Up Communications: Send thank-you notes to attendees, speakers, sponsors, and partners, expressing appreciation for their participation and support. Provide follow-up information, resources, and opportunities for continued engagement in sustainability initiatives.</w:t>
      </w:r>
    </w:p>
    <w:p w14:paraId="1768D9A3" w14:textId="6449E802" w:rsidR="002A44DD" w:rsidRPr="003F53E6" w:rsidRDefault="00ED4C1B" w:rsidP="003F53E6">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 xml:space="preserve">By following the event cycle and carefully managing each phase, the Solar-Powered Hospitality Showcase can achieve its objectives of raising awareness about solar energy </w:t>
      </w:r>
      <w:r w:rsidRPr="000808E0">
        <w:rPr>
          <w:rFonts w:ascii="Times New Roman" w:hAnsi="Times New Roman" w:cs="Times New Roman"/>
          <w:sz w:val="24"/>
          <w:szCs w:val="24"/>
        </w:rPr>
        <w:lastRenderedPageBreak/>
        <w:t>adoption in hotels, fostering collaboration among industry stakeholders, and promoting sustainable hospitality practices.</w:t>
      </w:r>
      <w:r w:rsidR="002520BB" w:rsidRPr="000808E0">
        <w:rPr>
          <w:rFonts w:ascii="Times New Roman" w:hAnsi="Times New Roman" w:cs="Times New Roman"/>
          <w:sz w:val="24"/>
          <w:szCs w:val="24"/>
        </w:rPr>
        <w:t xml:space="preserve"> (</w:t>
      </w:r>
      <w:r w:rsidR="002520BB" w:rsidRPr="00E10EC9">
        <w:rPr>
          <w:rFonts w:ascii="Times New Roman" w:eastAsia="Times New Roman" w:hAnsi="Times New Roman" w:cs="Times New Roman"/>
          <w:sz w:val="24"/>
          <w:szCs w:val="24"/>
          <w:lang w:eastAsia="en-GB"/>
        </w:rPr>
        <w:t xml:space="preserve">Brown, </w:t>
      </w:r>
      <w:r w:rsidR="002520BB" w:rsidRPr="000808E0">
        <w:rPr>
          <w:rFonts w:ascii="Times New Roman" w:eastAsia="Times New Roman" w:hAnsi="Times New Roman" w:cs="Times New Roman"/>
          <w:sz w:val="24"/>
          <w:szCs w:val="24"/>
          <w:lang w:eastAsia="en-GB"/>
        </w:rPr>
        <w:t xml:space="preserve">et al, </w:t>
      </w:r>
      <w:r w:rsidR="002520BB" w:rsidRPr="00E10EC9">
        <w:rPr>
          <w:rFonts w:ascii="Times New Roman" w:eastAsia="Times New Roman" w:hAnsi="Times New Roman" w:cs="Times New Roman"/>
          <w:sz w:val="24"/>
          <w:szCs w:val="24"/>
          <w:lang w:eastAsia="en-GB"/>
        </w:rPr>
        <w:t>2015).</w:t>
      </w:r>
    </w:p>
    <w:p w14:paraId="0ADD3075" w14:textId="0132DD85" w:rsidR="00ED4C1B" w:rsidRPr="000808E0" w:rsidRDefault="00ED4C1B"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Event Concept</w:t>
      </w:r>
    </w:p>
    <w:p w14:paraId="3A3D924E" w14:textId="44821EFB" w:rsidR="00ED4C1B" w:rsidRPr="000808E0" w:rsidRDefault="00ED4C1B" w:rsidP="000808E0">
      <w:pPr>
        <w:spacing w:line="360" w:lineRule="auto"/>
        <w:jc w:val="both"/>
        <w:rPr>
          <w:rFonts w:ascii="Times New Roman" w:hAnsi="Times New Roman" w:cs="Times New Roman"/>
          <w:sz w:val="24"/>
          <w:szCs w:val="24"/>
        </w:rPr>
      </w:pPr>
      <w:r w:rsidRPr="000808E0">
        <w:rPr>
          <w:rFonts w:ascii="Times New Roman" w:hAnsi="Times New Roman" w:cs="Times New Roman"/>
          <w:b/>
          <w:bCs/>
          <w:sz w:val="24"/>
          <w:szCs w:val="24"/>
        </w:rPr>
        <w:tab/>
      </w:r>
      <w:r w:rsidRPr="000808E0">
        <w:rPr>
          <w:rFonts w:ascii="Times New Roman" w:hAnsi="Times New Roman" w:cs="Times New Roman"/>
          <w:sz w:val="24"/>
          <w:szCs w:val="24"/>
        </w:rPr>
        <w:t>The event is designed to serve as a comprehensive platform for celebrating and highlighting the incorporation of solar panels in hotel operations, emphasizing the importance of sustainable practices in the hospitality sector. Through a diverse range of activities including guided tours, expert panel discussions, interactive workshops, and networking sessions, attendees will immerse themselves in the world of solar-powered hospitality. The event will commence with an engaging introduction, setting the tone for an enlightening exploration of solar energy's transformative potential within the hotel industry.</w:t>
      </w:r>
      <w:r w:rsidR="00591E77" w:rsidRPr="000808E0">
        <w:rPr>
          <w:rFonts w:ascii="Times New Roman" w:hAnsi="Times New Roman" w:cs="Times New Roman"/>
          <w:color w:val="0D0D0D"/>
          <w:sz w:val="24"/>
          <w:szCs w:val="24"/>
          <w:shd w:val="clear" w:color="auto" w:fill="FFFFFF"/>
        </w:rPr>
        <w:t xml:space="preserve"> </w:t>
      </w:r>
      <w:r w:rsidR="00591E77" w:rsidRPr="000808E0">
        <w:rPr>
          <w:rFonts w:ascii="Times New Roman" w:hAnsi="Times New Roman" w:cs="Times New Roman"/>
          <w:sz w:val="24"/>
          <w:szCs w:val="24"/>
        </w:rPr>
        <w:t>From rooftop arrays to ground-mounted panels, participants will witness how solar technology seamlessly integrates with the hotel's infrastructure and operations.</w:t>
      </w:r>
      <w:r w:rsidR="00D8295C" w:rsidRPr="000808E0">
        <w:rPr>
          <w:rFonts w:ascii="Times New Roman" w:hAnsi="Times New Roman" w:cs="Times New Roman"/>
          <w:sz w:val="24"/>
          <w:szCs w:val="24"/>
        </w:rPr>
        <w:t xml:space="preserve"> (</w:t>
      </w:r>
      <w:r w:rsidR="00D8295C" w:rsidRPr="003C4D9A">
        <w:rPr>
          <w:rFonts w:ascii="Times New Roman" w:eastAsia="Times New Roman" w:hAnsi="Times New Roman" w:cs="Times New Roman"/>
          <w:sz w:val="24"/>
          <w:szCs w:val="24"/>
          <w:lang w:eastAsia="en-GB"/>
        </w:rPr>
        <w:t xml:space="preserve">Bladen, </w:t>
      </w:r>
      <w:r w:rsidR="00D8295C" w:rsidRPr="000808E0">
        <w:rPr>
          <w:rFonts w:ascii="Times New Roman" w:eastAsia="Times New Roman" w:hAnsi="Times New Roman" w:cs="Times New Roman"/>
          <w:sz w:val="24"/>
          <w:szCs w:val="24"/>
          <w:lang w:eastAsia="en-GB"/>
        </w:rPr>
        <w:t xml:space="preserve">et al, </w:t>
      </w:r>
      <w:r w:rsidR="00D8295C" w:rsidRPr="003C4D9A">
        <w:rPr>
          <w:rFonts w:ascii="Times New Roman" w:eastAsia="Times New Roman" w:hAnsi="Times New Roman" w:cs="Times New Roman"/>
          <w:sz w:val="24"/>
          <w:szCs w:val="24"/>
          <w:lang w:eastAsia="en-GB"/>
        </w:rPr>
        <w:t>2023)</w:t>
      </w:r>
    </w:p>
    <w:p w14:paraId="14C96A4C" w14:textId="0849EC4B" w:rsidR="00591E77" w:rsidRPr="000808E0" w:rsidRDefault="00591E77"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 xml:space="preserve">Expert panel discussions will delve deep into the strategic considerations and best practices associated with implementing solar panels in hotels. Esteemed industry leaders, sustainability experts, and pioneers in solar energy will share their expertise on topics ranging from financial feasibility to regulatory compliance and technological advancements. Participants will have the opportunity to engage in meaningful discussions, forge partnerships, and exchange ideas aimed at advancing sustainable practices in the hospitality industry. Interactive workshops will provide participants with practical skills and knowledge to drive sustainability initiatives within their own organizations. </w:t>
      </w:r>
    </w:p>
    <w:p w14:paraId="7572EB07" w14:textId="0DFFA920" w:rsidR="00591E77" w:rsidRPr="000808E0" w:rsidRDefault="00591E77"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Through hands-on demonstrations and collaborative sessions, attendees will learn about solar panel maintenance, energy monitoring, and sustainable energy management practices.</w:t>
      </w:r>
      <w:r w:rsidRPr="000808E0">
        <w:rPr>
          <w:rFonts w:ascii="Times New Roman" w:hAnsi="Times New Roman" w:cs="Times New Roman"/>
          <w:color w:val="0D0D0D"/>
          <w:sz w:val="24"/>
          <w:szCs w:val="24"/>
          <w:shd w:val="clear" w:color="auto" w:fill="FFFFFF"/>
        </w:rPr>
        <w:t xml:space="preserve"> </w:t>
      </w:r>
      <w:r w:rsidRPr="000808E0">
        <w:rPr>
          <w:rFonts w:ascii="Times New Roman" w:hAnsi="Times New Roman" w:cs="Times New Roman"/>
          <w:sz w:val="24"/>
          <w:szCs w:val="24"/>
        </w:rPr>
        <w:t xml:space="preserve">Guided tours will offer attendees a firsthand look at the hotel's solar panel installations, providing valuable insights into the design, technology, and environmental impact of renewable energy solutions. </w:t>
      </w:r>
    </w:p>
    <w:p w14:paraId="5BCF81BF" w14:textId="16FAB33E" w:rsidR="00591E77" w:rsidRPr="000808E0" w:rsidRDefault="00591E77"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 xml:space="preserve">Overall, attendees can expect a diverse range of experiences that will inform, inspire, and empower them to embrace sustainability and renewable energy within the hospitality industry and beyond. </w:t>
      </w:r>
    </w:p>
    <w:p w14:paraId="01790D8A" w14:textId="77777777" w:rsidR="002520BB" w:rsidRDefault="002520BB" w:rsidP="000808E0">
      <w:pPr>
        <w:spacing w:line="360" w:lineRule="auto"/>
        <w:jc w:val="both"/>
        <w:rPr>
          <w:rFonts w:ascii="Times New Roman" w:hAnsi="Times New Roman" w:cs="Times New Roman"/>
          <w:sz w:val="24"/>
          <w:szCs w:val="24"/>
        </w:rPr>
      </w:pPr>
    </w:p>
    <w:p w14:paraId="4A2FB316" w14:textId="77777777" w:rsidR="003F53E6" w:rsidRPr="000808E0" w:rsidRDefault="003F53E6" w:rsidP="000808E0">
      <w:pPr>
        <w:spacing w:line="360" w:lineRule="auto"/>
        <w:jc w:val="both"/>
        <w:rPr>
          <w:rFonts w:ascii="Times New Roman" w:hAnsi="Times New Roman" w:cs="Times New Roman"/>
          <w:b/>
          <w:bCs/>
          <w:sz w:val="24"/>
          <w:szCs w:val="24"/>
        </w:rPr>
      </w:pPr>
    </w:p>
    <w:p w14:paraId="4AC2F1D6" w14:textId="24418ADD" w:rsidR="00591E77" w:rsidRPr="000808E0" w:rsidRDefault="00591E77"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lastRenderedPageBreak/>
        <w:t xml:space="preserve">Aim and Objectives of the Event </w:t>
      </w:r>
    </w:p>
    <w:p w14:paraId="6947589C" w14:textId="01B1851A" w:rsidR="00591E77" w:rsidRPr="000808E0" w:rsidRDefault="00591E77"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ab/>
      </w:r>
      <w:r w:rsidR="003828DE" w:rsidRPr="000808E0">
        <w:rPr>
          <w:rFonts w:ascii="Times New Roman" w:hAnsi="Times New Roman" w:cs="Times New Roman"/>
          <w:sz w:val="24"/>
          <w:szCs w:val="24"/>
        </w:rPr>
        <w:t xml:space="preserve">The overarching aim of this event is to serve as a catalyst for transformative change within the hospitality industry by illuminating the potential of solar energy integration in hotels. By bringing together stakeholders, thought leaders, and sustainability advocates, our goal is to inspire, educate, and mobilize collective action towards a more sustainable and resilient future. Our overarching aim is to spark a movement towards greener, more resilient hospitality practices, where solar energy serves as a beacon of hope for a brighter future for hotels, communities, and the planet as a whole. </w:t>
      </w:r>
      <w:r w:rsidR="002520BB" w:rsidRPr="000808E0">
        <w:rPr>
          <w:rFonts w:ascii="Times New Roman" w:hAnsi="Times New Roman" w:cs="Times New Roman"/>
          <w:sz w:val="24"/>
          <w:szCs w:val="24"/>
        </w:rPr>
        <w:t>(</w:t>
      </w:r>
      <w:r w:rsidR="002520BB" w:rsidRPr="00E10EC9">
        <w:rPr>
          <w:rFonts w:ascii="Times New Roman" w:eastAsia="Times New Roman" w:hAnsi="Times New Roman" w:cs="Times New Roman"/>
          <w:sz w:val="24"/>
          <w:szCs w:val="24"/>
          <w:lang w:eastAsia="en-GB"/>
        </w:rPr>
        <w:t>Zinkin</w:t>
      </w:r>
      <w:r w:rsidR="002520BB" w:rsidRPr="000808E0">
        <w:rPr>
          <w:rFonts w:ascii="Times New Roman" w:eastAsia="Times New Roman" w:hAnsi="Times New Roman" w:cs="Times New Roman"/>
          <w:sz w:val="24"/>
          <w:szCs w:val="24"/>
          <w:lang w:eastAsia="en-GB"/>
        </w:rPr>
        <w:t xml:space="preserve">, </w:t>
      </w:r>
      <w:r w:rsidR="002520BB" w:rsidRPr="00E10EC9">
        <w:rPr>
          <w:rFonts w:ascii="Times New Roman" w:eastAsia="Times New Roman" w:hAnsi="Times New Roman" w:cs="Times New Roman"/>
          <w:sz w:val="24"/>
          <w:szCs w:val="24"/>
          <w:lang w:eastAsia="en-GB"/>
        </w:rPr>
        <w:t>2020</w:t>
      </w:r>
      <w:r w:rsidR="002520BB" w:rsidRPr="000808E0">
        <w:rPr>
          <w:rFonts w:ascii="Times New Roman" w:eastAsia="Times New Roman" w:hAnsi="Times New Roman" w:cs="Times New Roman"/>
          <w:sz w:val="24"/>
          <w:szCs w:val="24"/>
          <w:lang w:eastAsia="en-GB"/>
        </w:rPr>
        <w:t>)</w:t>
      </w:r>
    </w:p>
    <w:p w14:paraId="76DD5D98" w14:textId="4BC01AD7" w:rsidR="003828DE"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Moreover, this event aims to create a platform for collaboration and knowledge exchange, enabling participants to forge meaningful connections, share insights, and explore opportunities for partnership and innovation. </w:t>
      </w:r>
    </w:p>
    <w:p w14:paraId="4E3BAF57" w14:textId="3E40EC46" w:rsidR="00ED4C1B"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ab/>
        <w:t>Talking about objectives, a key strategy in our event is the use of SMART objectives. SMART objectives are specific, measurable, achievable, relevant, and time-bound goals that provide a clear framework for defining and evaluating the success of a project or initiative.</w:t>
      </w:r>
      <w:r w:rsidRPr="000808E0">
        <w:rPr>
          <w:rFonts w:ascii="Times New Roman" w:hAnsi="Times New Roman" w:cs="Times New Roman"/>
          <w:color w:val="0D0D0D"/>
          <w:sz w:val="24"/>
          <w:szCs w:val="24"/>
          <w:shd w:val="clear" w:color="auto" w:fill="FFFFFF"/>
        </w:rPr>
        <w:t xml:space="preserve"> </w:t>
      </w:r>
      <w:r w:rsidRPr="000808E0">
        <w:rPr>
          <w:rFonts w:ascii="Times New Roman" w:hAnsi="Times New Roman" w:cs="Times New Roman"/>
          <w:sz w:val="24"/>
          <w:szCs w:val="24"/>
        </w:rPr>
        <w:t>By adhering to the SMART criteria, organizations can ensure that their objectives are well-defined, actionable, and conducive to effective planning, execution, and evaluation.</w:t>
      </w:r>
      <w:r w:rsidR="00ED4C1B" w:rsidRPr="000808E0">
        <w:rPr>
          <w:rFonts w:ascii="Times New Roman" w:hAnsi="Times New Roman" w:cs="Times New Roman"/>
          <w:b/>
          <w:bCs/>
          <w:sz w:val="24"/>
          <w:szCs w:val="24"/>
        </w:rPr>
        <w:tab/>
      </w:r>
    </w:p>
    <w:p w14:paraId="426FC96D" w14:textId="490ACA6F" w:rsidR="00F37D93"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We will focus on 2 of the objectives and present the benefits of using this tool in our report for the event: </w:t>
      </w:r>
    </w:p>
    <w:p w14:paraId="5B55E83B" w14:textId="19896900" w:rsidR="003828DE" w:rsidRPr="000808E0" w:rsidRDefault="003828DE" w:rsidP="000808E0">
      <w:pPr>
        <w:pStyle w:val="ListParagraph"/>
        <w:numPr>
          <w:ilvl w:val="0"/>
          <w:numId w:val="14"/>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Specific and measurable objectives</w:t>
      </w:r>
    </w:p>
    <w:p w14:paraId="2C094034" w14:textId="156AB2FD" w:rsidR="003828DE" w:rsidRPr="000808E0" w:rsidRDefault="003828DE"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color w:val="0D0D0D"/>
          <w:sz w:val="24"/>
          <w:szCs w:val="24"/>
          <w:shd w:val="clear" w:color="auto" w:fill="FFFFFF"/>
        </w:rPr>
        <w:t>Objective: Enhance awareness among hoteliers and industry professionals regarding the benefits of solar energy.</w:t>
      </w:r>
    </w:p>
    <w:p w14:paraId="768032BD" w14:textId="28C73C1B" w:rsidR="003828DE" w:rsidRPr="000808E0" w:rsidRDefault="003828DE"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color w:val="0D0D0D"/>
          <w:sz w:val="24"/>
          <w:szCs w:val="24"/>
          <w:shd w:val="clear" w:color="auto" w:fill="FFFFFF"/>
        </w:rPr>
        <w:t>Specific: Create and deliver educational content, such as presentations, workshops, and guided tours, emphasizing the economic, environmental, and social advantages of integrating solar panels into hotel operations.</w:t>
      </w:r>
    </w:p>
    <w:p w14:paraId="39F60FCA" w14:textId="76F2CC3B" w:rsidR="003828DE" w:rsidRPr="000808E0" w:rsidRDefault="003828DE" w:rsidP="000808E0">
      <w:pPr>
        <w:pStyle w:val="ListParagraph"/>
        <w:numPr>
          <w:ilvl w:val="0"/>
          <w:numId w:val="11"/>
        </w:numPr>
        <w:spacing w:line="360" w:lineRule="auto"/>
        <w:jc w:val="both"/>
        <w:rPr>
          <w:rFonts w:ascii="Times New Roman" w:hAnsi="Times New Roman" w:cs="Times New Roman"/>
          <w:sz w:val="24"/>
          <w:szCs w:val="24"/>
        </w:rPr>
      </w:pPr>
      <w:r w:rsidRPr="000808E0">
        <w:rPr>
          <w:rFonts w:ascii="Times New Roman" w:hAnsi="Times New Roman" w:cs="Times New Roman"/>
          <w:color w:val="0D0D0D"/>
          <w:sz w:val="24"/>
          <w:szCs w:val="24"/>
          <w:shd w:val="clear" w:color="auto" w:fill="FFFFFF"/>
        </w:rPr>
        <w:t xml:space="preserve">Measurable: Evaluate the increase in knowledge and understanding of solar energy benefits by tracking the number of attendees who report enhanced awareness through pre- and post-event surveys. </w:t>
      </w:r>
    </w:p>
    <w:p w14:paraId="08C0EB74" w14:textId="3A3F26E7" w:rsidR="003828DE"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This objective provides a clear direction for increasing awareness of solar energy benefits among participants. By implementing measurable strategies like educational content and </w:t>
      </w:r>
      <w:r w:rsidRPr="000808E0">
        <w:rPr>
          <w:rFonts w:ascii="Times New Roman" w:hAnsi="Times New Roman" w:cs="Times New Roman"/>
          <w:sz w:val="24"/>
          <w:szCs w:val="24"/>
        </w:rPr>
        <w:lastRenderedPageBreak/>
        <w:t xml:space="preserve">surveys, it ensures both specificity in goal setting and a means to assess progress during and after the event. </w:t>
      </w:r>
      <w:r w:rsidR="002520BB" w:rsidRPr="000808E0">
        <w:rPr>
          <w:rFonts w:ascii="Times New Roman" w:hAnsi="Times New Roman" w:cs="Times New Roman"/>
          <w:sz w:val="24"/>
          <w:szCs w:val="24"/>
        </w:rPr>
        <w:t>(</w:t>
      </w:r>
      <w:r w:rsidR="002520BB" w:rsidRPr="00E10EC9">
        <w:rPr>
          <w:rFonts w:ascii="Times New Roman" w:eastAsia="Times New Roman" w:hAnsi="Times New Roman" w:cs="Times New Roman"/>
          <w:sz w:val="24"/>
          <w:szCs w:val="24"/>
          <w:lang w:eastAsia="en-GB"/>
        </w:rPr>
        <w:t>Mori,</w:t>
      </w:r>
      <w:r w:rsidR="002520BB" w:rsidRPr="000808E0">
        <w:rPr>
          <w:rFonts w:ascii="Times New Roman" w:eastAsia="Times New Roman" w:hAnsi="Times New Roman" w:cs="Times New Roman"/>
          <w:sz w:val="24"/>
          <w:szCs w:val="24"/>
          <w:lang w:eastAsia="en-GB"/>
        </w:rPr>
        <w:t xml:space="preserve"> </w:t>
      </w:r>
      <w:r w:rsidR="002520BB" w:rsidRPr="00E10EC9">
        <w:rPr>
          <w:rFonts w:ascii="Times New Roman" w:eastAsia="Times New Roman" w:hAnsi="Times New Roman" w:cs="Times New Roman"/>
          <w:sz w:val="24"/>
          <w:szCs w:val="24"/>
          <w:lang w:eastAsia="en-GB"/>
        </w:rPr>
        <w:t>2022).</w:t>
      </w:r>
    </w:p>
    <w:p w14:paraId="12309DFD" w14:textId="19ACC457" w:rsidR="003828DE" w:rsidRPr="000808E0" w:rsidRDefault="003828DE" w:rsidP="000808E0">
      <w:pPr>
        <w:pStyle w:val="ListParagraph"/>
        <w:numPr>
          <w:ilvl w:val="0"/>
          <w:numId w:val="14"/>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Achievable and Time-bound Objective</w:t>
      </w:r>
    </w:p>
    <w:p w14:paraId="4CE0DEC8" w14:textId="64CD49BC" w:rsidR="003828DE" w:rsidRPr="000808E0" w:rsidRDefault="003828DE" w:rsidP="000808E0">
      <w:pPr>
        <w:pStyle w:val="ListParagraph"/>
        <w:numPr>
          <w:ilvl w:val="0"/>
          <w:numId w:val="15"/>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Objective: Forge partnerships with local solar vendors and sustainability organizations to support ongoing solar panel initiatives in hotels</w:t>
      </w:r>
    </w:p>
    <w:p w14:paraId="07FFEBA6" w14:textId="1EA1A648" w:rsidR="003828DE" w:rsidRPr="000808E0" w:rsidRDefault="003828DE" w:rsidP="000808E0">
      <w:pPr>
        <w:pStyle w:val="ListParagraph"/>
        <w:numPr>
          <w:ilvl w:val="0"/>
          <w:numId w:val="15"/>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Achievable: Research and identify potential partners in the local area renowned for their expertise in solar energy solutions and sustainability practices.</w:t>
      </w:r>
    </w:p>
    <w:p w14:paraId="67CA33C6" w14:textId="61B186F2" w:rsidR="003828DE"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This objective focuses on establishing feasible partnerships to bolster the implementation of solar panel initiatives in hotels. By setting realistic criteria and a defined timeline for partnership establishment, it ensures progress can be effectively tracked within a specified timeframe, thereby contributing to the long-term success of solar energy integration in the hospitality sector. </w:t>
      </w:r>
      <w:r w:rsidR="002520BB" w:rsidRPr="000808E0">
        <w:rPr>
          <w:rFonts w:ascii="Times New Roman" w:hAnsi="Times New Roman" w:cs="Times New Roman"/>
          <w:sz w:val="24"/>
          <w:szCs w:val="24"/>
        </w:rPr>
        <w:t>(</w:t>
      </w:r>
      <w:r w:rsidR="002520BB" w:rsidRPr="00E10EC9">
        <w:rPr>
          <w:rFonts w:ascii="Times New Roman" w:eastAsia="Times New Roman" w:hAnsi="Times New Roman" w:cs="Times New Roman"/>
          <w:sz w:val="24"/>
          <w:szCs w:val="24"/>
          <w:lang w:eastAsia="en-GB"/>
        </w:rPr>
        <w:t xml:space="preserve">Liu, </w:t>
      </w:r>
      <w:r w:rsidR="002520BB" w:rsidRPr="000808E0">
        <w:rPr>
          <w:rFonts w:ascii="Times New Roman" w:eastAsia="Times New Roman" w:hAnsi="Times New Roman" w:cs="Times New Roman"/>
          <w:sz w:val="24"/>
          <w:szCs w:val="24"/>
          <w:lang w:eastAsia="en-GB"/>
        </w:rPr>
        <w:t xml:space="preserve">et al, </w:t>
      </w:r>
      <w:r w:rsidR="002520BB" w:rsidRPr="00E10EC9">
        <w:rPr>
          <w:rFonts w:ascii="Times New Roman" w:eastAsia="Times New Roman" w:hAnsi="Times New Roman" w:cs="Times New Roman"/>
          <w:sz w:val="24"/>
          <w:szCs w:val="24"/>
          <w:lang w:eastAsia="en-GB"/>
        </w:rPr>
        <w:t>2018)</w:t>
      </w:r>
    </w:p>
    <w:p w14:paraId="59019BDC" w14:textId="7E642C0F" w:rsidR="003828DE" w:rsidRPr="000808E0" w:rsidRDefault="003828DE" w:rsidP="000808E0">
      <w:pPr>
        <w:spacing w:line="360" w:lineRule="auto"/>
        <w:jc w:val="both"/>
        <w:rPr>
          <w:rFonts w:ascii="Times New Roman" w:hAnsi="Times New Roman" w:cs="Times New Roman"/>
          <w:sz w:val="24"/>
          <w:szCs w:val="24"/>
        </w:rPr>
      </w:pPr>
    </w:p>
    <w:p w14:paraId="39C4750D" w14:textId="37DE0CF2" w:rsidR="003828DE" w:rsidRPr="000808E0" w:rsidRDefault="003828DE"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Event Operations</w:t>
      </w:r>
    </w:p>
    <w:p w14:paraId="6084368C" w14:textId="77777777" w:rsidR="00DE5C99" w:rsidRPr="000808E0" w:rsidRDefault="003828DE" w:rsidP="000808E0">
      <w:pPr>
        <w:spacing w:line="360" w:lineRule="auto"/>
        <w:jc w:val="both"/>
        <w:rPr>
          <w:rFonts w:ascii="Times New Roman" w:hAnsi="Times New Roman" w:cs="Times New Roman"/>
          <w:sz w:val="24"/>
          <w:szCs w:val="24"/>
        </w:rPr>
      </w:pPr>
      <w:r w:rsidRPr="000808E0">
        <w:rPr>
          <w:rFonts w:ascii="Times New Roman" w:hAnsi="Times New Roman" w:cs="Times New Roman"/>
          <w:b/>
          <w:bCs/>
          <w:sz w:val="24"/>
          <w:szCs w:val="24"/>
        </w:rPr>
        <w:tab/>
      </w:r>
      <w:r w:rsidR="00DE5C99" w:rsidRPr="000808E0">
        <w:rPr>
          <w:rFonts w:ascii="Times New Roman" w:hAnsi="Times New Roman" w:cs="Times New Roman"/>
          <w:sz w:val="24"/>
          <w:szCs w:val="24"/>
        </w:rPr>
        <w:t xml:space="preserve">Successfully managing this event will require a comprehensive set of event operations skills. These include adept event planning and coordination abilities to organize logistics, schedule activities, and manage resources efficiently. Strong project management skills will be crucial for overseeing the event's entire lifecycle, from initial planning to post-event evaluation. </w:t>
      </w:r>
    </w:p>
    <w:p w14:paraId="18EDDEDE" w14:textId="63159EE9" w:rsidR="00DE5C99" w:rsidRPr="000808E0" w:rsidRDefault="00DE5C99"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Effective communication skills are essential for engaging with stakeholders, vendors, sponsors, and attendees, as well as for conveying information through various channels. Negotiation skills will be valuable in securing contracts, agreements, and partnerships with relevant parties. Attention to detail is key to executing all event elements flawlessly, from venue setup to catering. Proficient time management skills are required to meet deadlines and keep the event on schedule. Strong customer service abilities are important for </w:t>
      </w:r>
      <w:proofErr w:type="gramStart"/>
      <w:r w:rsidRPr="000808E0">
        <w:rPr>
          <w:rFonts w:ascii="Times New Roman" w:hAnsi="Times New Roman" w:cs="Times New Roman"/>
          <w:sz w:val="24"/>
          <w:szCs w:val="24"/>
        </w:rPr>
        <w:t>providing assistance</w:t>
      </w:r>
      <w:proofErr w:type="gramEnd"/>
      <w:r w:rsidRPr="000808E0">
        <w:rPr>
          <w:rFonts w:ascii="Times New Roman" w:hAnsi="Times New Roman" w:cs="Times New Roman"/>
          <w:sz w:val="24"/>
          <w:szCs w:val="24"/>
        </w:rPr>
        <w:t xml:space="preserve"> and resolving issues for attendees. Leadership skills are essential for motivating event staff and volunteers and fostering a collaborative working environment. </w:t>
      </w:r>
      <w:r w:rsidR="00D8295C" w:rsidRPr="000808E0">
        <w:rPr>
          <w:rFonts w:ascii="Times New Roman" w:hAnsi="Times New Roman" w:cs="Times New Roman"/>
          <w:sz w:val="24"/>
          <w:szCs w:val="24"/>
        </w:rPr>
        <w:t>(</w:t>
      </w:r>
      <w:r w:rsidR="00D8295C" w:rsidRPr="003C4D9A">
        <w:rPr>
          <w:rFonts w:ascii="Times New Roman" w:eastAsia="Times New Roman" w:hAnsi="Times New Roman" w:cs="Times New Roman"/>
          <w:sz w:val="24"/>
          <w:szCs w:val="24"/>
          <w:lang w:eastAsia="en-GB"/>
        </w:rPr>
        <w:t>Quick,</w:t>
      </w:r>
      <w:r w:rsidR="00D8295C" w:rsidRPr="000808E0">
        <w:rPr>
          <w:rFonts w:ascii="Times New Roman" w:eastAsia="Times New Roman" w:hAnsi="Times New Roman" w:cs="Times New Roman"/>
          <w:sz w:val="24"/>
          <w:szCs w:val="24"/>
          <w:lang w:eastAsia="en-GB"/>
        </w:rPr>
        <w:t xml:space="preserve"> </w:t>
      </w:r>
      <w:r w:rsidR="00D8295C" w:rsidRPr="003C4D9A">
        <w:rPr>
          <w:rFonts w:ascii="Times New Roman" w:eastAsia="Times New Roman" w:hAnsi="Times New Roman" w:cs="Times New Roman"/>
          <w:sz w:val="24"/>
          <w:szCs w:val="24"/>
          <w:lang w:eastAsia="en-GB"/>
        </w:rPr>
        <w:t>2020).</w:t>
      </w:r>
    </w:p>
    <w:p w14:paraId="077FA769" w14:textId="2EDC4A31" w:rsidR="003828DE" w:rsidRPr="000808E0" w:rsidRDefault="00DE5C99"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Lastly, flexibility and adaptability are crucial for managing unexpected changes or challenges that may occur during the event. </w:t>
      </w:r>
    </w:p>
    <w:p w14:paraId="1159CEC8" w14:textId="09579220" w:rsidR="00DE5C99" w:rsidRPr="000808E0" w:rsidRDefault="00DE5C99"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lastRenderedPageBreak/>
        <w:tab/>
        <w:t xml:space="preserve">In terms of resources, we’ll need a suitable space for hosting presentations, workshops, and solar panel demonstrations, accommodating both indoor and outdoor activities. Audio-visual gear like projectors and microphones for presentations, as well as any specialized equipment needed for showcasing solar panel technology. Access to solar panels, either through partnerships with vendors or temporary installations, is crucial for on-site demonstrations and tours. Event staff will handle registration, logistics, and attendee support, while volunteers can assist with various tasks throughout the event. We'll need knowledgeable speakers to lead workshops and discussions on solar energy and sustainability topics. Providing refreshments and meals for attendees ensures their comfort and enjoyment throughout the </w:t>
      </w:r>
      <w:r w:rsidR="002520BB" w:rsidRPr="000808E0">
        <w:rPr>
          <w:rFonts w:ascii="Times New Roman" w:hAnsi="Times New Roman" w:cs="Times New Roman"/>
          <w:sz w:val="24"/>
          <w:szCs w:val="24"/>
        </w:rPr>
        <w:t>event.</w:t>
      </w:r>
      <w:r w:rsidRPr="000808E0">
        <w:rPr>
          <w:rFonts w:ascii="Times New Roman" w:hAnsi="Times New Roman" w:cs="Times New Roman"/>
          <w:sz w:val="24"/>
          <w:szCs w:val="24"/>
        </w:rPr>
        <w:t xml:space="preserve"> Resources for advertising the event, both digitally and through traditional channels, will help attract attendees and generate awareness. </w:t>
      </w:r>
      <w:r w:rsidR="002520BB" w:rsidRPr="000808E0">
        <w:rPr>
          <w:rFonts w:ascii="Times New Roman" w:hAnsi="Times New Roman" w:cs="Times New Roman"/>
          <w:sz w:val="24"/>
          <w:szCs w:val="24"/>
        </w:rPr>
        <w:t>(</w:t>
      </w:r>
      <w:r w:rsidR="002520BB" w:rsidRPr="000808E0">
        <w:rPr>
          <w:rFonts w:ascii="Times New Roman" w:eastAsia="Times New Roman" w:hAnsi="Times New Roman" w:cs="Times New Roman"/>
          <w:sz w:val="24"/>
          <w:szCs w:val="24"/>
          <w:lang w:eastAsia="en-GB"/>
        </w:rPr>
        <w:t>Müller, Hertel,2023)</w:t>
      </w:r>
    </w:p>
    <w:p w14:paraId="190ED589" w14:textId="4B9CF9A8" w:rsidR="00DE5C99" w:rsidRPr="000808E0" w:rsidRDefault="00DE5C99"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ab/>
        <w:t xml:space="preserve">By leveraging these resources effectively, we can create an engaging and impactful event experience that promotes solar energy adoption and sustainability in the hospitality sector. </w:t>
      </w:r>
    </w:p>
    <w:p w14:paraId="240E41AC" w14:textId="77777777" w:rsidR="00DE5C99" w:rsidRPr="000808E0" w:rsidRDefault="00DE5C99" w:rsidP="000808E0">
      <w:pPr>
        <w:spacing w:line="360" w:lineRule="auto"/>
        <w:jc w:val="both"/>
        <w:rPr>
          <w:rFonts w:ascii="Times New Roman" w:hAnsi="Times New Roman" w:cs="Times New Roman"/>
          <w:sz w:val="24"/>
          <w:szCs w:val="24"/>
        </w:rPr>
      </w:pPr>
    </w:p>
    <w:p w14:paraId="03BF9C7D" w14:textId="1FD87F7B" w:rsidR="00DE5C99" w:rsidRPr="000808E0" w:rsidRDefault="00DE5C99"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 xml:space="preserve">Event Budget </w:t>
      </w:r>
    </w:p>
    <w:p w14:paraId="2E01927D" w14:textId="0B08C9F0" w:rsidR="00DE5C99" w:rsidRPr="000808E0" w:rsidRDefault="00DE5C99" w:rsidP="000808E0">
      <w:pPr>
        <w:spacing w:line="360" w:lineRule="auto"/>
        <w:jc w:val="both"/>
        <w:rPr>
          <w:rFonts w:ascii="Times New Roman" w:hAnsi="Times New Roman" w:cs="Times New Roman"/>
          <w:sz w:val="24"/>
          <w:szCs w:val="24"/>
        </w:rPr>
      </w:pPr>
      <w:r w:rsidRPr="000808E0">
        <w:rPr>
          <w:rFonts w:ascii="Times New Roman" w:hAnsi="Times New Roman" w:cs="Times New Roman"/>
          <w:b/>
          <w:bCs/>
          <w:sz w:val="24"/>
          <w:szCs w:val="24"/>
        </w:rPr>
        <w:tab/>
      </w:r>
      <w:r w:rsidR="008A4072" w:rsidRPr="000808E0">
        <w:rPr>
          <w:rFonts w:ascii="Times New Roman" w:hAnsi="Times New Roman" w:cs="Times New Roman"/>
          <w:sz w:val="24"/>
          <w:szCs w:val="24"/>
        </w:rPr>
        <w:t xml:space="preserve">Budgeting is essential for effective financial management, resource allocation, and risk mitigation in event planning. It provides a roadmap for organizing a successful event while ensuring financial sustainability and accountability. Being aware of costs allows organizers to evaluate the return on investment (ROI) of the event by comparing actual expenses and revenues against the budgeted amounts. </w:t>
      </w:r>
      <w:r w:rsidR="003D7536" w:rsidRPr="000808E0">
        <w:rPr>
          <w:rFonts w:ascii="Times New Roman" w:hAnsi="Times New Roman" w:cs="Times New Roman"/>
          <w:sz w:val="24"/>
          <w:szCs w:val="24"/>
        </w:rPr>
        <w:t>Also, by controlling the budget efficiently, allows organizers to allocate resources effectively and plan for all the expenses associated with the event. It helps in estimating the total cost of the event and ensures that there are sufficient funds available to cover all necessary expenditures.</w:t>
      </w:r>
      <w:r w:rsidR="002520BB" w:rsidRPr="000808E0">
        <w:rPr>
          <w:rFonts w:ascii="Times New Roman" w:hAnsi="Times New Roman" w:cs="Times New Roman"/>
          <w:sz w:val="24"/>
          <w:szCs w:val="24"/>
        </w:rPr>
        <w:t xml:space="preserve"> (</w:t>
      </w:r>
      <w:r w:rsidR="002520BB" w:rsidRPr="000808E0">
        <w:rPr>
          <w:rFonts w:ascii="Times New Roman" w:eastAsia="Times New Roman" w:hAnsi="Times New Roman" w:cs="Times New Roman"/>
          <w:sz w:val="24"/>
          <w:szCs w:val="24"/>
          <w:lang w:eastAsia="en-GB"/>
        </w:rPr>
        <w:t>Van der Wagen, White, 2018)</w:t>
      </w:r>
    </w:p>
    <w:p w14:paraId="1F39DD5A" w14:textId="39C1E20C" w:rsidR="003D7536" w:rsidRPr="000808E0" w:rsidRDefault="003D7536"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sz w:val="24"/>
          <w:szCs w:val="24"/>
        </w:rPr>
        <w:t>On the other hand, budgeting enables organizers to identify potential financial risks and plan for contingencies. By considering unexpected expenses or revenue shortfalls in the budget, organizers can mitigate risks and ensure the event's financial stability. Nevertheless,</w:t>
      </w:r>
      <w:r w:rsidRPr="000808E0">
        <w:rPr>
          <w:rFonts w:ascii="Times New Roman" w:hAnsi="Times New Roman" w:cs="Times New Roman"/>
          <w:color w:val="0D0D0D"/>
          <w:sz w:val="24"/>
          <w:szCs w:val="24"/>
          <w:shd w:val="clear" w:color="auto" w:fill="FFFFFF"/>
        </w:rPr>
        <w:t xml:space="preserve"> </w:t>
      </w:r>
      <w:r w:rsidRPr="000808E0">
        <w:rPr>
          <w:rFonts w:ascii="Times New Roman" w:hAnsi="Times New Roman" w:cs="Times New Roman"/>
          <w:sz w:val="24"/>
          <w:szCs w:val="24"/>
        </w:rPr>
        <w:t xml:space="preserve">a well-defined budget provides a framework for accountability, ensuring that organizers are responsible for managing funds effectively and transparently. It helps in tracking expenses and monitoring financial performance throughout the event planning process. </w:t>
      </w:r>
      <w:r w:rsidRPr="000808E0">
        <w:rPr>
          <w:rFonts w:ascii="Times New Roman" w:hAnsi="Times New Roman" w:cs="Times New Roman"/>
          <w:sz w:val="24"/>
          <w:szCs w:val="24"/>
        </w:rPr>
        <w:br/>
        <w:t xml:space="preserve">In the below spreadsheet you can find the budget and expenses that our event will have and the categories of revenue that will help the event to be successful. </w:t>
      </w:r>
    </w:p>
    <w:p w14:paraId="6D6FC7AD" w14:textId="2726C97A" w:rsidR="003D7536" w:rsidRPr="000808E0" w:rsidRDefault="003D7536" w:rsidP="000808E0">
      <w:pPr>
        <w:spacing w:line="360" w:lineRule="auto"/>
        <w:ind w:firstLine="720"/>
        <w:jc w:val="both"/>
        <w:rPr>
          <w:rFonts w:ascii="Times New Roman" w:hAnsi="Times New Roman" w:cs="Times New Roman"/>
          <w:sz w:val="24"/>
          <w:szCs w:val="24"/>
        </w:rPr>
      </w:pPr>
      <w:r w:rsidRPr="000808E0">
        <w:rPr>
          <w:rFonts w:ascii="Times New Roman" w:hAnsi="Times New Roman" w:cs="Times New Roman"/>
          <w:noProof/>
          <w:sz w:val="24"/>
          <w:szCs w:val="24"/>
        </w:rPr>
        <w:lastRenderedPageBreak/>
        <w:drawing>
          <wp:inline distT="0" distB="0" distL="0" distR="0" wp14:anchorId="160C1614" wp14:editId="18A60830">
            <wp:extent cx="5731510" cy="5565140"/>
            <wp:effectExtent l="0" t="0" r="2540" b="0"/>
            <wp:docPr id="165795539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55399" name="Picture 1" descr="A screenshot of a docume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5565140"/>
                    </a:xfrm>
                    <a:prstGeom prst="rect">
                      <a:avLst/>
                    </a:prstGeom>
                  </pic:spPr>
                </pic:pic>
              </a:graphicData>
            </a:graphic>
          </wp:inline>
        </w:drawing>
      </w:r>
    </w:p>
    <w:p w14:paraId="2C0517CD" w14:textId="77777777" w:rsidR="002A44DD" w:rsidRPr="000808E0" w:rsidRDefault="002A44DD" w:rsidP="000808E0">
      <w:pPr>
        <w:spacing w:line="360" w:lineRule="auto"/>
        <w:jc w:val="both"/>
        <w:rPr>
          <w:rFonts w:ascii="Times New Roman" w:hAnsi="Times New Roman" w:cs="Times New Roman"/>
          <w:b/>
          <w:bCs/>
          <w:sz w:val="24"/>
          <w:szCs w:val="24"/>
        </w:rPr>
      </w:pPr>
    </w:p>
    <w:p w14:paraId="15DDB90A" w14:textId="2C71FD09" w:rsidR="003D7536" w:rsidRPr="000808E0" w:rsidRDefault="003D7536"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Industry Trends/Impacts</w:t>
      </w:r>
    </w:p>
    <w:p w14:paraId="539C333F" w14:textId="252B1650" w:rsidR="003D7536" w:rsidRPr="000808E0" w:rsidRDefault="003D7536" w:rsidP="000808E0">
      <w:pPr>
        <w:spacing w:line="360" w:lineRule="auto"/>
        <w:jc w:val="both"/>
        <w:rPr>
          <w:rFonts w:ascii="Times New Roman" w:hAnsi="Times New Roman" w:cs="Times New Roman"/>
          <w:sz w:val="24"/>
          <w:szCs w:val="24"/>
        </w:rPr>
      </w:pPr>
      <w:r w:rsidRPr="000808E0">
        <w:rPr>
          <w:rFonts w:ascii="Times New Roman" w:hAnsi="Times New Roman" w:cs="Times New Roman"/>
          <w:b/>
          <w:bCs/>
          <w:sz w:val="24"/>
          <w:szCs w:val="24"/>
        </w:rPr>
        <w:tab/>
      </w:r>
      <w:r w:rsidRPr="000808E0">
        <w:rPr>
          <w:rFonts w:ascii="Times New Roman" w:hAnsi="Times New Roman" w:cs="Times New Roman"/>
          <w:sz w:val="24"/>
          <w:szCs w:val="24"/>
        </w:rPr>
        <w:t xml:space="preserve">At its core, the event serves as a platform for knowledge exchange, bringing together industry leaders, sustainability experts, solar energy pioneers, and hoteliers to share insights, best practices, and success stories. By showcasing real-world examples of solar panel integration in hotels and highlighting the economic, environmental, and social benefits, the event will empower attendees with the knowledge and motivation needed to pursue similar initiatives within their own organizations. This event holds the potential to significantly impact the hospitality industry by </w:t>
      </w:r>
      <w:r w:rsidR="00F311C8" w:rsidRPr="000808E0">
        <w:rPr>
          <w:rFonts w:ascii="Times New Roman" w:hAnsi="Times New Roman" w:cs="Times New Roman"/>
          <w:sz w:val="24"/>
          <w:szCs w:val="24"/>
        </w:rPr>
        <w:t>actuating</w:t>
      </w:r>
      <w:r w:rsidRPr="000808E0">
        <w:rPr>
          <w:rFonts w:ascii="Times New Roman" w:hAnsi="Times New Roman" w:cs="Times New Roman"/>
          <w:sz w:val="24"/>
          <w:szCs w:val="24"/>
        </w:rPr>
        <w:t xml:space="preserve"> a </w:t>
      </w:r>
      <w:r w:rsidR="00F311C8" w:rsidRPr="000808E0">
        <w:rPr>
          <w:rFonts w:ascii="Times New Roman" w:hAnsi="Times New Roman" w:cs="Times New Roman"/>
          <w:sz w:val="24"/>
          <w:szCs w:val="24"/>
        </w:rPr>
        <w:t>standard</w:t>
      </w:r>
      <w:r w:rsidRPr="000808E0">
        <w:rPr>
          <w:rFonts w:ascii="Times New Roman" w:hAnsi="Times New Roman" w:cs="Times New Roman"/>
          <w:sz w:val="24"/>
          <w:szCs w:val="24"/>
        </w:rPr>
        <w:t xml:space="preserve"> shift towards sustainable practices, particularly in the adoption of solar energy. In addition to its direct impact on industry practices, the event also plays a crucial role in raising awareness and shaping public perception. By generating </w:t>
      </w:r>
      <w:r w:rsidRPr="000808E0">
        <w:rPr>
          <w:rFonts w:ascii="Times New Roman" w:hAnsi="Times New Roman" w:cs="Times New Roman"/>
          <w:sz w:val="24"/>
          <w:szCs w:val="24"/>
        </w:rPr>
        <w:lastRenderedPageBreak/>
        <w:t xml:space="preserve">media coverage, social media buzz, and word-of-mouth promotion, the event amplifies its message beyond the confines of the venue, reaching a broader audience of consumers, policymakers, investors, and influencers. </w:t>
      </w:r>
      <w:r w:rsidR="002520BB" w:rsidRPr="000808E0">
        <w:rPr>
          <w:rFonts w:ascii="Times New Roman" w:hAnsi="Times New Roman" w:cs="Times New Roman"/>
          <w:sz w:val="24"/>
          <w:szCs w:val="24"/>
        </w:rPr>
        <w:t>(</w:t>
      </w:r>
      <w:r w:rsidR="002520BB" w:rsidRPr="000808E0">
        <w:rPr>
          <w:rFonts w:ascii="Times New Roman" w:eastAsia="Times New Roman" w:hAnsi="Times New Roman" w:cs="Times New Roman"/>
          <w:sz w:val="24"/>
          <w:szCs w:val="24"/>
          <w:lang w:eastAsia="en-GB"/>
        </w:rPr>
        <w:t>Drašković,</w:t>
      </w:r>
      <w:r w:rsidR="002520BB" w:rsidRPr="000808E0">
        <w:rPr>
          <w:rFonts w:ascii="Times New Roman" w:eastAsia="Times New Roman" w:hAnsi="Times New Roman" w:cs="Times New Roman"/>
          <w:sz w:val="24"/>
          <w:szCs w:val="24"/>
          <w:lang w:eastAsia="en-GB"/>
        </w:rPr>
        <w:t xml:space="preserve"> et al, </w:t>
      </w:r>
      <w:r w:rsidR="002520BB" w:rsidRPr="000808E0">
        <w:rPr>
          <w:rFonts w:ascii="Times New Roman" w:eastAsia="Times New Roman" w:hAnsi="Times New Roman" w:cs="Times New Roman"/>
          <w:sz w:val="24"/>
          <w:szCs w:val="24"/>
          <w:lang w:eastAsia="en-GB"/>
        </w:rPr>
        <w:t>2022).</w:t>
      </w:r>
    </w:p>
    <w:p w14:paraId="4D2EE4AD" w14:textId="74B25CF0" w:rsidR="00F311C8" w:rsidRPr="000808E0" w:rsidRDefault="00F311C8" w:rsidP="000808E0">
      <w:pPr>
        <w:pStyle w:val="ListParagraph"/>
        <w:numPr>
          <w:ilvl w:val="0"/>
          <w:numId w:val="17"/>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Green Event Certification</w:t>
      </w:r>
    </w:p>
    <w:p w14:paraId="63B41864" w14:textId="2B90A953" w:rsidR="003D7536" w:rsidRPr="000808E0" w:rsidRDefault="00F311C8" w:rsidP="000808E0">
      <w:pPr>
        <w:spacing w:line="360" w:lineRule="auto"/>
        <w:rPr>
          <w:rFonts w:ascii="Times New Roman" w:eastAsia="Times New Roman" w:hAnsi="Times New Roman" w:cs="Times New Roman"/>
          <w:sz w:val="24"/>
          <w:szCs w:val="24"/>
          <w:lang w:eastAsia="en-GB"/>
        </w:rPr>
      </w:pPr>
      <w:r w:rsidRPr="000808E0">
        <w:rPr>
          <w:rFonts w:ascii="Times New Roman" w:hAnsi="Times New Roman" w:cs="Times New Roman"/>
          <w:sz w:val="24"/>
          <w:szCs w:val="24"/>
        </w:rPr>
        <w:t xml:space="preserve"> There is a growing emphasis on obtaining green event certifications, such as the ISO 20121 standard for sustainable event management. Organizers are increasingly prioritizing environmental sustainability in event planning and operations, from reducing waste and carbon footprint to promoting eco-friendly practices among attendees and suppliers. Green certifications demonstrate a commitment to sustainability and can enhance the reputation and credibility of events in the eyes of stakeholders. Technology solutions are enabling organizers to enhance attendee engagement, improve event accessibility, and reduce environmental footprint through digitalization and remote participation options.</w:t>
      </w:r>
      <w:r w:rsidR="000808E0" w:rsidRPr="000808E0">
        <w:rPr>
          <w:rFonts w:ascii="Times New Roman" w:hAnsi="Times New Roman" w:cs="Times New Roman"/>
          <w:sz w:val="24"/>
          <w:szCs w:val="24"/>
        </w:rPr>
        <w:t xml:space="preserve"> </w:t>
      </w:r>
      <w:r w:rsidR="000808E0" w:rsidRPr="000808E0">
        <w:rPr>
          <w:rFonts w:ascii="Times New Roman" w:eastAsia="Times New Roman" w:hAnsi="Times New Roman" w:cs="Times New Roman"/>
          <w:sz w:val="24"/>
          <w:szCs w:val="24"/>
          <w:lang w:eastAsia="en-GB"/>
        </w:rPr>
        <w:t>(Global Green Events, n.d.)</w:t>
      </w:r>
    </w:p>
    <w:p w14:paraId="5A0B2B03" w14:textId="1FABB165" w:rsidR="00F311C8" w:rsidRPr="000808E0" w:rsidRDefault="00F311C8" w:rsidP="000808E0">
      <w:pPr>
        <w:pStyle w:val="ListParagraph"/>
        <w:numPr>
          <w:ilvl w:val="0"/>
          <w:numId w:val="17"/>
        </w:num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Community Engagement and Social Impact</w:t>
      </w:r>
    </w:p>
    <w:p w14:paraId="0E401B2D" w14:textId="36BFCABB" w:rsidR="00F311C8" w:rsidRPr="000808E0" w:rsidRDefault="00F311C8"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 There is a growing focus on community engagement and social impact initiatives in event planning, with organizers seeking to create positive change beyond the event itself. This includes supporting local communities, promoting diversity and inclusion, and addressing social and environmental justice issues. Events are increasingly incorporating interactive workshops, volunteering opportunities, and fundraising activities to engage attendees and create lasting social impact. </w:t>
      </w:r>
      <w:r w:rsidR="000808E0" w:rsidRPr="000808E0">
        <w:rPr>
          <w:rFonts w:ascii="Times New Roman" w:hAnsi="Times New Roman" w:cs="Times New Roman"/>
          <w:sz w:val="24"/>
          <w:szCs w:val="24"/>
        </w:rPr>
        <w:t>(</w:t>
      </w:r>
      <w:r w:rsidR="000808E0" w:rsidRPr="000808E0">
        <w:rPr>
          <w:rFonts w:ascii="Times New Roman" w:eastAsia="Times New Roman" w:hAnsi="Times New Roman" w:cs="Times New Roman"/>
          <w:sz w:val="24"/>
          <w:szCs w:val="24"/>
          <w:lang w:eastAsia="en-GB"/>
        </w:rPr>
        <w:t xml:space="preserve">Elmustapha, </w:t>
      </w:r>
      <w:r w:rsidR="000808E0" w:rsidRPr="000808E0">
        <w:rPr>
          <w:rFonts w:ascii="Times New Roman" w:eastAsia="Times New Roman" w:hAnsi="Times New Roman" w:cs="Times New Roman"/>
          <w:sz w:val="24"/>
          <w:szCs w:val="24"/>
          <w:lang w:eastAsia="en-GB"/>
        </w:rPr>
        <w:t xml:space="preserve">et al, </w:t>
      </w:r>
      <w:r w:rsidR="000808E0" w:rsidRPr="000808E0">
        <w:rPr>
          <w:rFonts w:ascii="Times New Roman" w:eastAsia="Times New Roman" w:hAnsi="Times New Roman" w:cs="Times New Roman"/>
          <w:sz w:val="24"/>
          <w:szCs w:val="24"/>
          <w:lang w:eastAsia="en-GB"/>
        </w:rPr>
        <w:t>2018)</w:t>
      </w:r>
    </w:p>
    <w:p w14:paraId="5324F477" w14:textId="22F638D3" w:rsidR="00F311C8" w:rsidRPr="000808E0" w:rsidRDefault="00F311C8" w:rsidP="000808E0">
      <w:p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As mentioned throughout the report, these trends reflect a growing awareness and commitment to sustainability, innovation, and social responsibility within the event industry. By embracing these trends and incorporating them into event planning and operations, organizers can create more impactful, inclusive, and environmentally sustainable events for the future.</w:t>
      </w:r>
      <w:r w:rsidR="000808E0" w:rsidRPr="000808E0">
        <w:rPr>
          <w:rFonts w:ascii="Times New Roman" w:hAnsi="Times New Roman" w:cs="Times New Roman"/>
          <w:sz w:val="24"/>
          <w:szCs w:val="24"/>
        </w:rPr>
        <w:t xml:space="preserve"> </w:t>
      </w:r>
    </w:p>
    <w:p w14:paraId="33EEE6F1" w14:textId="77777777" w:rsidR="002A44DD" w:rsidRPr="000808E0" w:rsidRDefault="002A44DD" w:rsidP="000808E0">
      <w:pPr>
        <w:spacing w:line="360" w:lineRule="auto"/>
        <w:jc w:val="both"/>
        <w:rPr>
          <w:rFonts w:ascii="Times New Roman" w:hAnsi="Times New Roman" w:cs="Times New Roman"/>
          <w:b/>
          <w:bCs/>
          <w:sz w:val="24"/>
          <w:szCs w:val="24"/>
        </w:rPr>
      </w:pPr>
    </w:p>
    <w:p w14:paraId="23337EBA" w14:textId="446D6600" w:rsidR="00F311C8" w:rsidRPr="000808E0" w:rsidRDefault="00F311C8" w:rsidP="000808E0">
      <w:pPr>
        <w:spacing w:line="360" w:lineRule="auto"/>
        <w:jc w:val="both"/>
        <w:rPr>
          <w:rFonts w:ascii="Times New Roman" w:hAnsi="Times New Roman" w:cs="Times New Roman"/>
          <w:b/>
          <w:bCs/>
          <w:sz w:val="24"/>
          <w:szCs w:val="24"/>
        </w:rPr>
      </w:pPr>
      <w:r w:rsidRPr="000808E0">
        <w:rPr>
          <w:rFonts w:ascii="Times New Roman" w:hAnsi="Times New Roman" w:cs="Times New Roman"/>
          <w:b/>
          <w:bCs/>
          <w:sz w:val="24"/>
          <w:szCs w:val="24"/>
        </w:rPr>
        <w:t xml:space="preserve">Cultural and Situational Considerations </w:t>
      </w:r>
    </w:p>
    <w:p w14:paraId="5225C06A" w14:textId="1C07F921" w:rsidR="00F311C8" w:rsidRPr="000808E0" w:rsidRDefault="00F311C8" w:rsidP="000808E0">
      <w:pPr>
        <w:spacing w:line="360" w:lineRule="auto"/>
        <w:jc w:val="both"/>
        <w:rPr>
          <w:rFonts w:ascii="Times New Roman" w:hAnsi="Times New Roman" w:cs="Times New Roman"/>
          <w:sz w:val="24"/>
          <w:szCs w:val="24"/>
        </w:rPr>
      </w:pPr>
      <w:r w:rsidRPr="000808E0">
        <w:rPr>
          <w:rFonts w:ascii="Times New Roman" w:hAnsi="Times New Roman" w:cs="Times New Roman"/>
          <w:b/>
          <w:bCs/>
          <w:sz w:val="24"/>
          <w:szCs w:val="24"/>
        </w:rPr>
        <w:tab/>
      </w:r>
      <w:r w:rsidR="00D75FFB" w:rsidRPr="000808E0">
        <w:rPr>
          <w:rFonts w:ascii="Times New Roman" w:hAnsi="Times New Roman" w:cs="Times New Roman"/>
          <w:sz w:val="24"/>
          <w:szCs w:val="24"/>
        </w:rPr>
        <w:t xml:space="preserve">Within the cultural and situational factors to consider would be: </w:t>
      </w:r>
    </w:p>
    <w:p w14:paraId="3C08CE4C" w14:textId="2D4A1C2C" w:rsidR="00D75FFB" w:rsidRPr="000808E0" w:rsidRDefault="00D75FFB" w:rsidP="000808E0">
      <w:pPr>
        <w:spacing w:line="360" w:lineRule="auto"/>
        <w:rPr>
          <w:rFonts w:ascii="Times New Roman" w:eastAsia="Times New Roman" w:hAnsi="Times New Roman" w:cs="Times New Roman"/>
          <w:sz w:val="24"/>
          <w:szCs w:val="24"/>
          <w:lang w:eastAsia="en-GB"/>
        </w:rPr>
      </w:pPr>
      <w:r w:rsidRPr="000808E0">
        <w:rPr>
          <w:rFonts w:ascii="Times New Roman" w:hAnsi="Times New Roman" w:cs="Times New Roman"/>
          <w:sz w:val="24"/>
          <w:szCs w:val="24"/>
        </w:rPr>
        <w:t>Regulatory Environment - The regulatory environment governing renewable energy and sustainability practices can vary significantly from one location to another. Compliance with local regulations, permits, and standards is critical to ensuring the event's legality and adherence to best practices.</w:t>
      </w:r>
      <w:r w:rsidR="000808E0" w:rsidRPr="000808E0">
        <w:rPr>
          <w:rFonts w:ascii="Times New Roman" w:hAnsi="Times New Roman" w:cs="Times New Roman"/>
          <w:sz w:val="24"/>
          <w:szCs w:val="24"/>
        </w:rPr>
        <w:t xml:space="preserve"> </w:t>
      </w:r>
      <w:r w:rsidR="000808E0" w:rsidRPr="000808E0">
        <w:rPr>
          <w:rFonts w:ascii="Times New Roman" w:eastAsia="Times New Roman" w:hAnsi="Times New Roman" w:cs="Times New Roman"/>
          <w:sz w:val="24"/>
          <w:szCs w:val="24"/>
          <w:lang w:eastAsia="en-GB"/>
        </w:rPr>
        <w:t>(Green Business Bureau, 2021)</w:t>
      </w:r>
    </w:p>
    <w:p w14:paraId="7C298CFA" w14:textId="77777777" w:rsidR="000808E0" w:rsidRPr="000808E0" w:rsidRDefault="000808E0" w:rsidP="000808E0">
      <w:pPr>
        <w:spacing w:line="360" w:lineRule="auto"/>
        <w:rPr>
          <w:rFonts w:ascii="Times New Roman" w:eastAsia="Times New Roman" w:hAnsi="Times New Roman" w:cs="Times New Roman"/>
          <w:sz w:val="24"/>
          <w:szCs w:val="24"/>
          <w:lang w:eastAsia="en-GB"/>
        </w:rPr>
      </w:pPr>
    </w:p>
    <w:p w14:paraId="4DBC89C8" w14:textId="52F66252" w:rsidR="00D75FFB" w:rsidRPr="000808E0" w:rsidRDefault="00D75FFB" w:rsidP="000808E0">
      <w:pPr>
        <w:pStyle w:val="ListParagraph"/>
        <w:numPr>
          <w:ilvl w:val="0"/>
          <w:numId w:val="16"/>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Technological Infrastructure</w:t>
      </w:r>
      <w:r w:rsidRPr="000808E0">
        <w:rPr>
          <w:rFonts w:ascii="Times New Roman" w:hAnsi="Times New Roman" w:cs="Times New Roman"/>
          <w:b/>
          <w:bCs/>
          <w:sz w:val="24"/>
          <w:szCs w:val="24"/>
        </w:rPr>
        <w:t>:</w:t>
      </w:r>
      <w:r w:rsidRPr="000808E0">
        <w:rPr>
          <w:rFonts w:ascii="Times New Roman" w:hAnsi="Times New Roman" w:cs="Times New Roman"/>
          <w:sz w:val="24"/>
          <w:szCs w:val="24"/>
        </w:rPr>
        <w:t xml:space="preserve"> The availability and reliability of technological infrastructure, including internet connectivity and digital communication tools, may impact the feasibility of hosting virtual or hybrid events, as well as the effectiveness of technology-enabled sustainability solutions.</w:t>
      </w:r>
    </w:p>
    <w:p w14:paraId="209CAC03" w14:textId="11AE842A" w:rsidR="00D75FFB" w:rsidRPr="000808E0" w:rsidRDefault="00D75FFB" w:rsidP="000808E0">
      <w:pPr>
        <w:pStyle w:val="ListParagraph"/>
        <w:numPr>
          <w:ilvl w:val="0"/>
          <w:numId w:val="16"/>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Climate and Environmental Considerations: Climate and environmental factors, such as sunlight exposure, weather patterns, and ecological sensitivity of the event location, may impact the feasibility and effectiveness of solar panel installations, as well as other sustainability initiatives.</w:t>
      </w:r>
    </w:p>
    <w:p w14:paraId="7C7B356F" w14:textId="77777777" w:rsidR="00D75FFB" w:rsidRPr="000808E0" w:rsidRDefault="00D75FFB" w:rsidP="000808E0">
      <w:pPr>
        <w:spacing w:line="360" w:lineRule="auto"/>
        <w:jc w:val="both"/>
        <w:rPr>
          <w:rFonts w:ascii="Times New Roman" w:hAnsi="Times New Roman" w:cs="Times New Roman"/>
          <w:sz w:val="24"/>
          <w:szCs w:val="24"/>
        </w:rPr>
      </w:pPr>
    </w:p>
    <w:p w14:paraId="4DF66453" w14:textId="2812C688" w:rsidR="00D75FFB" w:rsidRPr="000808E0" w:rsidRDefault="00D75FFB" w:rsidP="000808E0">
      <w:pPr>
        <w:spacing w:line="360" w:lineRule="auto"/>
        <w:ind w:firstLine="360"/>
        <w:jc w:val="both"/>
        <w:rPr>
          <w:rFonts w:ascii="Times New Roman" w:hAnsi="Times New Roman" w:cs="Times New Roman"/>
          <w:sz w:val="24"/>
          <w:szCs w:val="24"/>
        </w:rPr>
      </w:pPr>
      <w:r w:rsidRPr="000808E0">
        <w:rPr>
          <w:rFonts w:ascii="Times New Roman" w:hAnsi="Times New Roman" w:cs="Times New Roman"/>
          <w:sz w:val="24"/>
          <w:szCs w:val="24"/>
        </w:rPr>
        <w:t>Through education, collaboration, and innovation, the event has the potential to inspire lasting change, empower stakeholders, and pave the way for a more sustainable future in hospitality. As solar energy becomes increasingly recognized as a viable and impactful solution, events like these play a vital role in driving awareness, engagement, and action towards a greener and more resilient industry.</w:t>
      </w:r>
      <w:r w:rsidR="000808E0" w:rsidRPr="000808E0">
        <w:rPr>
          <w:rFonts w:ascii="Times New Roman" w:hAnsi="Times New Roman" w:cs="Times New Roman"/>
          <w:sz w:val="24"/>
          <w:szCs w:val="24"/>
        </w:rPr>
        <w:t xml:space="preserve"> </w:t>
      </w:r>
      <w:r w:rsidR="000808E0" w:rsidRPr="000808E0">
        <w:rPr>
          <w:rFonts w:ascii="Times New Roman" w:hAnsi="Times New Roman" w:cs="Times New Roman"/>
          <w:sz w:val="24"/>
          <w:szCs w:val="24"/>
        </w:rPr>
        <w:t>(</w:t>
      </w:r>
      <w:r w:rsidR="000808E0" w:rsidRPr="000808E0">
        <w:rPr>
          <w:rFonts w:ascii="Times New Roman" w:eastAsia="Times New Roman" w:hAnsi="Times New Roman" w:cs="Times New Roman"/>
          <w:sz w:val="24"/>
          <w:szCs w:val="24"/>
          <w:lang w:eastAsia="en-GB"/>
        </w:rPr>
        <w:t>Elmustapha, et al, 2018)</w:t>
      </w:r>
    </w:p>
    <w:p w14:paraId="1CF906FB"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08FB9727"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2917FC21"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0EC0930F"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148FBE6E" w14:textId="77777777" w:rsidR="003C4D9A" w:rsidRDefault="003C4D9A" w:rsidP="000808E0">
      <w:pPr>
        <w:spacing w:line="360" w:lineRule="auto"/>
        <w:ind w:firstLine="360"/>
        <w:jc w:val="both"/>
        <w:rPr>
          <w:rFonts w:ascii="Times New Roman" w:hAnsi="Times New Roman" w:cs="Times New Roman"/>
          <w:sz w:val="24"/>
          <w:szCs w:val="24"/>
        </w:rPr>
      </w:pPr>
    </w:p>
    <w:p w14:paraId="1396A7EB" w14:textId="77777777" w:rsidR="003F53E6" w:rsidRDefault="003F53E6" w:rsidP="000808E0">
      <w:pPr>
        <w:spacing w:line="360" w:lineRule="auto"/>
        <w:ind w:firstLine="360"/>
        <w:jc w:val="both"/>
        <w:rPr>
          <w:rFonts w:ascii="Times New Roman" w:hAnsi="Times New Roman" w:cs="Times New Roman"/>
          <w:sz w:val="24"/>
          <w:szCs w:val="24"/>
        </w:rPr>
      </w:pPr>
    </w:p>
    <w:p w14:paraId="4D8364E1" w14:textId="77777777" w:rsidR="003F53E6" w:rsidRDefault="003F53E6" w:rsidP="000808E0">
      <w:pPr>
        <w:spacing w:line="360" w:lineRule="auto"/>
        <w:ind w:firstLine="360"/>
        <w:jc w:val="both"/>
        <w:rPr>
          <w:rFonts w:ascii="Times New Roman" w:hAnsi="Times New Roman" w:cs="Times New Roman"/>
          <w:sz w:val="24"/>
          <w:szCs w:val="24"/>
        </w:rPr>
      </w:pPr>
    </w:p>
    <w:p w14:paraId="608DCE09" w14:textId="77777777" w:rsidR="003F53E6" w:rsidRDefault="003F53E6" w:rsidP="000808E0">
      <w:pPr>
        <w:spacing w:line="360" w:lineRule="auto"/>
        <w:ind w:firstLine="360"/>
        <w:jc w:val="both"/>
        <w:rPr>
          <w:rFonts w:ascii="Times New Roman" w:hAnsi="Times New Roman" w:cs="Times New Roman"/>
          <w:sz w:val="24"/>
          <w:szCs w:val="24"/>
        </w:rPr>
      </w:pPr>
    </w:p>
    <w:p w14:paraId="3F99AD6D" w14:textId="77777777" w:rsidR="003F53E6" w:rsidRDefault="003F53E6" w:rsidP="000808E0">
      <w:pPr>
        <w:spacing w:line="360" w:lineRule="auto"/>
        <w:ind w:firstLine="360"/>
        <w:jc w:val="both"/>
        <w:rPr>
          <w:rFonts w:ascii="Times New Roman" w:hAnsi="Times New Roman" w:cs="Times New Roman"/>
          <w:sz w:val="24"/>
          <w:szCs w:val="24"/>
        </w:rPr>
      </w:pPr>
    </w:p>
    <w:p w14:paraId="424FB422" w14:textId="77777777" w:rsidR="003F53E6" w:rsidRPr="000808E0" w:rsidRDefault="003F53E6" w:rsidP="000808E0">
      <w:pPr>
        <w:spacing w:line="360" w:lineRule="auto"/>
        <w:ind w:firstLine="360"/>
        <w:jc w:val="both"/>
        <w:rPr>
          <w:rFonts w:ascii="Times New Roman" w:hAnsi="Times New Roman" w:cs="Times New Roman"/>
          <w:sz w:val="24"/>
          <w:szCs w:val="24"/>
        </w:rPr>
      </w:pPr>
    </w:p>
    <w:p w14:paraId="51A58668"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793587A2"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588174A0" w14:textId="77777777" w:rsidR="000808E0" w:rsidRPr="000808E0" w:rsidRDefault="000808E0" w:rsidP="000808E0">
      <w:pPr>
        <w:spacing w:line="360" w:lineRule="auto"/>
        <w:ind w:firstLine="360"/>
        <w:jc w:val="both"/>
        <w:rPr>
          <w:rFonts w:ascii="Times New Roman" w:hAnsi="Times New Roman" w:cs="Times New Roman"/>
          <w:b/>
          <w:bCs/>
          <w:sz w:val="24"/>
          <w:szCs w:val="24"/>
        </w:rPr>
      </w:pPr>
      <w:r w:rsidRPr="000808E0">
        <w:rPr>
          <w:rFonts w:ascii="Times New Roman" w:hAnsi="Times New Roman" w:cs="Times New Roman"/>
          <w:b/>
          <w:bCs/>
          <w:sz w:val="24"/>
          <w:szCs w:val="24"/>
        </w:rPr>
        <w:lastRenderedPageBreak/>
        <w:t>References</w:t>
      </w:r>
    </w:p>
    <w:p w14:paraId="7963FB8F"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Navratil, J., Picha, K., </w:t>
      </w:r>
      <w:proofErr w:type="spellStart"/>
      <w:r w:rsidRPr="000808E0">
        <w:rPr>
          <w:rFonts w:ascii="Times New Roman" w:hAnsi="Times New Roman" w:cs="Times New Roman"/>
          <w:sz w:val="24"/>
          <w:szCs w:val="24"/>
        </w:rPr>
        <w:t>Buchecker</w:t>
      </w:r>
      <w:proofErr w:type="spellEnd"/>
      <w:r w:rsidRPr="000808E0">
        <w:rPr>
          <w:rFonts w:ascii="Times New Roman" w:hAnsi="Times New Roman" w:cs="Times New Roman"/>
          <w:sz w:val="24"/>
          <w:szCs w:val="24"/>
        </w:rPr>
        <w:t xml:space="preserve">, M., Martinat, S., Svec, R., </w:t>
      </w:r>
      <w:proofErr w:type="spellStart"/>
      <w:r w:rsidRPr="000808E0">
        <w:rPr>
          <w:rFonts w:ascii="Times New Roman" w:hAnsi="Times New Roman" w:cs="Times New Roman"/>
          <w:sz w:val="24"/>
          <w:szCs w:val="24"/>
        </w:rPr>
        <w:t>Brezinova</w:t>
      </w:r>
      <w:proofErr w:type="spellEnd"/>
      <w:r w:rsidRPr="000808E0">
        <w:rPr>
          <w:rFonts w:ascii="Times New Roman" w:hAnsi="Times New Roman" w:cs="Times New Roman"/>
          <w:sz w:val="24"/>
          <w:szCs w:val="24"/>
        </w:rPr>
        <w:t xml:space="preserve">, M., &amp; Knotek, J. (2019). Visitors’ preferences of renewable energy options in “green” hotels. </w:t>
      </w:r>
      <w:r w:rsidRPr="000808E0">
        <w:rPr>
          <w:rFonts w:ascii="Times New Roman" w:hAnsi="Times New Roman" w:cs="Times New Roman"/>
          <w:i/>
          <w:iCs/>
          <w:sz w:val="24"/>
          <w:szCs w:val="24"/>
        </w:rPr>
        <w:t>Renewable Energy</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138</w:t>
      </w:r>
      <w:r w:rsidRPr="000808E0">
        <w:rPr>
          <w:rFonts w:ascii="Times New Roman" w:hAnsi="Times New Roman" w:cs="Times New Roman"/>
          <w:sz w:val="24"/>
          <w:szCs w:val="24"/>
        </w:rPr>
        <w:t>, 1065–1077. https://doi.org/10.1016/j.renene.2019.02.043</w:t>
      </w:r>
    </w:p>
    <w:p w14:paraId="0BB68A33"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Bonvoy, M. (n.d.). </w:t>
      </w:r>
      <w:r w:rsidRPr="000808E0">
        <w:rPr>
          <w:rFonts w:ascii="Times New Roman" w:hAnsi="Times New Roman" w:cs="Times New Roman"/>
          <w:i/>
          <w:iCs/>
          <w:sz w:val="24"/>
          <w:szCs w:val="24"/>
        </w:rPr>
        <w:t>Family Friendly Hotel near Gunwharf Quays | Portsmouth Marriott Hotel</w:t>
      </w:r>
      <w:r w:rsidRPr="000808E0">
        <w:rPr>
          <w:rFonts w:ascii="Times New Roman" w:hAnsi="Times New Roman" w:cs="Times New Roman"/>
          <w:sz w:val="24"/>
          <w:szCs w:val="24"/>
        </w:rPr>
        <w:t xml:space="preserve">. [online] www.marriott.com. Available at: https://www.marriott.com/en-us/hotels/pmeha-portsmouth-marriott-hotel/overview/?scid=f2ae0541-1279-4f24-b197-a979c79310b0 [Accessed 1 Mar. 2024]. </w:t>
      </w:r>
    </w:p>
    <w:p w14:paraId="74E073B5"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0" w:name="_Hlk160202694"/>
      <w:r w:rsidRPr="000808E0">
        <w:rPr>
          <w:rFonts w:ascii="Times New Roman" w:hAnsi="Times New Roman" w:cs="Times New Roman"/>
          <w:sz w:val="24"/>
          <w:szCs w:val="24"/>
        </w:rPr>
        <w:t xml:space="preserve">Boo, S., &amp; Busser, J. A. (2018). </w:t>
      </w:r>
      <w:bookmarkEnd w:id="0"/>
      <w:r w:rsidRPr="000808E0">
        <w:rPr>
          <w:rFonts w:ascii="Times New Roman" w:hAnsi="Times New Roman" w:cs="Times New Roman"/>
          <w:sz w:val="24"/>
          <w:szCs w:val="24"/>
        </w:rPr>
        <w:t xml:space="preserve">Tourists’ hotel event experience and satisfaction: an integrative approach. </w:t>
      </w:r>
      <w:r w:rsidRPr="000808E0">
        <w:rPr>
          <w:rFonts w:ascii="Times New Roman" w:hAnsi="Times New Roman" w:cs="Times New Roman"/>
          <w:i/>
          <w:iCs/>
          <w:sz w:val="24"/>
          <w:szCs w:val="24"/>
        </w:rPr>
        <w:t>Journal of Travel &amp; Tourism Marketing</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35</w:t>
      </w:r>
      <w:r w:rsidRPr="000808E0">
        <w:rPr>
          <w:rFonts w:ascii="Times New Roman" w:hAnsi="Times New Roman" w:cs="Times New Roman"/>
          <w:sz w:val="24"/>
          <w:szCs w:val="24"/>
        </w:rPr>
        <w:t>(7), 895–908. https://doi.org/10.1080/10548408.2018.1445066</w:t>
      </w:r>
    </w:p>
    <w:p w14:paraId="61C3D4E6"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 w:name="_Hlk160202870"/>
      <w:r w:rsidRPr="000808E0">
        <w:rPr>
          <w:rFonts w:ascii="Times New Roman" w:hAnsi="Times New Roman" w:cs="Times New Roman"/>
          <w:sz w:val="24"/>
          <w:szCs w:val="24"/>
        </w:rPr>
        <w:t xml:space="preserve">Piga, C., &amp; Melis, G. (2021). </w:t>
      </w:r>
      <w:bookmarkEnd w:id="1"/>
      <w:r w:rsidRPr="000808E0">
        <w:rPr>
          <w:rFonts w:ascii="Times New Roman" w:hAnsi="Times New Roman" w:cs="Times New Roman"/>
          <w:sz w:val="24"/>
          <w:szCs w:val="24"/>
        </w:rPr>
        <w:t xml:space="preserve">Identifying and measuring the impact of cultural events on hotels’ performance. </w:t>
      </w:r>
      <w:r w:rsidRPr="000808E0">
        <w:rPr>
          <w:rFonts w:ascii="Times New Roman" w:hAnsi="Times New Roman" w:cs="Times New Roman"/>
          <w:i/>
          <w:iCs/>
          <w:sz w:val="24"/>
          <w:szCs w:val="24"/>
        </w:rPr>
        <w:t>International Journal of Contemporary Hospitality Management</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33</w:t>
      </w:r>
      <w:r w:rsidRPr="000808E0">
        <w:rPr>
          <w:rFonts w:ascii="Times New Roman" w:hAnsi="Times New Roman" w:cs="Times New Roman"/>
          <w:sz w:val="24"/>
          <w:szCs w:val="24"/>
        </w:rPr>
        <w:t>(4), 1194–1209. https://doi.org/10.1108/IJCHM-07-2020-0749</w:t>
      </w:r>
    </w:p>
    <w:p w14:paraId="30CB55FF"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2" w:name="_Hlk160202893"/>
      <w:r w:rsidRPr="000808E0">
        <w:rPr>
          <w:rFonts w:ascii="Times New Roman" w:hAnsi="Times New Roman" w:cs="Times New Roman"/>
          <w:sz w:val="24"/>
          <w:szCs w:val="24"/>
        </w:rPr>
        <w:t xml:space="preserve">Waldon, G. (2023). </w:t>
      </w:r>
      <w:bookmarkEnd w:id="2"/>
      <w:r w:rsidRPr="000808E0">
        <w:rPr>
          <w:rFonts w:ascii="Times New Roman" w:hAnsi="Times New Roman" w:cs="Times New Roman"/>
          <w:sz w:val="24"/>
          <w:szCs w:val="24"/>
        </w:rPr>
        <w:t xml:space="preserve">“Sky’s the limit” Saracen expands vision for hotel-event </w:t>
      </w:r>
      <w:proofErr w:type="spellStart"/>
      <w:r w:rsidRPr="000808E0">
        <w:rPr>
          <w:rFonts w:ascii="Times New Roman" w:hAnsi="Times New Roman" w:cs="Times New Roman"/>
          <w:sz w:val="24"/>
          <w:szCs w:val="24"/>
        </w:rPr>
        <w:t>center</w:t>
      </w:r>
      <w:proofErr w:type="spellEnd"/>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Arkansas Business</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40</w:t>
      </w:r>
      <w:r w:rsidRPr="000808E0">
        <w:rPr>
          <w:rFonts w:ascii="Times New Roman" w:hAnsi="Times New Roman" w:cs="Times New Roman"/>
          <w:sz w:val="24"/>
          <w:szCs w:val="24"/>
        </w:rPr>
        <w:t>(2), 8-.</w:t>
      </w:r>
    </w:p>
    <w:p w14:paraId="03AED455"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3" w:name="_Hlk160202968"/>
      <w:r w:rsidRPr="000808E0">
        <w:rPr>
          <w:rFonts w:ascii="Times New Roman" w:hAnsi="Times New Roman" w:cs="Times New Roman"/>
          <w:sz w:val="24"/>
          <w:szCs w:val="24"/>
        </w:rPr>
        <w:t xml:space="preserve">Bladen, C., Kennell, J., Abson, E., &amp; Wilde, N. (2023). </w:t>
      </w:r>
      <w:bookmarkEnd w:id="3"/>
      <w:r w:rsidRPr="000808E0">
        <w:rPr>
          <w:rFonts w:ascii="Times New Roman" w:hAnsi="Times New Roman" w:cs="Times New Roman"/>
          <w:i/>
          <w:iCs/>
          <w:sz w:val="24"/>
          <w:szCs w:val="24"/>
        </w:rPr>
        <w:t>Events management: an introduction</w:t>
      </w:r>
      <w:r w:rsidRPr="000808E0">
        <w:rPr>
          <w:rFonts w:ascii="Times New Roman" w:hAnsi="Times New Roman" w:cs="Times New Roman"/>
          <w:sz w:val="24"/>
          <w:szCs w:val="24"/>
        </w:rPr>
        <w:t xml:space="preserve"> (Third edition.). Routledge, Taylor &amp; Francis Group.</w:t>
      </w:r>
    </w:p>
    <w:p w14:paraId="6514794C"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4" w:name="_Hlk160203020"/>
      <w:r w:rsidRPr="000808E0">
        <w:rPr>
          <w:rFonts w:ascii="Times New Roman" w:hAnsi="Times New Roman" w:cs="Times New Roman"/>
          <w:sz w:val="24"/>
          <w:szCs w:val="24"/>
        </w:rPr>
        <w:t xml:space="preserve">Quick, L. (2020). </w:t>
      </w:r>
      <w:bookmarkEnd w:id="4"/>
      <w:r w:rsidRPr="000808E0">
        <w:rPr>
          <w:rFonts w:ascii="Times New Roman" w:hAnsi="Times New Roman" w:cs="Times New Roman"/>
          <w:i/>
          <w:iCs/>
          <w:sz w:val="24"/>
          <w:szCs w:val="24"/>
        </w:rPr>
        <w:t xml:space="preserve">Managing </w:t>
      </w:r>
      <w:proofErr w:type="gramStart"/>
      <w:r w:rsidRPr="000808E0">
        <w:rPr>
          <w:rFonts w:ascii="Times New Roman" w:hAnsi="Times New Roman" w:cs="Times New Roman"/>
          <w:i/>
          <w:iCs/>
          <w:sz w:val="24"/>
          <w:szCs w:val="24"/>
        </w:rPr>
        <w:t>events :</w:t>
      </w:r>
      <w:proofErr w:type="gramEnd"/>
      <w:r w:rsidRPr="000808E0">
        <w:rPr>
          <w:rFonts w:ascii="Times New Roman" w:hAnsi="Times New Roman" w:cs="Times New Roman"/>
          <w:i/>
          <w:iCs/>
          <w:sz w:val="24"/>
          <w:szCs w:val="24"/>
        </w:rPr>
        <w:t xml:space="preserve"> real challenges, real outcomes</w:t>
      </w:r>
      <w:r w:rsidRPr="000808E0">
        <w:rPr>
          <w:rFonts w:ascii="Times New Roman" w:hAnsi="Times New Roman" w:cs="Times New Roman"/>
          <w:sz w:val="24"/>
          <w:szCs w:val="24"/>
        </w:rPr>
        <w:t>. Sage.</w:t>
      </w:r>
    </w:p>
    <w:p w14:paraId="5D7E5032"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5" w:name="_Hlk160202397"/>
      <w:r w:rsidRPr="000808E0">
        <w:rPr>
          <w:rFonts w:ascii="Times New Roman" w:hAnsi="Times New Roman" w:cs="Times New Roman"/>
          <w:sz w:val="24"/>
          <w:szCs w:val="24"/>
        </w:rPr>
        <w:t xml:space="preserve">Costa, V., &amp; Costa, C. (Eds.). (2022). </w:t>
      </w:r>
      <w:bookmarkEnd w:id="5"/>
      <w:r w:rsidRPr="000808E0">
        <w:rPr>
          <w:rFonts w:ascii="Times New Roman" w:hAnsi="Times New Roman" w:cs="Times New Roman"/>
          <w:i/>
          <w:iCs/>
          <w:sz w:val="24"/>
          <w:szCs w:val="24"/>
        </w:rPr>
        <w:t>Sustainability and competitiveness in the hospitality industry</w:t>
      </w:r>
      <w:r w:rsidRPr="000808E0">
        <w:rPr>
          <w:rFonts w:ascii="Times New Roman" w:hAnsi="Times New Roman" w:cs="Times New Roman"/>
          <w:sz w:val="24"/>
          <w:szCs w:val="24"/>
        </w:rPr>
        <w:t>. Business Science Reference.</w:t>
      </w:r>
    </w:p>
    <w:p w14:paraId="51D7641B"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6" w:name="_Hlk160202495"/>
      <w:r w:rsidRPr="000808E0">
        <w:rPr>
          <w:rFonts w:ascii="Times New Roman" w:hAnsi="Times New Roman" w:cs="Times New Roman"/>
          <w:sz w:val="24"/>
          <w:szCs w:val="24"/>
        </w:rPr>
        <w:t xml:space="preserve">Tresidder, Richard., &amp; Hirst, Craig. (2012). </w:t>
      </w:r>
      <w:bookmarkEnd w:id="6"/>
      <w:r w:rsidRPr="000808E0">
        <w:rPr>
          <w:rFonts w:ascii="Times New Roman" w:hAnsi="Times New Roman" w:cs="Times New Roman"/>
          <w:i/>
          <w:iCs/>
          <w:sz w:val="24"/>
          <w:szCs w:val="24"/>
        </w:rPr>
        <w:t xml:space="preserve">Marketing in food, hospitality, tourism and </w:t>
      </w:r>
      <w:proofErr w:type="gramStart"/>
      <w:r w:rsidRPr="000808E0">
        <w:rPr>
          <w:rFonts w:ascii="Times New Roman" w:hAnsi="Times New Roman" w:cs="Times New Roman"/>
          <w:i/>
          <w:iCs/>
          <w:sz w:val="24"/>
          <w:szCs w:val="24"/>
        </w:rPr>
        <w:t>events :</w:t>
      </w:r>
      <w:proofErr w:type="gramEnd"/>
      <w:r w:rsidRPr="000808E0">
        <w:rPr>
          <w:rFonts w:ascii="Times New Roman" w:hAnsi="Times New Roman" w:cs="Times New Roman"/>
          <w:i/>
          <w:iCs/>
          <w:sz w:val="24"/>
          <w:szCs w:val="24"/>
        </w:rPr>
        <w:t xml:space="preserve"> a critical approach</w:t>
      </w:r>
      <w:r w:rsidRPr="000808E0">
        <w:rPr>
          <w:rFonts w:ascii="Times New Roman" w:hAnsi="Times New Roman" w:cs="Times New Roman"/>
          <w:sz w:val="24"/>
          <w:szCs w:val="24"/>
        </w:rPr>
        <w:t>. Goodfellow.</w:t>
      </w:r>
    </w:p>
    <w:p w14:paraId="4F2846C2"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Lyyti (n.d.). </w:t>
      </w:r>
      <w:r w:rsidRPr="000808E0">
        <w:rPr>
          <w:rFonts w:ascii="Times New Roman" w:hAnsi="Times New Roman" w:cs="Times New Roman"/>
          <w:i/>
          <w:iCs/>
          <w:sz w:val="24"/>
          <w:szCs w:val="24"/>
        </w:rPr>
        <w:t>Introducing the Event Cycle – The core of Event Success Management</w:t>
      </w:r>
      <w:r w:rsidRPr="000808E0">
        <w:rPr>
          <w:rFonts w:ascii="Times New Roman" w:hAnsi="Times New Roman" w:cs="Times New Roman"/>
          <w:sz w:val="24"/>
          <w:szCs w:val="24"/>
        </w:rPr>
        <w:t xml:space="preserve">. [online] www.lyyti.com. Available at: </w:t>
      </w:r>
      <w:hyperlink r:id="rId6" w:history="1">
        <w:r w:rsidRPr="000808E0">
          <w:rPr>
            <w:rStyle w:val="Hyperlink"/>
            <w:rFonts w:ascii="Times New Roman" w:hAnsi="Times New Roman" w:cs="Times New Roman"/>
            <w:sz w:val="24"/>
            <w:szCs w:val="24"/>
          </w:rPr>
          <w:t>https://www.lyyti.com/en/blog/introducing-the-event-cycle-the-core-of-event-success-management</w:t>
        </w:r>
      </w:hyperlink>
      <w:r w:rsidRPr="000808E0">
        <w:rPr>
          <w:rFonts w:ascii="Times New Roman" w:hAnsi="Times New Roman" w:cs="Times New Roman"/>
          <w:sz w:val="24"/>
          <w:szCs w:val="24"/>
        </w:rPr>
        <w:t>.</w:t>
      </w:r>
    </w:p>
    <w:p w14:paraId="572F7058"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7" w:name="_Hlk160203892"/>
      <w:r w:rsidRPr="000808E0">
        <w:rPr>
          <w:rFonts w:ascii="Times New Roman" w:hAnsi="Times New Roman" w:cs="Times New Roman"/>
          <w:sz w:val="24"/>
          <w:szCs w:val="24"/>
        </w:rPr>
        <w:t>Getz, D. (2018</w:t>
      </w:r>
      <w:bookmarkEnd w:id="7"/>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 xml:space="preserve">Event </w:t>
      </w:r>
      <w:proofErr w:type="gramStart"/>
      <w:r w:rsidRPr="000808E0">
        <w:rPr>
          <w:rFonts w:ascii="Times New Roman" w:hAnsi="Times New Roman" w:cs="Times New Roman"/>
          <w:i/>
          <w:iCs/>
          <w:sz w:val="24"/>
          <w:szCs w:val="24"/>
        </w:rPr>
        <w:t>evaluation :</w:t>
      </w:r>
      <w:proofErr w:type="gramEnd"/>
      <w:r w:rsidRPr="000808E0">
        <w:rPr>
          <w:rFonts w:ascii="Times New Roman" w:hAnsi="Times New Roman" w:cs="Times New Roman"/>
          <w:i/>
          <w:iCs/>
          <w:sz w:val="24"/>
          <w:szCs w:val="24"/>
        </w:rPr>
        <w:t xml:space="preserve"> theory and methods for event management and tourism</w:t>
      </w:r>
      <w:r w:rsidRPr="000808E0">
        <w:rPr>
          <w:rFonts w:ascii="Times New Roman" w:hAnsi="Times New Roman" w:cs="Times New Roman"/>
          <w:sz w:val="24"/>
          <w:szCs w:val="24"/>
        </w:rPr>
        <w:t>. Goodfellow Publishers Ltd.</w:t>
      </w:r>
    </w:p>
    <w:p w14:paraId="51F5C113"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8" w:name="_Hlk160204011"/>
      <w:r w:rsidRPr="000808E0">
        <w:rPr>
          <w:rFonts w:ascii="Times New Roman" w:hAnsi="Times New Roman" w:cs="Times New Roman"/>
          <w:sz w:val="24"/>
          <w:szCs w:val="24"/>
        </w:rPr>
        <w:lastRenderedPageBreak/>
        <w:t xml:space="preserve">Yang, L., Gao, Y., Feng, Z., &amp; Wu, L. (2021). </w:t>
      </w:r>
      <w:bookmarkEnd w:id="8"/>
      <w:r w:rsidRPr="000808E0">
        <w:rPr>
          <w:rFonts w:ascii="Times New Roman" w:hAnsi="Times New Roman" w:cs="Times New Roman"/>
          <w:sz w:val="24"/>
          <w:szCs w:val="24"/>
        </w:rPr>
        <w:t xml:space="preserve">Event‐based output feedback control of periodic systems: A piecewise impulsive method. </w:t>
      </w:r>
      <w:r w:rsidRPr="000808E0">
        <w:rPr>
          <w:rFonts w:ascii="Times New Roman" w:hAnsi="Times New Roman" w:cs="Times New Roman"/>
          <w:i/>
          <w:iCs/>
          <w:sz w:val="24"/>
          <w:szCs w:val="24"/>
        </w:rPr>
        <w:t>International Journal of Robust and Nonlinear Control</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31</w:t>
      </w:r>
      <w:r w:rsidRPr="000808E0">
        <w:rPr>
          <w:rFonts w:ascii="Times New Roman" w:hAnsi="Times New Roman" w:cs="Times New Roman"/>
          <w:sz w:val="24"/>
          <w:szCs w:val="24"/>
        </w:rPr>
        <w:t>(16), 7569–7586. https://doi.org/10.1002/rnc.5769</w:t>
      </w:r>
    </w:p>
    <w:p w14:paraId="5BFCDF53"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9" w:name="_Hlk160204128"/>
      <w:r w:rsidRPr="000808E0">
        <w:rPr>
          <w:rFonts w:ascii="Times New Roman" w:hAnsi="Times New Roman" w:cs="Times New Roman"/>
          <w:sz w:val="24"/>
          <w:szCs w:val="24"/>
        </w:rPr>
        <w:t xml:space="preserve">Brown, S., Getz, D., Pettersson, R., &amp; </w:t>
      </w:r>
      <w:proofErr w:type="spellStart"/>
      <w:r w:rsidRPr="000808E0">
        <w:rPr>
          <w:rFonts w:ascii="Times New Roman" w:hAnsi="Times New Roman" w:cs="Times New Roman"/>
          <w:sz w:val="24"/>
          <w:szCs w:val="24"/>
        </w:rPr>
        <w:t>Wallstam</w:t>
      </w:r>
      <w:proofErr w:type="spellEnd"/>
      <w:r w:rsidRPr="000808E0">
        <w:rPr>
          <w:rFonts w:ascii="Times New Roman" w:hAnsi="Times New Roman" w:cs="Times New Roman"/>
          <w:sz w:val="24"/>
          <w:szCs w:val="24"/>
        </w:rPr>
        <w:t xml:space="preserve">, M. (2015). </w:t>
      </w:r>
      <w:bookmarkEnd w:id="9"/>
      <w:r w:rsidRPr="000808E0">
        <w:rPr>
          <w:rFonts w:ascii="Times New Roman" w:hAnsi="Times New Roman" w:cs="Times New Roman"/>
          <w:sz w:val="24"/>
          <w:szCs w:val="24"/>
        </w:rPr>
        <w:t xml:space="preserve">Event evaluation: definitions, concepts and a </w:t>
      </w:r>
      <w:proofErr w:type="gramStart"/>
      <w:r w:rsidRPr="000808E0">
        <w:rPr>
          <w:rFonts w:ascii="Times New Roman" w:hAnsi="Times New Roman" w:cs="Times New Roman"/>
          <w:sz w:val="24"/>
          <w:szCs w:val="24"/>
        </w:rPr>
        <w:t>state of the art</w:t>
      </w:r>
      <w:proofErr w:type="gramEnd"/>
      <w:r w:rsidRPr="000808E0">
        <w:rPr>
          <w:rFonts w:ascii="Times New Roman" w:hAnsi="Times New Roman" w:cs="Times New Roman"/>
          <w:sz w:val="24"/>
          <w:szCs w:val="24"/>
        </w:rPr>
        <w:t xml:space="preserve"> review. </w:t>
      </w:r>
      <w:r w:rsidRPr="000808E0">
        <w:rPr>
          <w:rFonts w:ascii="Times New Roman" w:hAnsi="Times New Roman" w:cs="Times New Roman"/>
          <w:i/>
          <w:iCs/>
          <w:sz w:val="24"/>
          <w:szCs w:val="24"/>
        </w:rPr>
        <w:t>International Journal of Event and Festival Management</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6</w:t>
      </w:r>
      <w:r w:rsidRPr="000808E0">
        <w:rPr>
          <w:rFonts w:ascii="Times New Roman" w:hAnsi="Times New Roman" w:cs="Times New Roman"/>
          <w:sz w:val="24"/>
          <w:szCs w:val="24"/>
        </w:rPr>
        <w:t>(2), 135–157. https://doi.org/10.1108/IJEFM-03-2015-0014</w:t>
      </w:r>
    </w:p>
    <w:p w14:paraId="0F1062CC"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0" w:name="_Hlk160204223"/>
      <w:r w:rsidRPr="000808E0">
        <w:rPr>
          <w:rFonts w:ascii="Times New Roman" w:hAnsi="Times New Roman" w:cs="Times New Roman"/>
          <w:sz w:val="24"/>
          <w:szCs w:val="24"/>
        </w:rPr>
        <w:t xml:space="preserve">Zinkin, J. (2020). </w:t>
      </w:r>
      <w:bookmarkEnd w:id="10"/>
      <w:r w:rsidRPr="000808E0">
        <w:rPr>
          <w:rFonts w:ascii="Times New Roman" w:hAnsi="Times New Roman" w:cs="Times New Roman"/>
          <w:i/>
          <w:iCs/>
          <w:sz w:val="24"/>
          <w:szCs w:val="24"/>
        </w:rPr>
        <w:t xml:space="preserve">The challenge of </w:t>
      </w:r>
      <w:proofErr w:type="gramStart"/>
      <w:r w:rsidRPr="000808E0">
        <w:rPr>
          <w:rFonts w:ascii="Times New Roman" w:hAnsi="Times New Roman" w:cs="Times New Roman"/>
          <w:i/>
          <w:iCs/>
          <w:sz w:val="24"/>
          <w:szCs w:val="24"/>
        </w:rPr>
        <w:t>sustainability :</w:t>
      </w:r>
      <w:proofErr w:type="gramEnd"/>
      <w:r w:rsidRPr="000808E0">
        <w:rPr>
          <w:rFonts w:ascii="Times New Roman" w:hAnsi="Times New Roman" w:cs="Times New Roman"/>
          <w:i/>
          <w:iCs/>
          <w:sz w:val="24"/>
          <w:szCs w:val="24"/>
        </w:rPr>
        <w:t xml:space="preserve"> corporate governance in a complicated world</w:t>
      </w:r>
      <w:r w:rsidRPr="000808E0">
        <w:rPr>
          <w:rFonts w:ascii="Times New Roman" w:hAnsi="Times New Roman" w:cs="Times New Roman"/>
          <w:sz w:val="24"/>
          <w:szCs w:val="24"/>
        </w:rPr>
        <w:t>. Walter De Gruyter GmbH.</w:t>
      </w:r>
    </w:p>
    <w:p w14:paraId="02AAF851"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1" w:name="_Hlk160204304"/>
      <w:r w:rsidRPr="000808E0">
        <w:rPr>
          <w:rFonts w:ascii="Times New Roman" w:hAnsi="Times New Roman" w:cs="Times New Roman"/>
          <w:sz w:val="24"/>
          <w:szCs w:val="24"/>
        </w:rPr>
        <w:t xml:space="preserve">Mori, M. (Ed.). (2022). </w:t>
      </w:r>
      <w:bookmarkEnd w:id="11"/>
      <w:r w:rsidRPr="000808E0">
        <w:rPr>
          <w:rFonts w:ascii="Times New Roman" w:hAnsi="Times New Roman" w:cs="Times New Roman"/>
          <w:i/>
          <w:iCs/>
          <w:sz w:val="24"/>
          <w:szCs w:val="24"/>
        </w:rPr>
        <w:t xml:space="preserve">Globalization and </w:t>
      </w:r>
      <w:proofErr w:type="gramStart"/>
      <w:r w:rsidRPr="000808E0">
        <w:rPr>
          <w:rFonts w:ascii="Times New Roman" w:hAnsi="Times New Roman" w:cs="Times New Roman"/>
          <w:i/>
          <w:iCs/>
          <w:sz w:val="24"/>
          <w:szCs w:val="24"/>
        </w:rPr>
        <w:t>sustainability :</w:t>
      </w:r>
      <w:proofErr w:type="gramEnd"/>
      <w:r w:rsidRPr="000808E0">
        <w:rPr>
          <w:rFonts w:ascii="Times New Roman" w:hAnsi="Times New Roman" w:cs="Times New Roman"/>
          <w:i/>
          <w:iCs/>
          <w:sz w:val="24"/>
          <w:szCs w:val="24"/>
        </w:rPr>
        <w:t xml:space="preserve"> recent advances, new perspectives and emerging issues</w:t>
      </w:r>
      <w:r w:rsidRPr="000808E0">
        <w:rPr>
          <w:rFonts w:ascii="Times New Roman" w:hAnsi="Times New Roman" w:cs="Times New Roman"/>
          <w:sz w:val="24"/>
          <w:szCs w:val="24"/>
        </w:rPr>
        <w:t xml:space="preserve">. </w:t>
      </w:r>
      <w:proofErr w:type="spellStart"/>
      <w:r w:rsidRPr="000808E0">
        <w:rPr>
          <w:rFonts w:ascii="Times New Roman" w:hAnsi="Times New Roman" w:cs="Times New Roman"/>
          <w:sz w:val="24"/>
          <w:szCs w:val="24"/>
        </w:rPr>
        <w:t>IntechOpen</w:t>
      </w:r>
      <w:proofErr w:type="spellEnd"/>
      <w:r w:rsidRPr="000808E0">
        <w:rPr>
          <w:rFonts w:ascii="Times New Roman" w:hAnsi="Times New Roman" w:cs="Times New Roman"/>
          <w:sz w:val="24"/>
          <w:szCs w:val="24"/>
        </w:rPr>
        <w:t>.</w:t>
      </w:r>
    </w:p>
    <w:p w14:paraId="7404E47C"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2" w:name="_Hlk160204356"/>
      <w:r w:rsidRPr="000808E0">
        <w:rPr>
          <w:rFonts w:ascii="Times New Roman" w:hAnsi="Times New Roman" w:cs="Times New Roman"/>
          <w:sz w:val="24"/>
          <w:szCs w:val="24"/>
        </w:rPr>
        <w:t xml:space="preserve">Liu, J., Mei, C., Wang, H., Shao, W., &amp; Xiang, C. (2018). </w:t>
      </w:r>
      <w:bookmarkEnd w:id="12"/>
      <w:r w:rsidRPr="000808E0">
        <w:rPr>
          <w:rFonts w:ascii="Times New Roman" w:hAnsi="Times New Roman" w:cs="Times New Roman"/>
          <w:sz w:val="24"/>
          <w:szCs w:val="24"/>
        </w:rPr>
        <w:t xml:space="preserve">Powering an island system by renewable energy—A feasibility analysis in the Maldives. </w:t>
      </w:r>
      <w:r w:rsidRPr="000808E0">
        <w:rPr>
          <w:rFonts w:ascii="Times New Roman" w:hAnsi="Times New Roman" w:cs="Times New Roman"/>
          <w:i/>
          <w:iCs/>
          <w:sz w:val="24"/>
          <w:szCs w:val="24"/>
        </w:rPr>
        <w:t>Applied Energy</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227</w:t>
      </w:r>
      <w:r w:rsidRPr="000808E0">
        <w:rPr>
          <w:rFonts w:ascii="Times New Roman" w:hAnsi="Times New Roman" w:cs="Times New Roman"/>
          <w:sz w:val="24"/>
          <w:szCs w:val="24"/>
        </w:rPr>
        <w:t xml:space="preserve">, 18–27. </w:t>
      </w:r>
      <w:hyperlink r:id="rId7" w:history="1">
        <w:r w:rsidRPr="000808E0">
          <w:rPr>
            <w:rStyle w:val="Hyperlink"/>
            <w:rFonts w:ascii="Times New Roman" w:hAnsi="Times New Roman" w:cs="Times New Roman"/>
            <w:sz w:val="24"/>
            <w:szCs w:val="24"/>
          </w:rPr>
          <w:t>https://doi.org/10.1016/j.apenergy.2017.10.019</w:t>
        </w:r>
      </w:hyperlink>
    </w:p>
    <w:p w14:paraId="7ABE5791"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3" w:name="_Hlk160204497"/>
      <w:r w:rsidRPr="000808E0">
        <w:rPr>
          <w:rFonts w:ascii="Times New Roman" w:hAnsi="Times New Roman" w:cs="Times New Roman"/>
          <w:sz w:val="24"/>
          <w:szCs w:val="24"/>
        </w:rPr>
        <w:t xml:space="preserve">Müller, L. S., &amp; Hertel, G. (2023). </w:t>
      </w:r>
      <w:bookmarkEnd w:id="13"/>
      <w:r w:rsidRPr="000808E0">
        <w:rPr>
          <w:rFonts w:ascii="Times New Roman" w:hAnsi="Times New Roman" w:cs="Times New Roman"/>
          <w:sz w:val="24"/>
          <w:szCs w:val="24"/>
        </w:rPr>
        <w:t xml:space="preserve">Trusting information systems in everyday work events – effects on cognitive resources, performance, and well-being. </w:t>
      </w:r>
      <w:r w:rsidRPr="000808E0">
        <w:rPr>
          <w:rFonts w:ascii="Times New Roman" w:hAnsi="Times New Roman" w:cs="Times New Roman"/>
          <w:i/>
          <w:iCs/>
          <w:sz w:val="24"/>
          <w:szCs w:val="24"/>
        </w:rPr>
        <w:t>Ergonomics</w:t>
      </w:r>
      <w:r w:rsidRPr="000808E0">
        <w:rPr>
          <w:rFonts w:ascii="Times New Roman" w:hAnsi="Times New Roman" w:cs="Times New Roman"/>
          <w:sz w:val="24"/>
          <w:szCs w:val="24"/>
        </w:rPr>
        <w:t>, 1–18. https://doi.org/10.1080/00140139.2023.2286910</w:t>
      </w:r>
    </w:p>
    <w:p w14:paraId="73324371"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4" w:name="_Hlk160204567"/>
      <w:r w:rsidRPr="000808E0">
        <w:rPr>
          <w:rFonts w:ascii="Times New Roman" w:hAnsi="Times New Roman" w:cs="Times New Roman"/>
          <w:sz w:val="24"/>
          <w:szCs w:val="24"/>
        </w:rPr>
        <w:t xml:space="preserve">Van der Wagen, L., &amp; White, L. (2018). </w:t>
      </w:r>
      <w:bookmarkEnd w:id="14"/>
      <w:r w:rsidRPr="000808E0">
        <w:rPr>
          <w:rFonts w:ascii="Times New Roman" w:hAnsi="Times New Roman" w:cs="Times New Roman"/>
          <w:i/>
          <w:iCs/>
          <w:sz w:val="24"/>
          <w:szCs w:val="24"/>
        </w:rPr>
        <w:t xml:space="preserve">Event </w:t>
      </w:r>
      <w:proofErr w:type="gramStart"/>
      <w:r w:rsidRPr="000808E0">
        <w:rPr>
          <w:rFonts w:ascii="Times New Roman" w:hAnsi="Times New Roman" w:cs="Times New Roman"/>
          <w:i/>
          <w:iCs/>
          <w:sz w:val="24"/>
          <w:szCs w:val="24"/>
        </w:rPr>
        <w:t>management :</w:t>
      </w:r>
      <w:proofErr w:type="gramEnd"/>
      <w:r w:rsidRPr="000808E0">
        <w:rPr>
          <w:rFonts w:ascii="Times New Roman" w:hAnsi="Times New Roman" w:cs="Times New Roman"/>
          <w:i/>
          <w:iCs/>
          <w:sz w:val="24"/>
          <w:szCs w:val="24"/>
        </w:rPr>
        <w:t xml:space="preserve"> for tourism, cultural, business and sporting events</w:t>
      </w:r>
      <w:r w:rsidRPr="000808E0">
        <w:rPr>
          <w:rFonts w:ascii="Times New Roman" w:hAnsi="Times New Roman" w:cs="Times New Roman"/>
          <w:sz w:val="24"/>
          <w:szCs w:val="24"/>
        </w:rPr>
        <w:t xml:space="preserve"> (Edition 5.). Cengage Learning Australia.</w:t>
      </w:r>
    </w:p>
    <w:p w14:paraId="6A524A4C"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5" w:name="_Hlk160204775"/>
      <w:r w:rsidRPr="000808E0">
        <w:rPr>
          <w:rFonts w:ascii="Times New Roman" w:hAnsi="Times New Roman" w:cs="Times New Roman"/>
          <w:sz w:val="24"/>
          <w:szCs w:val="24"/>
        </w:rPr>
        <w:t xml:space="preserve">Drašković, V., </w:t>
      </w:r>
      <w:proofErr w:type="spellStart"/>
      <w:r w:rsidRPr="000808E0">
        <w:rPr>
          <w:rFonts w:ascii="Times New Roman" w:hAnsi="Times New Roman" w:cs="Times New Roman"/>
          <w:sz w:val="24"/>
          <w:szCs w:val="24"/>
        </w:rPr>
        <w:t>Pupavac</w:t>
      </w:r>
      <w:proofErr w:type="spellEnd"/>
      <w:r w:rsidRPr="000808E0">
        <w:rPr>
          <w:rFonts w:ascii="Times New Roman" w:hAnsi="Times New Roman" w:cs="Times New Roman"/>
          <w:sz w:val="24"/>
          <w:szCs w:val="24"/>
        </w:rPr>
        <w:t xml:space="preserve">, J., Delibašić, M., &amp; Bilan, S. (2022). </w:t>
      </w:r>
      <w:bookmarkEnd w:id="15"/>
      <w:r w:rsidRPr="000808E0">
        <w:rPr>
          <w:rFonts w:ascii="Times New Roman" w:hAnsi="Times New Roman" w:cs="Times New Roman"/>
          <w:sz w:val="24"/>
          <w:szCs w:val="24"/>
        </w:rPr>
        <w:t xml:space="preserve">TRANDE UNIONS AND HOTEL INDUSTRY: CURRENT TRENDS. </w:t>
      </w:r>
      <w:r w:rsidRPr="000808E0">
        <w:rPr>
          <w:rFonts w:ascii="Times New Roman" w:hAnsi="Times New Roman" w:cs="Times New Roman"/>
          <w:i/>
          <w:iCs/>
          <w:sz w:val="24"/>
          <w:szCs w:val="24"/>
        </w:rPr>
        <w:t>Journal of International Studies (Kyiv)</w:t>
      </w:r>
      <w:r w:rsidRPr="000808E0">
        <w:rPr>
          <w:rFonts w:ascii="Times New Roman" w:hAnsi="Times New Roman" w:cs="Times New Roman"/>
          <w:sz w:val="24"/>
          <w:szCs w:val="24"/>
        </w:rPr>
        <w:t xml:space="preserve">, </w:t>
      </w:r>
      <w:r w:rsidRPr="000808E0">
        <w:rPr>
          <w:rFonts w:ascii="Times New Roman" w:hAnsi="Times New Roman" w:cs="Times New Roman"/>
          <w:i/>
          <w:iCs/>
          <w:sz w:val="24"/>
          <w:szCs w:val="24"/>
        </w:rPr>
        <w:t>15</w:t>
      </w:r>
      <w:r w:rsidRPr="000808E0">
        <w:rPr>
          <w:rFonts w:ascii="Times New Roman" w:hAnsi="Times New Roman" w:cs="Times New Roman"/>
          <w:sz w:val="24"/>
          <w:szCs w:val="24"/>
        </w:rPr>
        <w:t>(1), 104–116. https://doi.org/10.14254/2071-8330.2022/15-1/7</w:t>
      </w:r>
    </w:p>
    <w:p w14:paraId="71F93660"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Global Green Events (n.d.). </w:t>
      </w:r>
      <w:r w:rsidRPr="000808E0">
        <w:rPr>
          <w:rFonts w:ascii="Times New Roman" w:hAnsi="Times New Roman" w:cs="Times New Roman"/>
          <w:i/>
          <w:iCs/>
          <w:sz w:val="24"/>
          <w:szCs w:val="24"/>
        </w:rPr>
        <w:t>Certifications</w:t>
      </w:r>
      <w:r w:rsidRPr="000808E0">
        <w:rPr>
          <w:rFonts w:ascii="Times New Roman" w:hAnsi="Times New Roman" w:cs="Times New Roman"/>
          <w:sz w:val="24"/>
          <w:szCs w:val="24"/>
        </w:rPr>
        <w:t xml:space="preserve">. [online] Global Green Events. Available at: </w:t>
      </w:r>
      <w:hyperlink r:id="rId8" w:history="1">
        <w:r w:rsidRPr="000808E0">
          <w:rPr>
            <w:rStyle w:val="Hyperlink"/>
            <w:rFonts w:ascii="Times New Roman" w:hAnsi="Times New Roman" w:cs="Times New Roman"/>
            <w:sz w:val="24"/>
            <w:szCs w:val="24"/>
          </w:rPr>
          <w:t>https://www.globalgreenevents.org/certifications/</w:t>
        </w:r>
      </w:hyperlink>
      <w:r w:rsidRPr="000808E0">
        <w:rPr>
          <w:rFonts w:ascii="Times New Roman" w:hAnsi="Times New Roman" w:cs="Times New Roman"/>
          <w:sz w:val="24"/>
          <w:szCs w:val="24"/>
        </w:rPr>
        <w:t>.</w:t>
      </w:r>
    </w:p>
    <w:p w14:paraId="00A7E8E1"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bookmarkStart w:id="16" w:name="_Hlk160205036"/>
      <w:r w:rsidRPr="000808E0">
        <w:rPr>
          <w:rFonts w:ascii="Times New Roman" w:hAnsi="Times New Roman" w:cs="Times New Roman"/>
          <w:sz w:val="24"/>
          <w:szCs w:val="24"/>
        </w:rPr>
        <w:t xml:space="preserve">Elmustapha, Houda, Thomas Hoppe, and Hans </w:t>
      </w:r>
      <w:proofErr w:type="spellStart"/>
      <w:r w:rsidRPr="000808E0">
        <w:rPr>
          <w:rFonts w:ascii="Times New Roman" w:hAnsi="Times New Roman" w:cs="Times New Roman"/>
          <w:sz w:val="24"/>
          <w:szCs w:val="24"/>
        </w:rPr>
        <w:t>Bressers</w:t>
      </w:r>
      <w:proofErr w:type="spellEnd"/>
      <w:r w:rsidRPr="000808E0">
        <w:rPr>
          <w:rFonts w:ascii="Times New Roman" w:hAnsi="Times New Roman" w:cs="Times New Roman"/>
          <w:sz w:val="24"/>
          <w:szCs w:val="24"/>
        </w:rPr>
        <w:t xml:space="preserve">. (2018) </w:t>
      </w:r>
      <w:bookmarkEnd w:id="16"/>
      <w:r w:rsidRPr="000808E0">
        <w:rPr>
          <w:rFonts w:ascii="Times New Roman" w:hAnsi="Times New Roman" w:cs="Times New Roman"/>
          <w:sz w:val="24"/>
          <w:szCs w:val="24"/>
        </w:rPr>
        <w:t>"</w:t>
      </w:r>
      <w:r w:rsidRPr="000808E0">
        <w:rPr>
          <w:rFonts w:ascii="Times New Roman" w:hAnsi="Times New Roman" w:cs="Times New Roman"/>
          <w:i/>
          <w:iCs/>
          <w:sz w:val="24"/>
          <w:szCs w:val="24"/>
        </w:rPr>
        <w:t xml:space="preserve">Understanding Stakeholders’ </w:t>
      </w:r>
      <w:r w:rsidRPr="000808E0">
        <w:rPr>
          <w:rFonts w:ascii="Times New Roman" w:hAnsi="Times New Roman" w:cs="Times New Roman"/>
          <w:sz w:val="24"/>
          <w:szCs w:val="24"/>
        </w:rPr>
        <w:t>Views and the Influence of the Socio-Cultural Dimension on the Adoption of Solar Energy Technology in Lebanon" </w:t>
      </w:r>
      <w:r w:rsidRPr="000808E0">
        <w:rPr>
          <w:rFonts w:ascii="Times New Roman" w:hAnsi="Times New Roman" w:cs="Times New Roman"/>
          <w:i/>
          <w:iCs/>
          <w:sz w:val="24"/>
          <w:szCs w:val="24"/>
        </w:rPr>
        <w:t>Sustainability</w:t>
      </w:r>
      <w:r w:rsidRPr="000808E0">
        <w:rPr>
          <w:rFonts w:ascii="Times New Roman" w:hAnsi="Times New Roman" w:cs="Times New Roman"/>
          <w:sz w:val="24"/>
          <w:szCs w:val="24"/>
        </w:rPr>
        <w:t xml:space="preserve"> 10, no. 2: 364. </w:t>
      </w:r>
      <w:hyperlink r:id="rId9" w:history="1">
        <w:r w:rsidRPr="000808E0">
          <w:rPr>
            <w:rStyle w:val="Hyperlink"/>
            <w:rFonts w:ascii="Times New Roman" w:hAnsi="Times New Roman" w:cs="Times New Roman"/>
            <w:sz w:val="24"/>
            <w:szCs w:val="24"/>
          </w:rPr>
          <w:t>https://doi.org/10.3390/su10020364</w:t>
        </w:r>
      </w:hyperlink>
    </w:p>
    <w:p w14:paraId="449DB7B6" w14:textId="77777777" w:rsidR="000808E0" w:rsidRPr="000808E0" w:rsidRDefault="000808E0" w:rsidP="000808E0">
      <w:pPr>
        <w:numPr>
          <w:ilvl w:val="0"/>
          <w:numId w:val="18"/>
        </w:numPr>
        <w:spacing w:line="360" w:lineRule="auto"/>
        <w:jc w:val="both"/>
        <w:rPr>
          <w:rFonts w:ascii="Times New Roman" w:hAnsi="Times New Roman" w:cs="Times New Roman"/>
          <w:sz w:val="24"/>
          <w:szCs w:val="24"/>
        </w:rPr>
      </w:pPr>
      <w:r w:rsidRPr="000808E0">
        <w:rPr>
          <w:rFonts w:ascii="Times New Roman" w:hAnsi="Times New Roman" w:cs="Times New Roman"/>
          <w:sz w:val="24"/>
          <w:szCs w:val="24"/>
        </w:rPr>
        <w:t xml:space="preserve">Green Business Bureau (2021). </w:t>
      </w:r>
      <w:r w:rsidRPr="000808E0">
        <w:rPr>
          <w:rFonts w:ascii="Times New Roman" w:hAnsi="Times New Roman" w:cs="Times New Roman"/>
          <w:i/>
          <w:iCs/>
          <w:sz w:val="24"/>
          <w:szCs w:val="24"/>
        </w:rPr>
        <w:t>Sustainability Regulations for Business: A Brief Review</w:t>
      </w:r>
      <w:r w:rsidRPr="000808E0">
        <w:rPr>
          <w:rFonts w:ascii="Times New Roman" w:hAnsi="Times New Roman" w:cs="Times New Roman"/>
          <w:sz w:val="24"/>
          <w:szCs w:val="24"/>
        </w:rPr>
        <w:t xml:space="preserve">. [online] Green Business Bureau. Available at: </w:t>
      </w:r>
      <w:r w:rsidRPr="000808E0">
        <w:rPr>
          <w:rFonts w:ascii="Times New Roman" w:hAnsi="Times New Roman" w:cs="Times New Roman"/>
          <w:sz w:val="24"/>
          <w:szCs w:val="24"/>
        </w:rPr>
        <w:lastRenderedPageBreak/>
        <w:t>https://greenbusinessbureau.com/blog/sustainability-regulations-for-business-a-brief-review/.</w:t>
      </w:r>
    </w:p>
    <w:p w14:paraId="6777049C" w14:textId="77777777" w:rsidR="003C4D9A" w:rsidRPr="000808E0" w:rsidRDefault="003C4D9A" w:rsidP="000808E0">
      <w:pPr>
        <w:spacing w:line="360" w:lineRule="auto"/>
        <w:ind w:firstLine="360"/>
        <w:jc w:val="both"/>
        <w:rPr>
          <w:rFonts w:ascii="Times New Roman" w:hAnsi="Times New Roman" w:cs="Times New Roman"/>
          <w:sz w:val="24"/>
          <w:szCs w:val="24"/>
        </w:rPr>
      </w:pPr>
    </w:p>
    <w:p w14:paraId="5E02CDC0" w14:textId="77777777" w:rsidR="003C4D9A" w:rsidRPr="000808E0" w:rsidRDefault="003C4D9A" w:rsidP="000808E0">
      <w:pPr>
        <w:spacing w:line="360" w:lineRule="auto"/>
        <w:jc w:val="both"/>
        <w:rPr>
          <w:rFonts w:ascii="Times New Roman" w:hAnsi="Times New Roman" w:cs="Times New Roman"/>
          <w:sz w:val="24"/>
          <w:szCs w:val="24"/>
        </w:rPr>
      </w:pPr>
    </w:p>
    <w:p w14:paraId="7B260D80" w14:textId="77777777" w:rsidR="003C4D9A" w:rsidRPr="000808E0" w:rsidRDefault="003C4D9A" w:rsidP="000808E0">
      <w:pPr>
        <w:spacing w:line="360" w:lineRule="auto"/>
        <w:jc w:val="both"/>
        <w:rPr>
          <w:rFonts w:ascii="Times New Roman" w:hAnsi="Times New Roman" w:cs="Times New Roman"/>
          <w:sz w:val="24"/>
          <w:szCs w:val="24"/>
        </w:rPr>
      </w:pPr>
    </w:p>
    <w:p w14:paraId="35097A09" w14:textId="77777777" w:rsidR="003C4D9A" w:rsidRPr="000808E0" w:rsidRDefault="003C4D9A" w:rsidP="000808E0">
      <w:pPr>
        <w:spacing w:line="360" w:lineRule="auto"/>
        <w:jc w:val="both"/>
        <w:rPr>
          <w:rFonts w:ascii="Times New Roman" w:hAnsi="Times New Roman" w:cs="Times New Roman"/>
          <w:sz w:val="24"/>
          <w:szCs w:val="24"/>
        </w:rPr>
      </w:pPr>
    </w:p>
    <w:p w14:paraId="34EF4D9A" w14:textId="77777777" w:rsidR="003C4D9A" w:rsidRPr="000808E0" w:rsidRDefault="003C4D9A" w:rsidP="000808E0">
      <w:pPr>
        <w:spacing w:line="360" w:lineRule="auto"/>
        <w:jc w:val="both"/>
        <w:rPr>
          <w:rFonts w:ascii="Times New Roman" w:hAnsi="Times New Roman" w:cs="Times New Roman"/>
          <w:sz w:val="24"/>
          <w:szCs w:val="24"/>
        </w:rPr>
      </w:pPr>
    </w:p>
    <w:p w14:paraId="0B77CAA5" w14:textId="77777777" w:rsidR="003C4D9A" w:rsidRPr="000808E0" w:rsidRDefault="003C4D9A" w:rsidP="000808E0">
      <w:pPr>
        <w:spacing w:line="360" w:lineRule="auto"/>
        <w:ind w:firstLine="360"/>
        <w:jc w:val="both"/>
        <w:rPr>
          <w:rFonts w:ascii="Times New Roman" w:hAnsi="Times New Roman" w:cs="Times New Roman"/>
          <w:b/>
          <w:bCs/>
          <w:sz w:val="24"/>
          <w:szCs w:val="24"/>
        </w:rPr>
      </w:pPr>
    </w:p>
    <w:p w14:paraId="7AFA4080" w14:textId="77777777" w:rsidR="003C4D9A" w:rsidRPr="000808E0" w:rsidRDefault="003C4D9A" w:rsidP="000808E0">
      <w:pPr>
        <w:spacing w:line="360" w:lineRule="auto"/>
        <w:ind w:firstLine="360"/>
        <w:jc w:val="both"/>
        <w:rPr>
          <w:rFonts w:ascii="Times New Roman" w:hAnsi="Times New Roman" w:cs="Times New Roman"/>
          <w:b/>
          <w:bCs/>
          <w:sz w:val="24"/>
          <w:szCs w:val="24"/>
        </w:rPr>
      </w:pPr>
    </w:p>
    <w:sectPr w:rsidR="003C4D9A" w:rsidRPr="00080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43B"/>
    <w:multiLevelType w:val="hybridMultilevel"/>
    <w:tmpl w:val="F120DB3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BC06BD2"/>
    <w:multiLevelType w:val="hybridMultilevel"/>
    <w:tmpl w:val="ADB6B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840BA"/>
    <w:multiLevelType w:val="hybridMultilevel"/>
    <w:tmpl w:val="E402C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D4A98"/>
    <w:multiLevelType w:val="multilevel"/>
    <w:tmpl w:val="BEEE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1714FC"/>
    <w:multiLevelType w:val="hybridMultilevel"/>
    <w:tmpl w:val="B8CE30DE"/>
    <w:lvl w:ilvl="0" w:tplc="FDC63DC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6E2DBB"/>
    <w:multiLevelType w:val="hybridMultilevel"/>
    <w:tmpl w:val="D1E4C3E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B5F38B3"/>
    <w:multiLevelType w:val="hybridMultilevel"/>
    <w:tmpl w:val="C0C4D2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1CE1951"/>
    <w:multiLevelType w:val="multilevel"/>
    <w:tmpl w:val="BCFA6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DE19D6"/>
    <w:multiLevelType w:val="hybridMultilevel"/>
    <w:tmpl w:val="27BCB0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B77D77"/>
    <w:multiLevelType w:val="multilevel"/>
    <w:tmpl w:val="2A86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5B5BEB"/>
    <w:multiLevelType w:val="hybridMultilevel"/>
    <w:tmpl w:val="242E80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3D036584"/>
    <w:multiLevelType w:val="hybridMultilevel"/>
    <w:tmpl w:val="965AA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B66F26"/>
    <w:multiLevelType w:val="hybridMultilevel"/>
    <w:tmpl w:val="8AAEAA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C6871AA"/>
    <w:multiLevelType w:val="hybridMultilevel"/>
    <w:tmpl w:val="A5902E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5027325E"/>
    <w:multiLevelType w:val="hybridMultilevel"/>
    <w:tmpl w:val="CB08803A"/>
    <w:lvl w:ilvl="0" w:tplc="9D149C2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17459BB"/>
    <w:multiLevelType w:val="hybridMultilevel"/>
    <w:tmpl w:val="58C6385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64206507"/>
    <w:multiLevelType w:val="hybridMultilevel"/>
    <w:tmpl w:val="8590647A"/>
    <w:lvl w:ilvl="0" w:tplc="D268665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77844ACD"/>
    <w:multiLevelType w:val="hybridMultilevel"/>
    <w:tmpl w:val="8CC25A84"/>
    <w:lvl w:ilvl="0" w:tplc="65C475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42998286">
    <w:abstractNumId w:val="3"/>
  </w:num>
  <w:num w:numId="2" w16cid:durableId="1129127848">
    <w:abstractNumId w:val="7"/>
  </w:num>
  <w:num w:numId="3" w16cid:durableId="552812983">
    <w:abstractNumId w:val="9"/>
  </w:num>
  <w:num w:numId="4" w16cid:durableId="557328007">
    <w:abstractNumId w:val="17"/>
  </w:num>
  <w:num w:numId="5" w16cid:durableId="884949668">
    <w:abstractNumId w:val="14"/>
  </w:num>
  <w:num w:numId="6" w16cid:durableId="1607274098">
    <w:abstractNumId w:val="11"/>
  </w:num>
  <w:num w:numId="7" w16cid:durableId="1567179649">
    <w:abstractNumId w:val="16"/>
  </w:num>
  <w:num w:numId="8" w16cid:durableId="1207446502">
    <w:abstractNumId w:val="13"/>
  </w:num>
  <w:num w:numId="9" w16cid:durableId="1707755423">
    <w:abstractNumId w:val="15"/>
  </w:num>
  <w:num w:numId="10" w16cid:durableId="1579828995">
    <w:abstractNumId w:val="0"/>
  </w:num>
  <w:num w:numId="11" w16cid:durableId="533738599">
    <w:abstractNumId w:val="5"/>
  </w:num>
  <w:num w:numId="12" w16cid:durableId="542979543">
    <w:abstractNumId w:val="10"/>
  </w:num>
  <w:num w:numId="13" w16cid:durableId="2096632250">
    <w:abstractNumId w:val="12"/>
  </w:num>
  <w:num w:numId="14" w16cid:durableId="52045314">
    <w:abstractNumId w:val="1"/>
  </w:num>
  <w:num w:numId="15" w16cid:durableId="914583896">
    <w:abstractNumId w:val="6"/>
  </w:num>
  <w:num w:numId="16" w16cid:durableId="596669549">
    <w:abstractNumId w:val="8"/>
  </w:num>
  <w:num w:numId="17" w16cid:durableId="2046366480">
    <w:abstractNumId w:val="4"/>
  </w:num>
  <w:num w:numId="18" w16cid:durableId="6045790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7BC"/>
    <w:rsid w:val="000808E0"/>
    <w:rsid w:val="000A6D1F"/>
    <w:rsid w:val="00106307"/>
    <w:rsid w:val="002520BB"/>
    <w:rsid w:val="002A44DD"/>
    <w:rsid w:val="003828DE"/>
    <w:rsid w:val="003C4D9A"/>
    <w:rsid w:val="003D7536"/>
    <w:rsid w:val="003F53E6"/>
    <w:rsid w:val="0043262E"/>
    <w:rsid w:val="0048761E"/>
    <w:rsid w:val="0052513F"/>
    <w:rsid w:val="00591E77"/>
    <w:rsid w:val="006E26C8"/>
    <w:rsid w:val="007D67BC"/>
    <w:rsid w:val="008A4072"/>
    <w:rsid w:val="00BE334D"/>
    <w:rsid w:val="00CA79FF"/>
    <w:rsid w:val="00D75EBF"/>
    <w:rsid w:val="00D75FFB"/>
    <w:rsid w:val="00D8295C"/>
    <w:rsid w:val="00DE5C99"/>
    <w:rsid w:val="00ED4C1B"/>
    <w:rsid w:val="00F311C8"/>
    <w:rsid w:val="00F37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779D"/>
  <w15:chartTrackingRefBased/>
  <w15:docId w15:val="{96D41EF4-B40F-4EFA-8EAC-917465F98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7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7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7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7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7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7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7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7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7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7BC"/>
    <w:rPr>
      <w:rFonts w:eastAsiaTheme="majorEastAsia" w:cstheme="majorBidi"/>
      <w:color w:val="272727" w:themeColor="text1" w:themeTint="D8"/>
    </w:rPr>
  </w:style>
  <w:style w:type="paragraph" w:styleId="Title">
    <w:name w:val="Title"/>
    <w:basedOn w:val="Normal"/>
    <w:next w:val="Normal"/>
    <w:link w:val="TitleChar"/>
    <w:uiPriority w:val="10"/>
    <w:qFormat/>
    <w:rsid w:val="007D67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7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7BC"/>
    <w:pPr>
      <w:spacing w:before="160"/>
      <w:jc w:val="center"/>
    </w:pPr>
    <w:rPr>
      <w:i/>
      <w:iCs/>
      <w:color w:val="404040" w:themeColor="text1" w:themeTint="BF"/>
    </w:rPr>
  </w:style>
  <w:style w:type="character" w:customStyle="1" w:styleId="QuoteChar">
    <w:name w:val="Quote Char"/>
    <w:basedOn w:val="DefaultParagraphFont"/>
    <w:link w:val="Quote"/>
    <w:uiPriority w:val="29"/>
    <w:rsid w:val="007D67BC"/>
    <w:rPr>
      <w:i/>
      <w:iCs/>
      <w:color w:val="404040" w:themeColor="text1" w:themeTint="BF"/>
    </w:rPr>
  </w:style>
  <w:style w:type="paragraph" w:styleId="ListParagraph">
    <w:name w:val="List Paragraph"/>
    <w:basedOn w:val="Normal"/>
    <w:uiPriority w:val="34"/>
    <w:qFormat/>
    <w:rsid w:val="007D67BC"/>
    <w:pPr>
      <w:ind w:left="720"/>
      <w:contextualSpacing/>
    </w:pPr>
  </w:style>
  <w:style w:type="character" w:styleId="IntenseEmphasis">
    <w:name w:val="Intense Emphasis"/>
    <w:basedOn w:val="DefaultParagraphFont"/>
    <w:uiPriority w:val="21"/>
    <w:qFormat/>
    <w:rsid w:val="007D67BC"/>
    <w:rPr>
      <w:i/>
      <w:iCs/>
      <w:color w:val="0F4761" w:themeColor="accent1" w:themeShade="BF"/>
    </w:rPr>
  </w:style>
  <w:style w:type="paragraph" w:styleId="IntenseQuote">
    <w:name w:val="Intense Quote"/>
    <w:basedOn w:val="Normal"/>
    <w:next w:val="Normal"/>
    <w:link w:val="IntenseQuoteChar"/>
    <w:uiPriority w:val="30"/>
    <w:qFormat/>
    <w:rsid w:val="007D6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7BC"/>
    <w:rPr>
      <w:i/>
      <w:iCs/>
      <w:color w:val="0F4761" w:themeColor="accent1" w:themeShade="BF"/>
    </w:rPr>
  </w:style>
  <w:style w:type="character" w:styleId="IntenseReference">
    <w:name w:val="Intense Reference"/>
    <w:basedOn w:val="DefaultParagraphFont"/>
    <w:uiPriority w:val="32"/>
    <w:qFormat/>
    <w:rsid w:val="007D67BC"/>
    <w:rPr>
      <w:b/>
      <w:bCs/>
      <w:smallCaps/>
      <w:color w:val="0F4761" w:themeColor="accent1" w:themeShade="BF"/>
      <w:spacing w:val="5"/>
    </w:rPr>
  </w:style>
  <w:style w:type="character" w:styleId="Hyperlink">
    <w:name w:val="Hyperlink"/>
    <w:basedOn w:val="DefaultParagraphFont"/>
    <w:uiPriority w:val="99"/>
    <w:unhideWhenUsed/>
    <w:rsid w:val="000808E0"/>
    <w:rPr>
      <w:color w:val="467886" w:themeColor="hyperlink"/>
      <w:u w:val="single"/>
    </w:rPr>
  </w:style>
  <w:style w:type="character" w:styleId="UnresolvedMention">
    <w:name w:val="Unresolved Mention"/>
    <w:basedOn w:val="DefaultParagraphFont"/>
    <w:uiPriority w:val="99"/>
    <w:semiHidden/>
    <w:unhideWhenUsed/>
    <w:rsid w:val="000808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7948">
      <w:bodyDiv w:val="1"/>
      <w:marLeft w:val="0"/>
      <w:marRight w:val="0"/>
      <w:marTop w:val="0"/>
      <w:marBottom w:val="0"/>
      <w:divBdr>
        <w:top w:val="none" w:sz="0" w:space="0" w:color="auto"/>
        <w:left w:val="none" w:sz="0" w:space="0" w:color="auto"/>
        <w:bottom w:val="none" w:sz="0" w:space="0" w:color="auto"/>
        <w:right w:val="none" w:sz="0" w:space="0" w:color="auto"/>
      </w:divBdr>
      <w:divsChild>
        <w:div w:id="403528931">
          <w:marLeft w:val="0"/>
          <w:marRight w:val="0"/>
          <w:marTop w:val="0"/>
          <w:marBottom w:val="0"/>
          <w:divBdr>
            <w:top w:val="none" w:sz="0" w:space="0" w:color="auto"/>
            <w:left w:val="none" w:sz="0" w:space="0" w:color="auto"/>
            <w:bottom w:val="none" w:sz="0" w:space="0" w:color="auto"/>
            <w:right w:val="none" w:sz="0" w:space="0" w:color="auto"/>
          </w:divBdr>
        </w:div>
      </w:divsChild>
    </w:div>
    <w:div w:id="154497997">
      <w:bodyDiv w:val="1"/>
      <w:marLeft w:val="0"/>
      <w:marRight w:val="0"/>
      <w:marTop w:val="0"/>
      <w:marBottom w:val="0"/>
      <w:divBdr>
        <w:top w:val="none" w:sz="0" w:space="0" w:color="auto"/>
        <w:left w:val="none" w:sz="0" w:space="0" w:color="auto"/>
        <w:bottom w:val="none" w:sz="0" w:space="0" w:color="auto"/>
        <w:right w:val="none" w:sz="0" w:space="0" w:color="auto"/>
      </w:divBdr>
    </w:div>
    <w:div w:id="461846925">
      <w:bodyDiv w:val="1"/>
      <w:marLeft w:val="0"/>
      <w:marRight w:val="0"/>
      <w:marTop w:val="0"/>
      <w:marBottom w:val="0"/>
      <w:divBdr>
        <w:top w:val="none" w:sz="0" w:space="0" w:color="auto"/>
        <w:left w:val="none" w:sz="0" w:space="0" w:color="auto"/>
        <w:bottom w:val="none" w:sz="0" w:space="0" w:color="auto"/>
        <w:right w:val="none" w:sz="0" w:space="0" w:color="auto"/>
      </w:divBdr>
    </w:div>
    <w:div w:id="613750535">
      <w:bodyDiv w:val="1"/>
      <w:marLeft w:val="0"/>
      <w:marRight w:val="0"/>
      <w:marTop w:val="0"/>
      <w:marBottom w:val="0"/>
      <w:divBdr>
        <w:top w:val="none" w:sz="0" w:space="0" w:color="auto"/>
        <w:left w:val="none" w:sz="0" w:space="0" w:color="auto"/>
        <w:bottom w:val="none" w:sz="0" w:space="0" w:color="auto"/>
        <w:right w:val="none" w:sz="0" w:space="0" w:color="auto"/>
      </w:divBdr>
      <w:divsChild>
        <w:div w:id="324474138">
          <w:marLeft w:val="0"/>
          <w:marRight w:val="0"/>
          <w:marTop w:val="0"/>
          <w:marBottom w:val="0"/>
          <w:divBdr>
            <w:top w:val="none" w:sz="0" w:space="0" w:color="auto"/>
            <w:left w:val="none" w:sz="0" w:space="0" w:color="auto"/>
            <w:bottom w:val="none" w:sz="0" w:space="0" w:color="auto"/>
            <w:right w:val="none" w:sz="0" w:space="0" w:color="auto"/>
          </w:divBdr>
        </w:div>
      </w:divsChild>
    </w:div>
    <w:div w:id="732503163">
      <w:bodyDiv w:val="1"/>
      <w:marLeft w:val="0"/>
      <w:marRight w:val="0"/>
      <w:marTop w:val="0"/>
      <w:marBottom w:val="0"/>
      <w:divBdr>
        <w:top w:val="none" w:sz="0" w:space="0" w:color="auto"/>
        <w:left w:val="none" w:sz="0" w:space="0" w:color="auto"/>
        <w:bottom w:val="none" w:sz="0" w:space="0" w:color="auto"/>
        <w:right w:val="none" w:sz="0" w:space="0" w:color="auto"/>
      </w:divBdr>
      <w:divsChild>
        <w:div w:id="113720582">
          <w:marLeft w:val="0"/>
          <w:marRight w:val="0"/>
          <w:marTop w:val="0"/>
          <w:marBottom w:val="0"/>
          <w:divBdr>
            <w:top w:val="none" w:sz="0" w:space="0" w:color="auto"/>
            <w:left w:val="none" w:sz="0" w:space="0" w:color="auto"/>
            <w:bottom w:val="none" w:sz="0" w:space="0" w:color="auto"/>
            <w:right w:val="none" w:sz="0" w:space="0" w:color="auto"/>
          </w:divBdr>
        </w:div>
      </w:divsChild>
    </w:div>
    <w:div w:id="972562294">
      <w:bodyDiv w:val="1"/>
      <w:marLeft w:val="0"/>
      <w:marRight w:val="0"/>
      <w:marTop w:val="0"/>
      <w:marBottom w:val="0"/>
      <w:divBdr>
        <w:top w:val="none" w:sz="0" w:space="0" w:color="auto"/>
        <w:left w:val="none" w:sz="0" w:space="0" w:color="auto"/>
        <w:bottom w:val="none" w:sz="0" w:space="0" w:color="auto"/>
        <w:right w:val="none" w:sz="0" w:space="0" w:color="auto"/>
      </w:divBdr>
    </w:div>
    <w:div w:id="1025865274">
      <w:bodyDiv w:val="1"/>
      <w:marLeft w:val="0"/>
      <w:marRight w:val="0"/>
      <w:marTop w:val="0"/>
      <w:marBottom w:val="0"/>
      <w:divBdr>
        <w:top w:val="none" w:sz="0" w:space="0" w:color="auto"/>
        <w:left w:val="none" w:sz="0" w:space="0" w:color="auto"/>
        <w:bottom w:val="none" w:sz="0" w:space="0" w:color="auto"/>
        <w:right w:val="none" w:sz="0" w:space="0" w:color="auto"/>
      </w:divBdr>
      <w:divsChild>
        <w:div w:id="165750661">
          <w:marLeft w:val="0"/>
          <w:marRight w:val="0"/>
          <w:marTop w:val="0"/>
          <w:marBottom w:val="0"/>
          <w:divBdr>
            <w:top w:val="none" w:sz="0" w:space="0" w:color="auto"/>
            <w:left w:val="none" w:sz="0" w:space="0" w:color="auto"/>
            <w:bottom w:val="none" w:sz="0" w:space="0" w:color="auto"/>
            <w:right w:val="none" w:sz="0" w:space="0" w:color="auto"/>
          </w:divBdr>
        </w:div>
      </w:divsChild>
    </w:div>
    <w:div w:id="1302344476">
      <w:bodyDiv w:val="1"/>
      <w:marLeft w:val="0"/>
      <w:marRight w:val="0"/>
      <w:marTop w:val="0"/>
      <w:marBottom w:val="0"/>
      <w:divBdr>
        <w:top w:val="none" w:sz="0" w:space="0" w:color="auto"/>
        <w:left w:val="none" w:sz="0" w:space="0" w:color="auto"/>
        <w:bottom w:val="none" w:sz="0" w:space="0" w:color="auto"/>
        <w:right w:val="none" w:sz="0" w:space="0" w:color="auto"/>
      </w:divBdr>
    </w:div>
    <w:div w:id="1361053053">
      <w:bodyDiv w:val="1"/>
      <w:marLeft w:val="0"/>
      <w:marRight w:val="0"/>
      <w:marTop w:val="0"/>
      <w:marBottom w:val="0"/>
      <w:divBdr>
        <w:top w:val="none" w:sz="0" w:space="0" w:color="auto"/>
        <w:left w:val="none" w:sz="0" w:space="0" w:color="auto"/>
        <w:bottom w:val="none" w:sz="0" w:space="0" w:color="auto"/>
        <w:right w:val="none" w:sz="0" w:space="0" w:color="auto"/>
      </w:divBdr>
    </w:div>
    <w:div w:id="1599098265">
      <w:bodyDiv w:val="1"/>
      <w:marLeft w:val="0"/>
      <w:marRight w:val="0"/>
      <w:marTop w:val="0"/>
      <w:marBottom w:val="0"/>
      <w:divBdr>
        <w:top w:val="none" w:sz="0" w:space="0" w:color="auto"/>
        <w:left w:val="none" w:sz="0" w:space="0" w:color="auto"/>
        <w:bottom w:val="none" w:sz="0" w:space="0" w:color="auto"/>
        <w:right w:val="none" w:sz="0" w:space="0" w:color="auto"/>
      </w:divBdr>
    </w:div>
    <w:div w:id="1719166179">
      <w:bodyDiv w:val="1"/>
      <w:marLeft w:val="0"/>
      <w:marRight w:val="0"/>
      <w:marTop w:val="0"/>
      <w:marBottom w:val="0"/>
      <w:divBdr>
        <w:top w:val="none" w:sz="0" w:space="0" w:color="auto"/>
        <w:left w:val="none" w:sz="0" w:space="0" w:color="auto"/>
        <w:bottom w:val="none" w:sz="0" w:space="0" w:color="auto"/>
        <w:right w:val="none" w:sz="0" w:space="0" w:color="auto"/>
      </w:divBdr>
      <w:divsChild>
        <w:div w:id="1412461338">
          <w:marLeft w:val="0"/>
          <w:marRight w:val="0"/>
          <w:marTop w:val="0"/>
          <w:marBottom w:val="0"/>
          <w:divBdr>
            <w:top w:val="none" w:sz="0" w:space="0" w:color="auto"/>
            <w:left w:val="none" w:sz="0" w:space="0" w:color="auto"/>
            <w:bottom w:val="none" w:sz="0" w:space="0" w:color="auto"/>
            <w:right w:val="none" w:sz="0" w:space="0" w:color="auto"/>
          </w:divBdr>
        </w:div>
      </w:divsChild>
    </w:div>
    <w:div w:id="1752122454">
      <w:bodyDiv w:val="1"/>
      <w:marLeft w:val="0"/>
      <w:marRight w:val="0"/>
      <w:marTop w:val="0"/>
      <w:marBottom w:val="0"/>
      <w:divBdr>
        <w:top w:val="none" w:sz="0" w:space="0" w:color="auto"/>
        <w:left w:val="none" w:sz="0" w:space="0" w:color="auto"/>
        <w:bottom w:val="none" w:sz="0" w:space="0" w:color="auto"/>
        <w:right w:val="none" w:sz="0" w:space="0" w:color="auto"/>
      </w:divBdr>
      <w:divsChild>
        <w:div w:id="752354660">
          <w:marLeft w:val="0"/>
          <w:marRight w:val="0"/>
          <w:marTop w:val="0"/>
          <w:marBottom w:val="0"/>
          <w:divBdr>
            <w:top w:val="none" w:sz="0" w:space="0" w:color="auto"/>
            <w:left w:val="none" w:sz="0" w:space="0" w:color="auto"/>
            <w:bottom w:val="none" w:sz="0" w:space="0" w:color="auto"/>
            <w:right w:val="none" w:sz="0" w:space="0" w:color="auto"/>
          </w:divBdr>
        </w:div>
      </w:divsChild>
    </w:div>
    <w:div w:id="1785423401">
      <w:bodyDiv w:val="1"/>
      <w:marLeft w:val="0"/>
      <w:marRight w:val="0"/>
      <w:marTop w:val="0"/>
      <w:marBottom w:val="0"/>
      <w:divBdr>
        <w:top w:val="none" w:sz="0" w:space="0" w:color="auto"/>
        <w:left w:val="none" w:sz="0" w:space="0" w:color="auto"/>
        <w:bottom w:val="none" w:sz="0" w:space="0" w:color="auto"/>
        <w:right w:val="none" w:sz="0" w:space="0" w:color="auto"/>
      </w:divBdr>
    </w:div>
    <w:div w:id="2006937373">
      <w:bodyDiv w:val="1"/>
      <w:marLeft w:val="0"/>
      <w:marRight w:val="0"/>
      <w:marTop w:val="0"/>
      <w:marBottom w:val="0"/>
      <w:divBdr>
        <w:top w:val="none" w:sz="0" w:space="0" w:color="auto"/>
        <w:left w:val="none" w:sz="0" w:space="0" w:color="auto"/>
        <w:bottom w:val="none" w:sz="0" w:space="0" w:color="auto"/>
        <w:right w:val="none" w:sz="0" w:space="0" w:color="auto"/>
      </w:divBdr>
      <w:divsChild>
        <w:div w:id="1259144849">
          <w:marLeft w:val="0"/>
          <w:marRight w:val="0"/>
          <w:marTop w:val="0"/>
          <w:marBottom w:val="0"/>
          <w:divBdr>
            <w:top w:val="none" w:sz="0" w:space="0" w:color="auto"/>
            <w:left w:val="none" w:sz="0" w:space="0" w:color="auto"/>
            <w:bottom w:val="none" w:sz="0" w:space="0" w:color="auto"/>
            <w:right w:val="none" w:sz="0" w:space="0" w:color="auto"/>
          </w:divBdr>
        </w:div>
      </w:divsChild>
    </w:div>
    <w:div w:id="2099331263">
      <w:bodyDiv w:val="1"/>
      <w:marLeft w:val="0"/>
      <w:marRight w:val="0"/>
      <w:marTop w:val="0"/>
      <w:marBottom w:val="0"/>
      <w:divBdr>
        <w:top w:val="none" w:sz="0" w:space="0" w:color="auto"/>
        <w:left w:val="none" w:sz="0" w:space="0" w:color="auto"/>
        <w:bottom w:val="none" w:sz="0" w:space="0" w:color="auto"/>
        <w:right w:val="none" w:sz="0" w:space="0" w:color="auto"/>
      </w:divBdr>
      <w:divsChild>
        <w:div w:id="1112896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greenevents.org/certifications/" TargetMode="External"/><Relationship Id="rId3" Type="http://schemas.openxmlformats.org/officeDocument/2006/relationships/settings" Target="settings.xml"/><Relationship Id="rId7" Type="http://schemas.openxmlformats.org/officeDocument/2006/relationships/hyperlink" Target="https://doi.org/10.1016/j.apenergy.2017.10.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yyti.com/en/blog/introducing-the-event-cycle-the-core-of-event-success-managemen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su100203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14</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dc:creator>
  <cp:keywords/>
  <dc:description/>
  <cp:lastModifiedBy>Tony Ancuta</cp:lastModifiedBy>
  <cp:revision>4</cp:revision>
  <dcterms:created xsi:type="dcterms:W3CDTF">2024-03-01T11:23:00Z</dcterms:created>
  <dcterms:modified xsi:type="dcterms:W3CDTF">2024-03-01T17:13:00Z</dcterms:modified>
</cp:coreProperties>
</file>