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7789F" w14:textId="77777777" w:rsidR="00ED5E1A" w:rsidRPr="001153C5" w:rsidRDefault="006B53F5">
      <w:pPr>
        <w:spacing w:before="120" w:after="120"/>
        <w:rPr>
          <w:rFonts w:ascii="Arial" w:hAnsi="Arial" w:cs="Arial"/>
        </w:rPr>
      </w:pPr>
      <w:r w:rsidRPr="001153C5">
        <w:rPr>
          <w:rFonts w:ascii="Arial" w:hAnsi="Arial" w:cs="Arial"/>
          <w:color w:val="A91E1E"/>
        </w:rPr>
        <w:t>(AC 1.1)</w:t>
      </w:r>
    </w:p>
    <w:p w14:paraId="076B2622" w14:textId="36966841" w:rsidR="00ED5E1A" w:rsidRPr="001153C5" w:rsidRDefault="006B53F5">
      <w:pPr>
        <w:spacing w:before="120" w:after="120"/>
        <w:rPr>
          <w:rFonts w:ascii="Arial" w:hAnsi="Arial" w:cs="Arial"/>
        </w:rPr>
      </w:pPr>
      <w:r w:rsidRPr="001153C5">
        <w:rPr>
          <w:rFonts w:ascii="Arial" w:hAnsi="Arial" w:cs="Arial"/>
        </w:rPr>
        <w:t xml:space="preserve">Evidence-based practice involves utilising the “best available” data and critical judgment (CIPD, 2015) to inform decisions that benefit both the company and its employees. According to the CIPD, the places that the data should come from are scientific literature, such as peer-reviewed journals, from different areas, including Human Resources and psychology, regarding the changes that Technivara need to make. This is useful because it will give examples of general ideas that have worked </w:t>
      </w:r>
      <w:r w:rsidR="006E66ED" w:rsidRPr="001153C5">
        <w:rPr>
          <w:rFonts w:ascii="Arial" w:hAnsi="Arial" w:cs="Arial"/>
        </w:rPr>
        <w:t>on</w:t>
      </w:r>
      <w:r w:rsidRPr="001153C5">
        <w:rPr>
          <w:rFonts w:ascii="Arial" w:hAnsi="Arial" w:cs="Arial"/>
        </w:rPr>
        <w:t xml:space="preserve"> other situations</w:t>
      </w:r>
      <w:r w:rsidR="001927C5" w:rsidRPr="001153C5">
        <w:rPr>
          <w:rFonts w:ascii="Arial" w:hAnsi="Arial" w:cs="Arial"/>
        </w:rPr>
        <w:t xml:space="preserve">, but with understanding of Technivara. </w:t>
      </w:r>
    </w:p>
    <w:p w14:paraId="6CDC0DF2" w14:textId="74737BF0" w:rsidR="007A2B66" w:rsidRPr="001153C5" w:rsidRDefault="006B53F5">
      <w:pPr>
        <w:spacing w:before="120" w:after="120"/>
        <w:rPr>
          <w:rFonts w:ascii="Arial" w:hAnsi="Arial" w:cs="Arial"/>
        </w:rPr>
      </w:pPr>
      <w:r w:rsidRPr="001153C5">
        <w:rPr>
          <w:rFonts w:ascii="Arial" w:hAnsi="Arial" w:cs="Arial"/>
        </w:rPr>
        <w:t>According to Schneider and Barbera (2014), Data from the organisation, such as like the turnover rate or the number of sales. CIPD (2025b). the information will only give a small picture of what is happening within an organisation</w:t>
      </w:r>
      <w:r w:rsidR="00251E5B" w:rsidRPr="001153C5">
        <w:rPr>
          <w:rFonts w:ascii="Arial" w:hAnsi="Arial" w:cs="Arial"/>
        </w:rPr>
        <w:t xml:space="preserve">, and so external </w:t>
      </w:r>
      <w:r w:rsidR="0073376D" w:rsidRPr="001153C5">
        <w:rPr>
          <w:rFonts w:ascii="Arial" w:hAnsi="Arial" w:cs="Arial"/>
        </w:rPr>
        <w:t xml:space="preserve">data will be required. </w:t>
      </w:r>
    </w:p>
    <w:p w14:paraId="5D7C7807" w14:textId="715D4ECD" w:rsidR="007A2B66" w:rsidRPr="001153C5" w:rsidRDefault="007A2B66">
      <w:pPr>
        <w:spacing w:before="120" w:after="120"/>
        <w:rPr>
          <w:rFonts w:ascii="Arial" w:hAnsi="Arial" w:cs="Arial"/>
        </w:rPr>
      </w:pPr>
      <w:r w:rsidRPr="001153C5">
        <w:rPr>
          <w:rFonts w:ascii="Arial" w:hAnsi="Arial" w:cs="Arial"/>
        </w:rPr>
        <w:t>A third source is from a Person practitioner. By using the knowledge and experience of Sue Young to understand the trends within the company.</w:t>
      </w:r>
      <w:r w:rsidR="00DC3021" w:rsidRPr="001153C5">
        <w:rPr>
          <w:rFonts w:ascii="Arial" w:hAnsi="Arial" w:cs="Arial"/>
        </w:rPr>
        <w:t xml:space="preserve"> T</w:t>
      </w:r>
      <w:r w:rsidRPr="001153C5">
        <w:rPr>
          <w:rFonts w:ascii="Arial" w:hAnsi="Arial" w:cs="Arial"/>
        </w:rPr>
        <w:t>his is useful if the People Practitioner has experience and can then give informed advice and read the data with experience</w:t>
      </w:r>
      <w:r w:rsidR="00251E5B" w:rsidRPr="001153C5">
        <w:rPr>
          <w:rFonts w:ascii="Arial" w:hAnsi="Arial" w:cs="Arial"/>
        </w:rPr>
        <w:t xml:space="preserve"> and Previous knowledge.</w:t>
      </w:r>
    </w:p>
    <w:p w14:paraId="34A2ACEF" w14:textId="12270ACB" w:rsidR="00ED5E1A" w:rsidRPr="001153C5" w:rsidRDefault="006B53F5">
      <w:pPr>
        <w:spacing w:before="120" w:after="120"/>
        <w:rPr>
          <w:rFonts w:ascii="Arial" w:hAnsi="Arial" w:cs="Arial"/>
        </w:rPr>
      </w:pPr>
      <w:r w:rsidRPr="001153C5">
        <w:rPr>
          <w:rFonts w:ascii="Arial" w:hAnsi="Arial" w:cs="Arial"/>
        </w:rPr>
        <w:t xml:space="preserve">The Fourth source of data is the thoughts and concerns of the Stakeholders of </w:t>
      </w:r>
      <w:r w:rsidR="00DC3021" w:rsidRPr="001153C5">
        <w:rPr>
          <w:rFonts w:ascii="Arial" w:hAnsi="Arial" w:cs="Arial"/>
        </w:rPr>
        <w:t>Technivara (</w:t>
      </w:r>
      <w:r w:rsidRPr="001153C5">
        <w:rPr>
          <w:rFonts w:ascii="Arial" w:hAnsi="Arial" w:cs="Arial"/>
        </w:rPr>
        <w:t xml:space="preserve">CIPD (2025b). Within Technivara, the stakeholders would include Bill Swanky, as the founder, and the employees who work for the company. This </w:t>
      </w:r>
      <w:r w:rsidR="003E72C6" w:rsidRPr="001153C5">
        <w:rPr>
          <w:rFonts w:ascii="Arial" w:hAnsi="Arial" w:cs="Arial"/>
        </w:rPr>
        <w:t xml:space="preserve">gives </w:t>
      </w:r>
      <w:r w:rsidRPr="001153C5">
        <w:rPr>
          <w:rFonts w:ascii="Arial" w:hAnsi="Arial" w:cs="Arial"/>
        </w:rPr>
        <w:t xml:space="preserve">the perspective of what the priorities of the business are, and it will also </w:t>
      </w:r>
      <w:r w:rsidR="006E66ED" w:rsidRPr="001153C5">
        <w:rPr>
          <w:rFonts w:ascii="Arial" w:hAnsi="Arial" w:cs="Arial"/>
        </w:rPr>
        <w:t>help us</w:t>
      </w:r>
      <w:r w:rsidRPr="001153C5">
        <w:rPr>
          <w:rFonts w:ascii="Arial" w:hAnsi="Arial" w:cs="Arial"/>
        </w:rPr>
        <w:t xml:space="preserve"> to understand what the needs are from inside the company. (Hamieddine et al., 2024)</w:t>
      </w:r>
    </w:p>
    <w:p w14:paraId="4458ABDC" w14:textId="25F63930" w:rsidR="00130759" w:rsidRPr="001153C5" w:rsidRDefault="006B53F5">
      <w:pPr>
        <w:spacing w:before="120" w:after="120"/>
        <w:rPr>
          <w:rFonts w:ascii="Arial" w:hAnsi="Arial" w:cs="Arial"/>
        </w:rPr>
      </w:pPr>
      <w:r w:rsidRPr="001153C5">
        <w:rPr>
          <w:rFonts w:ascii="Arial" w:hAnsi="Arial" w:cs="Arial"/>
        </w:rPr>
        <w:t xml:space="preserve">The data </w:t>
      </w:r>
      <w:r w:rsidR="00672A7A" w:rsidRPr="001153C5">
        <w:rPr>
          <w:rFonts w:ascii="Arial" w:hAnsi="Arial" w:cs="Arial"/>
        </w:rPr>
        <w:t>can</w:t>
      </w:r>
      <w:r w:rsidRPr="001153C5">
        <w:rPr>
          <w:rFonts w:ascii="Arial" w:hAnsi="Arial" w:cs="Arial"/>
        </w:rPr>
        <w:t xml:space="preserve"> help support and make decisions for Sue Young to improve the way that the company is able to make decisions to modernise and expand the business. </w:t>
      </w:r>
    </w:p>
    <w:p w14:paraId="3952E9AF" w14:textId="4431DB68" w:rsidR="00610208" w:rsidRPr="001153C5" w:rsidRDefault="003301AD">
      <w:pPr>
        <w:spacing w:before="120" w:after="120"/>
        <w:rPr>
          <w:rFonts w:ascii="Arial" w:hAnsi="Arial" w:cs="Arial"/>
        </w:rPr>
      </w:pPr>
      <w:r w:rsidRPr="001153C5">
        <w:rPr>
          <w:rFonts w:ascii="Arial" w:hAnsi="Arial" w:cs="Arial"/>
        </w:rPr>
        <w:t>Sue can use the CIPD’s six steps system</w:t>
      </w:r>
      <w:r w:rsidR="00C62C3C" w:rsidRPr="001153C5">
        <w:rPr>
          <w:rFonts w:ascii="Arial" w:hAnsi="Arial" w:cs="Arial"/>
        </w:rPr>
        <w:t xml:space="preserve"> to </w:t>
      </w:r>
      <w:r w:rsidR="00DE7408" w:rsidRPr="001153C5">
        <w:rPr>
          <w:rFonts w:ascii="Arial" w:hAnsi="Arial" w:cs="Arial"/>
        </w:rPr>
        <w:t xml:space="preserve">see what data Technivara already </w:t>
      </w:r>
      <w:r w:rsidRPr="001153C5">
        <w:rPr>
          <w:rFonts w:ascii="Arial" w:hAnsi="Arial" w:cs="Arial"/>
        </w:rPr>
        <w:t>has</w:t>
      </w:r>
      <w:r w:rsidR="00DE7408" w:rsidRPr="001153C5">
        <w:rPr>
          <w:rFonts w:ascii="Arial" w:hAnsi="Arial" w:cs="Arial"/>
        </w:rPr>
        <w:t xml:space="preserve"> and use it to support her process</w:t>
      </w:r>
      <w:r w:rsidRPr="001153C5">
        <w:rPr>
          <w:rFonts w:ascii="Arial" w:hAnsi="Arial" w:cs="Arial"/>
        </w:rPr>
        <w:t xml:space="preserve">. (CIPD, 2025a). By identifying the questions that need to ask to improve the company, Sue can then gather the evidence that she will need from the sources above to make her case as to what others have done in similar situations. While this is useful, there may be situations wherein there is a limited amount, or contradicting evidence, the discretion of the People Practitioner should follow, as the evidence should be both consistent and objective, </w:t>
      </w:r>
      <w:r w:rsidR="00B41AF3" w:rsidRPr="001153C5">
        <w:rPr>
          <w:rFonts w:ascii="Arial" w:hAnsi="Arial" w:cs="Arial"/>
        </w:rPr>
        <w:t>to</w:t>
      </w:r>
      <w:r w:rsidRPr="001153C5">
        <w:rPr>
          <w:rFonts w:ascii="Arial" w:hAnsi="Arial" w:cs="Arial"/>
        </w:rPr>
        <w:t xml:space="preserve"> be as useful as possible. By assessing the data and finding the best evidence to use, combining to gain a “balanced view” (CIPD, 2025a), it is important to rely on </w:t>
      </w:r>
      <w:r w:rsidR="00921294" w:rsidRPr="001153C5">
        <w:rPr>
          <w:rFonts w:ascii="Arial" w:hAnsi="Arial" w:cs="Arial"/>
        </w:rPr>
        <w:t>diverse types</w:t>
      </w:r>
      <w:r w:rsidRPr="001153C5">
        <w:rPr>
          <w:rFonts w:ascii="Arial" w:hAnsi="Arial" w:cs="Arial"/>
        </w:rPr>
        <w:t xml:space="preserve"> of evidence, as this may become biased. </w:t>
      </w:r>
    </w:p>
    <w:p w14:paraId="5FD12AB5" w14:textId="79B1B354" w:rsidR="00ED5E1A" w:rsidRPr="001153C5" w:rsidRDefault="006B53F5">
      <w:pPr>
        <w:spacing w:before="120" w:after="120"/>
        <w:rPr>
          <w:rFonts w:ascii="Arial" w:hAnsi="Arial" w:cs="Arial"/>
        </w:rPr>
      </w:pPr>
      <w:r w:rsidRPr="001153C5">
        <w:rPr>
          <w:rFonts w:ascii="Arial" w:hAnsi="Arial" w:cs="Arial"/>
        </w:rPr>
        <w:t>The fifth step is to use the information to create a comprehensive plan and implement</w:t>
      </w:r>
      <w:r w:rsidR="00852C83" w:rsidRPr="001153C5">
        <w:rPr>
          <w:rFonts w:ascii="Arial" w:hAnsi="Arial" w:cs="Arial"/>
        </w:rPr>
        <w:t xml:space="preserve"> it</w:t>
      </w:r>
      <w:r w:rsidRPr="001153C5">
        <w:rPr>
          <w:rFonts w:ascii="Arial" w:hAnsi="Arial" w:cs="Arial"/>
        </w:rPr>
        <w:t xml:space="preserve">. The importance of using an evidence-based practice, for Technivara, is that it will make the decision-making process a clearer and fairer system (CIPD, 2025a). It also allows for the process and decisions </w:t>
      </w:r>
      <w:r w:rsidR="00927200" w:rsidRPr="001153C5">
        <w:rPr>
          <w:rFonts w:ascii="Arial" w:hAnsi="Arial" w:cs="Arial"/>
        </w:rPr>
        <w:t>to</w:t>
      </w:r>
      <w:r w:rsidRPr="001153C5">
        <w:rPr>
          <w:rFonts w:ascii="Arial" w:hAnsi="Arial" w:cs="Arial"/>
        </w:rPr>
        <w:t xml:space="preserve"> defended</w:t>
      </w:r>
      <w:r w:rsidR="00973D68" w:rsidRPr="001153C5">
        <w:rPr>
          <w:rFonts w:ascii="Arial" w:hAnsi="Arial" w:cs="Arial"/>
        </w:rPr>
        <w:t xml:space="preserve"> and </w:t>
      </w:r>
      <w:r w:rsidR="00167F88" w:rsidRPr="001153C5">
        <w:rPr>
          <w:rFonts w:ascii="Arial" w:hAnsi="Arial" w:cs="Arial"/>
        </w:rPr>
        <w:t>scrutinized</w:t>
      </w:r>
      <w:r w:rsidR="00973D68" w:rsidRPr="001153C5">
        <w:rPr>
          <w:rFonts w:ascii="Arial" w:hAnsi="Arial" w:cs="Arial"/>
        </w:rPr>
        <w:t xml:space="preserve">. </w:t>
      </w:r>
    </w:p>
    <w:p w14:paraId="76605271" w14:textId="77777777" w:rsidR="00ED5E1A" w:rsidRPr="001153C5" w:rsidRDefault="006B53F5">
      <w:pPr>
        <w:spacing w:before="120" w:after="120"/>
        <w:rPr>
          <w:rFonts w:ascii="Arial" w:hAnsi="Arial" w:cs="Arial"/>
        </w:rPr>
      </w:pPr>
      <w:r w:rsidRPr="001153C5">
        <w:rPr>
          <w:rFonts w:ascii="Arial" w:hAnsi="Arial" w:cs="Arial"/>
          <w:color w:val="A91E1E"/>
        </w:rPr>
        <w:t>(AC 1.2)</w:t>
      </w:r>
    </w:p>
    <w:p w14:paraId="6847C072" w14:textId="740967CC" w:rsidR="00ED5E1A" w:rsidRPr="001153C5" w:rsidRDefault="006B53F5">
      <w:pPr>
        <w:spacing w:before="120" w:after="120"/>
        <w:rPr>
          <w:rFonts w:ascii="Arial" w:hAnsi="Arial" w:cs="Arial"/>
        </w:rPr>
      </w:pPr>
      <w:r w:rsidRPr="001153C5">
        <w:rPr>
          <w:rFonts w:ascii="Arial" w:hAnsi="Arial" w:cs="Arial"/>
        </w:rPr>
        <w:t xml:space="preserve">We can identify </w:t>
      </w:r>
      <w:r w:rsidR="0028031E" w:rsidRPr="001153C5">
        <w:rPr>
          <w:rFonts w:ascii="Arial" w:hAnsi="Arial" w:cs="Arial"/>
        </w:rPr>
        <w:t>issues</w:t>
      </w:r>
      <w:r w:rsidRPr="001153C5">
        <w:rPr>
          <w:rFonts w:ascii="Arial" w:hAnsi="Arial" w:cs="Arial"/>
        </w:rPr>
        <w:t xml:space="preserve"> by using an analysis tool such as a PESTLE analysis or a SWOT analysis. the benefits of using an analysis tool are that they allow a business to understand and analyse where it needs to improve or future-proof the business (CIPD, 2025b). Within Technivara, using the PESTLE to diagnose the issues they have and </w:t>
      </w:r>
      <w:r w:rsidRPr="001153C5">
        <w:rPr>
          <w:rFonts w:ascii="Arial" w:hAnsi="Arial" w:cs="Arial"/>
        </w:rPr>
        <w:lastRenderedPageBreak/>
        <w:t xml:space="preserve">why they need to modernise. Another tool </w:t>
      </w:r>
      <w:r w:rsidR="00D1628D" w:rsidRPr="001153C5">
        <w:rPr>
          <w:rFonts w:ascii="Arial" w:hAnsi="Arial" w:cs="Arial"/>
        </w:rPr>
        <w:t>to</w:t>
      </w:r>
      <w:r w:rsidR="004B3597" w:rsidRPr="001153C5">
        <w:rPr>
          <w:rFonts w:ascii="Arial" w:hAnsi="Arial" w:cs="Arial"/>
        </w:rPr>
        <w:t xml:space="preserve"> consider </w:t>
      </w:r>
      <w:r w:rsidRPr="001153C5">
        <w:rPr>
          <w:rFonts w:ascii="Arial" w:hAnsi="Arial" w:cs="Arial"/>
        </w:rPr>
        <w:t xml:space="preserve">is </w:t>
      </w:r>
      <w:r w:rsidR="0028031E" w:rsidRPr="001153C5">
        <w:rPr>
          <w:rFonts w:ascii="Arial" w:hAnsi="Arial" w:cs="Arial"/>
        </w:rPr>
        <w:t>SWOT</w:t>
      </w:r>
      <w:r w:rsidRPr="001153C5">
        <w:rPr>
          <w:rFonts w:ascii="Arial" w:hAnsi="Arial" w:cs="Arial"/>
        </w:rPr>
        <w:t xml:space="preserve"> analysis. This is a Tool that would allow the company to consider, in basic terms, the strengths and weaknesses of the company. </w:t>
      </w:r>
    </w:p>
    <w:p w14:paraId="23AEB7F2" w14:textId="3C44795D" w:rsidR="00ED5E1A" w:rsidRPr="001153C5" w:rsidRDefault="006B53F5">
      <w:pPr>
        <w:spacing w:before="120" w:after="120"/>
        <w:rPr>
          <w:rFonts w:ascii="Arial" w:hAnsi="Arial" w:cs="Arial"/>
        </w:rPr>
      </w:pPr>
      <w:r w:rsidRPr="001153C5">
        <w:rPr>
          <w:rFonts w:ascii="Arial" w:hAnsi="Arial" w:cs="Arial"/>
        </w:rPr>
        <w:t xml:space="preserve">A PESTLE would include looking at six different areas of external factors, these are Political, Economic, Social, Technological, Legal and Environmental. </w:t>
      </w:r>
      <w:r w:rsidR="00D464E7" w:rsidRPr="001153C5">
        <w:rPr>
          <w:rFonts w:ascii="Arial" w:hAnsi="Arial" w:cs="Arial"/>
        </w:rPr>
        <w:t>(</w:t>
      </w:r>
      <w:r w:rsidRPr="001153C5">
        <w:rPr>
          <w:rFonts w:ascii="Arial" w:hAnsi="Arial" w:cs="Arial"/>
        </w:rPr>
        <w:t xml:space="preserve">Shaw (2021). By using this tool, it will </w:t>
      </w:r>
      <w:r w:rsidR="0028031E" w:rsidRPr="001153C5">
        <w:rPr>
          <w:rFonts w:ascii="Arial" w:hAnsi="Arial" w:cs="Arial"/>
        </w:rPr>
        <w:t>allow</w:t>
      </w:r>
      <w:r w:rsidRPr="001153C5">
        <w:rPr>
          <w:rFonts w:ascii="Arial" w:hAnsi="Arial" w:cs="Arial"/>
        </w:rPr>
        <w:t xml:space="preserve"> Bill and Sue </w:t>
      </w:r>
      <w:r w:rsidR="00FF7961" w:rsidRPr="001153C5">
        <w:rPr>
          <w:rFonts w:ascii="Arial" w:hAnsi="Arial" w:cs="Arial"/>
        </w:rPr>
        <w:t>to have</w:t>
      </w:r>
      <w:r w:rsidRPr="001153C5">
        <w:rPr>
          <w:rFonts w:ascii="Arial" w:hAnsi="Arial" w:cs="Arial"/>
        </w:rPr>
        <w:t xml:space="preserve"> a better view of the overall business environment and thus be able to make decisions that will modernise Technivara, based on the external factors and the relevant data.</w:t>
      </w:r>
      <w:r w:rsidR="00C25A98" w:rsidRPr="001153C5">
        <w:rPr>
          <w:rFonts w:ascii="Arial" w:hAnsi="Arial" w:cs="Arial"/>
        </w:rPr>
        <w:t xml:space="preserve"> O</w:t>
      </w:r>
      <w:r w:rsidRPr="001153C5">
        <w:rPr>
          <w:rFonts w:ascii="Arial" w:hAnsi="Arial" w:cs="Arial"/>
        </w:rPr>
        <w:t>ther benefits of using a PESTLE analysis include that it is a simple model that</w:t>
      </w:r>
      <w:r w:rsidR="00C25A98" w:rsidRPr="001153C5">
        <w:rPr>
          <w:rFonts w:ascii="Arial" w:hAnsi="Arial" w:cs="Arial"/>
        </w:rPr>
        <w:t xml:space="preserve"> to</w:t>
      </w:r>
      <w:r w:rsidRPr="001153C5">
        <w:rPr>
          <w:rFonts w:ascii="Arial" w:hAnsi="Arial" w:cs="Arial"/>
        </w:rPr>
        <w:t xml:space="preserve"> done cheaply, as it does not require any extra money to undertake it. Another benefit is that it will </w:t>
      </w:r>
      <w:r w:rsidR="00C25A98" w:rsidRPr="001153C5">
        <w:rPr>
          <w:rFonts w:ascii="Arial" w:hAnsi="Arial" w:cs="Arial"/>
        </w:rPr>
        <w:t>allow</w:t>
      </w:r>
      <w:r w:rsidRPr="001153C5">
        <w:rPr>
          <w:rFonts w:ascii="Arial" w:hAnsi="Arial" w:cs="Arial"/>
        </w:rPr>
        <w:t xml:space="preserve"> Technivara to find any </w:t>
      </w:r>
      <w:r w:rsidR="00C25A98" w:rsidRPr="001153C5">
        <w:rPr>
          <w:rFonts w:ascii="Arial" w:hAnsi="Arial" w:cs="Arial"/>
        </w:rPr>
        <w:t>issues</w:t>
      </w:r>
      <w:r w:rsidRPr="001153C5">
        <w:rPr>
          <w:rFonts w:ascii="Arial" w:hAnsi="Arial" w:cs="Arial"/>
        </w:rPr>
        <w:t xml:space="preserve"> to</w:t>
      </w:r>
      <w:r w:rsidR="00D2049F" w:rsidRPr="001153C5">
        <w:rPr>
          <w:rFonts w:ascii="Arial" w:hAnsi="Arial" w:cs="Arial"/>
        </w:rPr>
        <w:t xml:space="preserve"> take </w:t>
      </w:r>
      <w:r w:rsidRPr="001153C5">
        <w:rPr>
          <w:rFonts w:ascii="Arial" w:hAnsi="Arial" w:cs="Arial"/>
        </w:rPr>
        <w:t xml:space="preserve">advantage of and improve the business (CIPD, 2025b). </w:t>
      </w:r>
    </w:p>
    <w:p w14:paraId="00D3934A" w14:textId="03131A7C" w:rsidR="00ED5E1A" w:rsidRPr="001153C5" w:rsidRDefault="00B47310">
      <w:pPr>
        <w:spacing w:before="120" w:after="120"/>
        <w:rPr>
          <w:rFonts w:ascii="Arial" w:hAnsi="Arial" w:cs="Arial"/>
        </w:rPr>
      </w:pPr>
      <w:r w:rsidRPr="001153C5">
        <w:rPr>
          <w:rFonts w:ascii="Arial" w:hAnsi="Arial" w:cs="Arial"/>
        </w:rPr>
        <w:t>The disadvantages of a PESTLE are that, as it is a simple tool, Sue may not be able to collect enough Data to make insightful decisions, and as it is based on</w:t>
      </w:r>
      <w:r w:rsidR="00767789" w:rsidRPr="001153C5">
        <w:rPr>
          <w:rFonts w:ascii="Arial" w:hAnsi="Arial" w:cs="Arial"/>
        </w:rPr>
        <w:t xml:space="preserve"> Judgements,</w:t>
      </w:r>
      <w:r w:rsidR="00796A89" w:rsidRPr="001153C5">
        <w:rPr>
          <w:rFonts w:ascii="Arial" w:hAnsi="Arial" w:cs="Arial"/>
        </w:rPr>
        <w:t xml:space="preserve"> the outcomes may not be as predicted (</w:t>
      </w:r>
      <w:r w:rsidRPr="001153C5">
        <w:rPr>
          <w:rFonts w:ascii="Arial" w:hAnsi="Arial" w:cs="Arial"/>
        </w:rPr>
        <w:t>CIPD, 2025b).</w:t>
      </w:r>
    </w:p>
    <w:p w14:paraId="4FC61F3A" w14:textId="77777777" w:rsidR="00ED5E1A" w:rsidRPr="001153C5" w:rsidRDefault="00ED5E1A">
      <w:pPr>
        <w:spacing w:before="120" w:after="120"/>
        <w:rPr>
          <w:rFonts w:ascii="Arial" w:hAnsi="Arial" w:cs="Arial"/>
        </w:rPr>
      </w:pPr>
    </w:p>
    <w:p w14:paraId="7B07DD41" w14:textId="77777777" w:rsidR="00397908" w:rsidRPr="001153C5" w:rsidRDefault="006B53F5">
      <w:pPr>
        <w:spacing w:before="120" w:after="120"/>
        <w:rPr>
          <w:rFonts w:ascii="Arial" w:hAnsi="Arial" w:cs="Arial"/>
        </w:rPr>
      </w:pPr>
      <w:r w:rsidRPr="001153C5">
        <w:rPr>
          <w:rFonts w:ascii="Arial" w:hAnsi="Arial" w:cs="Arial"/>
        </w:rPr>
        <w:t>The method of People Analytics is using data to make better decisions and can be the basis for decision making, as it uses data on Employees to make better decisions, for example, the retention of employees. CIPD (2025d).</w:t>
      </w:r>
    </w:p>
    <w:p w14:paraId="1CCD2A66" w14:textId="34D04E49" w:rsidR="00915DF2" w:rsidRPr="001153C5" w:rsidRDefault="006B53F5">
      <w:pPr>
        <w:spacing w:before="120" w:after="120"/>
        <w:rPr>
          <w:rFonts w:ascii="Arial" w:hAnsi="Arial" w:cs="Arial"/>
        </w:rPr>
      </w:pPr>
      <w:r w:rsidRPr="001153C5">
        <w:rPr>
          <w:rFonts w:ascii="Arial" w:hAnsi="Arial" w:cs="Arial"/>
        </w:rPr>
        <w:t xml:space="preserve"> Collecting</w:t>
      </w:r>
      <w:r w:rsidR="00032E76">
        <w:rPr>
          <w:rFonts w:ascii="Arial" w:hAnsi="Arial" w:cs="Arial"/>
        </w:rPr>
        <w:t xml:space="preserve"> </w:t>
      </w:r>
      <w:r w:rsidRPr="001153C5">
        <w:rPr>
          <w:rFonts w:ascii="Arial" w:hAnsi="Arial" w:cs="Arial"/>
        </w:rPr>
        <w:t xml:space="preserve">data from </w:t>
      </w:r>
      <w:r w:rsidR="00FF7961" w:rsidRPr="001153C5">
        <w:rPr>
          <w:rFonts w:ascii="Arial" w:hAnsi="Arial" w:cs="Arial"/>
        </w:rPr>
        <w:t>employees</w:t>
      </w:r>
      <w:r w:rsidRPr="001153C5">
        <w:rPr>
          <w:rFonts w:ascii="Arial" w:hAnsi="Arial" w:cs="Arial"/>
        </w:rPr>
        <w:t xml:space="preserve"> allows Sue to use the data as evidence when presenting her report. </w:t>
      </w:r>
      <w:r w:rsidR="00FD7E86">
        <w:rPr>
          <w:rFonts w:ascii="Arial" w:hAnsi="Arial" w:cs="Arial"/>
        </w:rPr>
        <w:t>Sue should use</w:t>
      </w:r>
      <w:r w:rsidRPr="001153C5">
        <w:rPr>
          <w:rFonts w:ascii="Arial" w:hAnsi="Arial" w:cs="Arial"/>
        </w:rPr>
        <w:t xml:space="preserve"> three types of analytics to make her decision, as using these will allow her to come to a better conclusion of how the data collected is able to support the expansion of Technivara. This would include using Descriptive analytics to see what is happening now in the company. CIPD (2025d</w:t>
      </w:r>
      <w:r w:rsidR="00FF7961" w:rsidRPr="001153C5">
        <w:rPr>
          <w:rFonts w:ascii="Arial" w:hAnsi="Arial" w:cs="Arial"/>
        </w:rPr>
        <w:t xml:space="preserve">). </w:t>
      </w:r>
    </w:p>
    <w:p w14:paraId="7EA8C763" w14:textId="36A1DCC8" w:rsidR="00ED5E1A" w:rsidRPr="001153C5" w:rsidRDefault="006B53F5">
      <w:pPr>
        <w:spacing w:before="120" w:after="120"/>
        <w:rPr>
          <w:rFonts w:ascii="Arial" w:hAnsi="Arial" w:cs="Arial"/>
        </w:rPr>
      </w:pPr>
      <w:r w:rsidRPr="001153C5">
        <w:rPr>
          <w:rFonts w:ascii="Arial" w:hAnsi="Arial" w:cs="Arial"/>
        </w:rPr>
        <w:t xml:space="preserve">Sue </w:t>
      </w:r>
      <w:r w:rsidR="002A62FA">
        <w:rPr>
          <w:rFonts w:ascii="Arial" w:hAnsi="Arial" w:cs="Arial"/>
        </w:rPr>
        <w:t xml:space="preserve">will </w:t>
      </w:r>
      <w:r w:rsidR="00212AC5">
        <w:rPr>
          <w:rFonts w:ascii="Arial" w:hAnsi="Arial" w:cs="Arial"/>
        </w:rPr>
        <w:t>understand</w:t>
      </w:r>
      <w:r w:rsidRPr="001153C5">
        <w:rPr>
          <w:rFonts w:ascii="Arial" w:hAnsi="Arial" w:cs="Arial"/>
        </w:rPr>
        <w:t xml:space="preserve"> where there are issues within the company</w:t>
      </w:r>
      <w:r w:rsidR="00201A87" w:rsidRPr="001153C5">
        <w:rPr>
          <w:rFonts w:ascii="Arial" w:hAnsi="Arial" w:cs="Arial"/>
        </w:rPr>
        <w:t xml:space="preserve">, Thud </w:t>
      </w:r>
      <w:r w:rsidRPr="001153C5">
        <w:rPr>
          <w:rFonts w:ascii="Arial" w:hAnsi="Arial" w:cs="Arial"/>
        </w:rPr>
        <w:t xml:space="preserve">Sue can use the Data to predict what the trends are going to be. This is useful as it will allow the board and </w:t>
      </w:r>
      <w:r w:rsidR="00FF7961" w:rsidRPr="001153C5">
        <w:rPr>
          <w:rFonts w:ascii="Arial" w:hAnsi="Arial" w:cs="Arial"/>
        </w:rPr>
        <w:t>the</w:t>
      </w:r>
      <w:r w:rsidRPr="001153C5">
        <w:rPr>
          <w:rFonts w:ascii="Arial" w:hAnsi="Arial" w:cs="Arial"/>
        </w:rPr>
        <w:t xml:space="preserve"> practice team to put plans in place to circumvent the trends that are damaging to the company, such as a high turnover rate (McIver, Lengnick-</w:t>
      </w:r>
      <w:r w:rsidR="00B41AF3" w:rsidRPr="001153C5">
        <w:rPr>
          <w:rFonts w:ascii="Arial" w:hAnsi="Arial" w:cs="Arial"/>
        </w:rPr>
        <w:t>Hall,</w:t>
      </w:r>
      <w:r w:rsidRPr="001153C5">
        <w:rPr>
          <w:rFonts w:ascii="Arial" w:hAnsi="Arial" w:cs="Arial"/>
        </w:rPr>
        <w:t xml:space="preserve"> and Lengnick-Hall, 2018</w:t>
      </w:r>
      <w:r w:rsidR="00201A87" w:rsidRPr="001153C5">
        <w:rPr>
          <w:rFonts w:ascii="Arial" w:hAnsi="Arial" w:cs="Arial"/>
        </w:rPr>
        <w:t>)</w:t>
      </w:r>
      <w:r w:rsidRPr="001153C5">
        <w:rPr>
          <w:rFonts w:ascii="Arial" w:hAnsi="Arial" w:cs="Arial"/>
        </w:rPr>
        <w:t>.</w:t>
      </w:r>
      <w:r w:rsidR="00397908" w:rsidRPr="001153C5">
        <w:rPr>
          <w:rFonts w:ascii="Arial" w:hAnsi="Arial" w:cs="Arial"/>
        </w:rPr>
        <w:t xml:space="preserve"> It is important to look at the </w:t>
      </w:r>
      <w:r w:rsidR="00201A87" w:rsidRPr="001153C5">
        <w:rPr>
          <w:rFonts w:ascii="Arial" w:hAnsi="Arial" w:cs="Arial"/>
        </w:rPr>
        <w:t xml:space="preserve">data once changes are in place to see if there has been progress. </w:t>
      </w:r>
    </w:p>
    <w:p w14:paraId="2BF62C09" w14:textId="77777777" w:rsidR="00ED5E1A" w:rsidRPr="001153C5" w:rsidRDefault="00ED5E1A">
      <w:pPr>
        <w:spacing w:before="120" w:after="120"/>
        <w:rPr>
          <w:rFonts w:ascii="Arial" w:hAnsi="Arial" w:cs="Arial"/>
        </w:rPr>
      </w:pPr>
    </w:p>
    <w:p w14:paraId="1E040D8B" w14:textId="77777777" w:rsidR="00ED5E1A" w:rsidRPr="001153C5" w:rsidRDefault="006B53F5">
      <w:pPr>
        <w:spacing w:before="120" w:after="120"/>
        <w:rPr>
          <w:rFonts w:ascii="Arial" w:hAnsi="Arial" w:cs="Arial"/>
        </w:rPr>
      </w:pPr>
      <w:r w:rsidRPr="001153C5">
        <w:rPr>
          <w:rFonts w:ascii="Arial" w:hAnsi="Arial" w:cs="Arial"/>
          <w:color w:val="A91E1E"/>
        </w:rPr>
        <w:t>(AC 1.3)</w:t>
      </w:r>
    </w:p>
    <w:p w14:paraId="1C8850C9" w14:textId="77777777" w:rsidR="00ED5E1A" w:rsidRPr="001153C5" w:rsidRDefault="00ED5E1A">
      <w:pPr>
        <w:spacing w:before="120" w:after="120"/>
        <w:rPr>
          <w:rFonts w:ascii="Arial" w:hAnsi="Arial" w:cs="Arial"/>
        </w:rPr>
      </w:pPr>
    </w:p>
    <w:p w14:paraId="348FE6D8" w14:textId="079C1477" w:rsidR="00ED5E1A" w:rsidRPr="001153C5" w:rsidRDefault="006B53F5">
      <w:pPr>
        <w:spacing w:before="120" w:after="120"/>
        <w:rPr>
          <w:rFonts w:ascii="Arial" w:hAnsi="Arial" w:cs="Arial"/>
        </w:rPr>
      </w:pPr>
      <w:r w:rsidRPr="001153C5">
        <w:rPr>
          <w:rFonts w:ascii="Arial" w:hAnsi="Arial" w:cs="Arial"/>
        </w:rPr>
        <w:t>According to Howlett and Coburn (2019), the definition of Critical thinking is “the ability to think clearly and reflect objectively on others’ ideas, opinions, and arguments.” This suggests that when thinking critically, it is important not to let our own biases control how we make decisions, and by considering what others</w:t>
      </w:r>
      <w:r w:rsidR="00B24A1D" w:rsidRPr="001153C5">
        <w:rPr>
          <w:rFonts w:ascii="Arial" w:hAnsi="Arial" w:cs="Arial"/>
        </w:rPr>
        <w:t xml:space="preserve"> will have their own </w:t>
      </w:r>
      <w:r w:rsidRPr="001153C5">
        <w:rPr>
          <w:rFonts w:ascii="Arial" w:hAnsi="Arial" w:cs="Arial"/>
        </w:rPr>
        <w:t>subconscious biases</w:t>
      </w:r>
      <w:r w:rsidR="00B24A1D" w:rsidRPr="001153C5">
        <w:rPr>
          <w:rFonts w:ascii="Arial" w:hAnsi="Arial" w:cs="Arial"/>
        </w:rPr>
        <w:t xml:space="preserve">. </w:t>
      </w:r>
    </w:p>
    <w:p w14:paraId="0F97AC50" w14:textId="77777777" w:rsidR="00ED5E1A" w:rsidRPr="001153C5" w:rsidRDefault="00ED5E1A">
      <w:pPr>
        <w:spacing w:before="120" w:after="120"/>
        <w:rPr>
          <w:rFonts w:ascii="Arial" w:hAnsi="Arial" w:cs="Arial"/>
        </w:rPr>
      </w:pPr>
    </w:p>
    <w:p w14:paraId="2B819EAE" w14:textId="26A64891" w:rsidR="0076227E" w:rsidRPr="001153C5" w:rsidRDefault="00FD7C58">
      <w:pPr>
        <w:spacing w:before="120" w:after="120"/>
        <w:rPr>
          <w:rFonts w:ascii="Arial" w:hAnsi="Arial" w:cs="Arial"/>
        </w:rPr>
      </w:pPr>
      <w:r w:rsidRPr="001153C5">
        <w:rPr>
          <w:rFonts w:ascii="Arial" w:hAnsi="Arial" w:cs="Arial"/>
        </w:rPr>
        <w:t xml:space="preserve">Critical thinking within the People Practice is important because it allows people to have a way to think without Bias and be able to reflect and listen without Judgment on what others have said, Howlett and Coburn (2019). This is important as it </w:t>
      </w:r>
      <w:r w:rsidR="00FF7961" w:rsidRPr="001153C5">
        <w:rPr>
          <w:rFonts w:ascii="Arial" w:hAnsi="Arial" w:cs="Arial"/>
        </w:rPr>
        <w:t>allows</w:t>
      </w:r>
      <w:r w:rsidRPr="001153C5">
        <w:rPr>
          <w:rFonts w:ascii="Arial" w:hAnsi="Arial" w:cs="Arial"/>
        </w:rPr>
        <w:t xml:space="preserve"> the </w:t>
      </w:r>
      <w:r w:rsidR="005C2CEE" w:rsidRPr="001153C5">
        <w:rPr>
          <w:rFonts w:ascii="Arial" w:hAnsi="Arial" w:cs="Arial"/>
        </w:rPr>
        <w:lastRenderedPageBreak/>
        <w:t>decisions made</w:t>
      </w:r>
      <w:r w:rsidRPr="001153C5">
        <w:rPr>
          <w:rFonts w:ascii="Arial" w:hAnsi="Arial" w:cs="Arial"/>
        </w:rPr>
        <w:t xml:space="preserve"> by People Practitioners to be fair and impartial, based on the evidence rather than personal beliefs. </w:t>
      </w:r>
      <w:r w:rsidR="00FF7961" w:rsidRPr="001153C5">
        <w:rPr>
          <w:rFonts w:ascii="Arial" w:hAnsi="Arial" w:cs="Arial"/>
        </w:rPr>
        <w:t>As</w:t>
      </w:r>
      <w:r w:rsidRPr="001153C5">
        <w:rPr>
          <w:rFonts w:ascii="Arial" w:hAnsi="Arial" w:cs="Arial"/>
        </w:rPr>
        <w:t xml:space="preserve"> </w:t>
      </w:r>
      <w:r w:rsidR="00FF7961" w:rsidRPr="001153C5">
        <w:rPr>
          <w:rFonts w:ascii="Arial" w:hAnsi="Arial" w:cs="Arial"/>
        </w:rPr>
        <w:t>Practitioners</w:t>
      </w:r>
      <w:r w:rsidRPr="001153C5">
        <w:rPr>
          <w:rFonts w:ascii="Arial" w:hAnsi="Arial" w:cs="Arial"/>
        </w:rPr>
        <w:t xml:space="preserve"> we should be aware of how emotions and </w:t>
      </w:r>
      <w:r w:rsidR="005C2CEE" w:rsidRPr="001153C5">
        <w:rPr>
          <w:rFonts w:ascii="Arial" w:hAnsi="Arial" w:cs="Arial"/>
        </w:rPr>
        <w:t>subjective experiences</w:t>
      </w:r>
      <w:r w:rsidRPr="001153C5">
        <w:rPr>
          <w:rFonts w:ascii="Arial" w:hAnsi="Arial" w:cs="Arial"/>
        </w:rPr>
        <w:t xml:space="preserve"> can affect our </w:t>
      </w:r>
      <w:r w:rsidR="005C2CEE" w:rsidRPr="001153C5">
        <w:rPr>
          <w:rFonts w:ascii="Arial" w:hAnsi="Arial" w:cs="Arial"/>
        </w:rPr>
        <w:t>judgments, (</w:t>
      </w:r>
      <w:r w:rsidRPr="001153C5">
        <w:rPr>
          <w:rFonts w:ascii="Arial" w:hAnsi="Arial" w:cs="Arial"/>
        </w:rPr>
        <w:t>Hanscomb (2023). If we</w:t>
      </w:r>
      <w:r w:rsidR="00BF29A2" w:rsidRPr="001153C5">
        <w:rPr>
          <w:rFonts w:ascii="Arial" w:hAnsi="Arial" w:cs="Arial"/>
        </w:rPr>
        <w:t xml:space="preserve"> are aware of</w:t>
      </w:r>
      <w:r w:rsidRPr="001153C5">
        <w:rPr>
          <w:rFonts w:ascii="Arial" w:hAnsi="Arial" w:cs="Arial"/>
        </w:rPr>
        <w:t xml:space="preserve"> these thoughts, we can mitigate the psychological dangers they can pose to critical thinking. </w:t>
      </w:r>
    </w:p>
    <w:p w14:paraId="2F645583" w14:textId="04BD40FE" w:rsidR="00D95F12" w:rsidRPr="001153C5" w:rsidRDefault="006B53F5">
      <w:pPr>
        <w:spacing w:before="120" w:after="120"/>
        <w:rPr>
          <w:rFonts w:ascii="Arial" w:hAnsi="Arial" w:cs="Arial"/>
        </w:rPr>
      </w:pPr>
      <w:r w:rsidRPr="001153C5">
        <w:rPr>
          <w:rFonts w:ascii="Arial" w:hAnsi="Arial" w:cs="Arial"/>
        </w:rPr>
        <w:t>Hanscomb (2023) then argues that our emotions can be helpful to critical thinking</w:t>
      </w:r>
      <w:r w:rsidR="00B01280" w:rsidRPr="001153C5">
        <w:rPr>
          <w:rFonts w:ascii="Arial" w:hAnsi="Arial" w:cs="Arial"/>
        </w:rPr>
        <w:t xml:space="preserve">, as </w:t>
      </w:r>
      <w:r w:rsidRPr="001153C5">
        <w:rPr>
          <w:rFonts w:ascii="Arial" w:hAnsi="Arial" w:cs="Arial"/>
        </w:rPr>
        <w:t xml:space="preserve">to find and observe different things from the evidence. The importance of having the best evidence available is a way to ensure that critical </w:t>
      </w:r>
      <w:r w:rsidR="00D95F12" w:rsidRPr="001153C5">
        <w:rPr>
          <w:rFonts w:ascii="Arial" w:hAnsi="Arial" w:cs="Arial"/>
        </w:rPr>
        <w:t>thinking with all available</w:t>
      </w:r>
      <w:r w:rsidRPr="001153C5">
        <w:rPr>
          <w:rFonts w:ascii="Arial" w:hAnsi="Arial" w:cs="Arial"/>
        </w:rPr>
        <w:t xml:space="preserve"> information as possible.</w:t>
      </w:r>
    </w:p>
    <w:p w14:paraId="797D1CDD" w14:textId="4E3BFB39" w:rsidR="00D95F12" w:rsidRPr="001153C5" w:rsidRDefault="006B53F5">
      <w:pPr>
        <w:spacing w:before="120" w:after="120"/>
        <w:rPr>
          <w:rFonts w:ascii="Arial" w:hAnsi="Arial" w:cs="Arial"/>
        </w:rPr>
      </w:pPr>
      <w:r w:rsidRPr="001153C5">
        <w:rPr>
          <w:rFonts w:ascii="Arial" w:hAnsi="Arial" w:cs="Arial"/>
        </w:rPr>
        <w:t xml:space="preserve"> As a people </w:t>
      </w:r>
      <w:r w:rsidR="006B5C49" w:rsidRPr="001153C5">
        <w:rPr>
          <w:rFonts w:ascii="Arial" w:hAnsi="Arial" w:cs="Arial"/>
        </w:rPr>
        <w:t>Practitioner</w:t>
      </w:r>
      <w:r w:rsidRPr="001153C5">
        <w:rPr>
          <w:rFonts w:ascii="Arial" w:hAnsi="Arial" w:cs="Arial"/>
        </w:rPr>
        <w:t xml:space="preserve"> being able to scrutinise evidence and data is key, as decisions should be made with all possible information, including that of the other side's argument, as this would allow for the people practitioner to be more prepared to respond to the arguments of the other side, Hanscomb (2023). </w:t>
      </w:r>
    </w:p>
    <w:p w14:paraId="48BA233F" w14:textId="0B2426C1" w:rsidR="00ED5E1A" w:rsidRPr="001153C5" w:rsidRDefault="006B53F5">
      <w:pPr>
        <w:spacing w:before="120" w:after="120"/>
        <w:rPr>
          <w:rFonts w:ascii="Arial" w:hAnsi="Arial" w:cs="Arial"/>
        </w:rPr>
      </w:pPr>
      <w:r w:rsidRPr="001153C5">
        <w:rPr>
          <w:rFonts w:ascii="Arial" w:hAnsi="Arial" w:cs="Arial"/>
        </w:rPr>
        <w:t>Using Critical thinking important when looking at written data, as it under</w:t>
      </w:r>
      <w:r w:rsidR="00A6542D" w:rsidRPr="001153C5">
        <w:rPr>
          <w:rFonts w:ascii="Arial" w:hAnsi="Arial" w:cs="Arial"/>
        </w:rPr>
        <w:t xml:space="preserve">stood </w:t>
      </w:r>
      <w:r w:rsidRPr="001153C5">
        <w:rPr>
          <w:rFonts w:ascii="Arial" w:hAnsi="Arial" w:cs="Arial"/>
        </w:rPr>
        <w:t xml:space="preserve">if the data has other sources or </w:t>
      </w:r>
      <w:r w:rsidR="00A6542D" w:rsidRPr="001153C5">
        <w:rPr>
          <w:rFonts w:ascii="Arial" w:hAnsi="Arial" w:cs="Arial"/>
        </w:rPr>
        <w:t>have</w:t>
      </w:r>
      <w:r w:rsidR="005638C0" w:rsidRPr="001153C5">
        <w:rPr>
          <w:rFonts w:ascii="Arial" w:hAnsi="Arial" w:cs="Arial"/>
        </w:rPr>
        <w:t xml:space="preserve"> </w:t>
      </w:r>
      <w:r w:rsidRPr="001153C5">
        <w:rPr>
          <w:rFonts w:ascii="Arial" w:hAnsi="Arial" w:cs="Arial"/>
        </w:rPr>
        <w:t xml:space="preserve">reviewed </w:t>
      </w:r>
      <w:r w:rsidR="00A6542D" w:rsidRPr="001153C5">
        <w:rPr>
          <w:rFonts w:ascii="Arial" w:hAnsi="Arial" w:cs="Arial"/>
        </w:rPr>
        <w:t>Correctly (</w:t>
      </w:r>
      <w:r w:rsidRPr="001153C5">
        <w:rPr>
          <w:rFonts w:ascii="Arial" w:hAnsi="Arial" w:cs="Arial"/>
        </w:rPr>
        <w:t xml:space="preserve">Machete and Turpin, 2020). </w:t>
      </w:r>
    </w:p>
    <w:p w14:paraId="56DC9408" w14:textId="77777777" w:rsidR="00B4744D" w:rsidRPr="001153C5" w:rsidRDefault="006B53F5">
      <w:pPr>
        <w:spacing w:before="120" w:after="120"/>
        <w:rPr>
          <w:rFonts w:ascii="Arial" w:hAnsi="Arial" w:cs="Arial"/>
        </w:rPr>
      </w:pPr>
      <w:r w:rsidRPr="001153C5">
        <w:rPr>
          <w:rFonts w:ascii="Arial" w:hAnsi="Arial" w:cs="Arial"/>
        </w:rPr>
        <w:t xml:space="preserve">When focusing on critical thinking, working with a group can then provide benefits to the process by allowing a person to have their argument critiqued by others in the group, thus checking the quality and strength of the argument. (Coburn &amp; Howlett, 2019) The source also suggests that it is useful to have another Professional proofread or listen to any arguments, so that they can spot any mistakes or weak points in an argument, and </w:t>
      </w:r>
      <w:r w:rsidR="005638C0" w:rsidRPr="001153C5">
        <w:rPr>
          <w:rFonts w:ascii="Arial" w:hAnsi="Arial" w:cs="Arial"/>
        </w:rPr>
        <w:t>in instances</w:t>
      </w:r>
      <w:r w:rsidRPr="001153C5">
        <w:rPr>
          <w:rFonts w:ascii="Arial" w:hAnsi="Arial" w:cs="Arial"/>
        </w:rPr>
        <w:t xml:space="preserve">, support in making your argument stronger. </w:t>
      </w:r>
    </w:p>
    <w:p w14:paraId="27E70BD8" w14:textId="493D7C76" w:rsidR="00ED5E1A" w:rsidRPr="001153C5" w:rsidRDefault="006B53F5">
      <w:pPr>
        <w:spacing w:before="120" w:after="120"/>
        <w:rPr>
          <w:rFonts w:ascii="Arial" w:hAnsi="Arial" w:cs="Arial"/>
        </w:rPr>
      </w:pPr>
      <w:r w:rsidRPr="001153C5">
        <w:rPr>
          <w:rFonts w:ascii="Arial" w:hAnsi="Arial" w:cs="Arial"/>
        </w:rPr>
        <w:t>However, within the podcast, the common errors that</w:t>
      </w:r>
      <w:r w:rsidR="00D94798" w:rsidRPr="001153C5">
        <w:rPr>
          <w:rFonts w:ascii="Arial" w:hAnsi="Arial" w:cs="Arial"/>
        </w:rPr>
        <w:t xml:space="preserve"> happen </w:t>
      </w:r>
      <w:r w:rsidRPr="001153C5">
        <w:rPr>
          <w:rFonts w:ascii="Arial" w:hAnsi="Arial" w:cs="Arial"/>
        </w:rPr>
        <w:t xml:space="preserve">when having a discussion involve critical thinking. </w:t>
      </w:r>
      <w:r w:rsidR="00FF7961" w:rsidRPr="001153C5">
        <w:rPr>
          <w:rFonts w:ascii="Arial" w:hAnsi="Arial" w:cs="Arial"/>
        </w:rPr>
        <w:t>This</w:t>
      </w:r>
      <w:r w:rsidRPr="001153C5">
        <w:rPr>
          <w:rFonts w:ascii="Arial" w:hAnsi="Arial" w:cs="Arial"/>
        </w:rPr>
        <w:t xml:space="preserve"> included using personal information to attack the other contributors, as this </w:t>
      </w:r>
      <w:r w:rsidR="00FF7961" w:rsidRPr="001153C5">
        <w:rPr>
          <w:rFonts w:ascii="Arial" w:hAnsi="Arial" w:cs="Arial"/>
        </w:rPr>
        <w:t>took</w:t>
      </w:r>
      <w:r w:rsidRPr="001153C5">
        <w:rPr>
          <w:rFonts w:ascii="Arial" w:hAnsi="Arial" w:cs="Arial"/>
        </w:rPr>
        <w:t xml:space="preserve"> the discussion away from </w:t>
      </w:r>
      <w:r w:rsidR="00602DAF" w:rsidRPr="001153C5">
        <w:rPr>
          <w:rFonts w:ascii="Arial" w:hAnsi="Arial" w:cs="Arial"/>
        </w:rPr>
        <w:t>impartial</w:t>
      </w:r>
      <w:r w:rsidRPr="001153C5">
        <w:rPr>
          <w:rFonts w:ascii="Arial" w:hAnsi="Arial" w:cs="Arial"/>
        </w:rPr>
        <w:t xml:space="preserve"> evidence. </w:t>
      </w:r>
    </w:p>
    <w:p w14:paraId="28167DEB" w14:textId="77777777" w:rsidR="00976892" w:rsidRDefault="00976892" w:rsidP="006B5C49">
      <w:pPr>
        <w:spacing w:before="120" w:after="120"/>
        <w:rPr>
          <w:rFonts w:ascii="Arial" w:hAnsi="Arial" w:cs="Arial"/>
          <w:color w:val="A91E1E"/>
        </w:rPr>
      </w:pPr>
    </w:p>
    <w:p w14:paraId="5CE6663D" w14:textId="629C7A8E" w:rsidR="006B5C49" w:rsidRPr="00976892" w:rsidRDefault="006B53F5" w:rsidP="006B5C49">
      <w:pPr>
        <w:spacing w:before="120" w:after="120"/>
        <w:rPr>
          <w:rFonts w:ascii="Arial" w:hAnsi="Arial" w:cs="Arial"/>
        </w:rPr>
      </w:pPr>
      <w:r w:rsidRPr="001153C5">
        <w:rPr>
          <w:rFonts w:ascii="Arial" w:hAnsi="Arial" w:cs="Arial"/>
          <w:color w:val="A91E1E"/>
        </w:rPr>
        <w:t>(AC 1.4)</w:t>
      </w:r>
    </w:p>
    <w:p w14:paraId="0DED1824" w14:textId="0E68298E" w:rsidR="006B5C49" w:rsidRPr="003C2638" w:rsidRDefault="006B5C49" w:rsidP="006B5C49">
      <w:pPr>
        <w:spacing w:before="120" w:after="120"/>
        <w:rPr>
          <w:rFonts w:ascii="Arial" w:hAnsi="Arial" w:cs="Arial"/>
        </w:rPr>
      </w:pPr>
      <w:r w:rsidRPr="003C2638">
        <w:rPr>
          <w:rFonts w:ascii="Arial" w:hAnsi="Arial" w:cs="Arial"/>
        </w:rPr>
        <w:t>The decision</w:t>
      </w:r>
      <w:r w:rsidRPr="003C2638">
        <w:rPr>
          <w:rFonts w:ascii="Arial" w:hAnsi="Arial" w:cs="Arial"/>
        </w:rPr>
        <w:noBreakHyphen/>
        <w:t>making process allows</w:t>
      </w:r>
      <w:r w:rsidR="00560647">
        <w:rPr>
          <w:rFonts w:ascii="Arial" w:hAnsi="Arial" w:cs="Arial"/>
        </w:rPr>
        <w:t xml:space="preserve"> People </w:t>
      </w:r>
      <w:r w:rsidR="00BB299F">
        <w:rPr>
          <w:rFonts w:ascii="Arial" w:hAnsi="Arial" w:cs="Arial"/>
        </w:rPr>
        <w:t>Practitioners</w:t>
      </w:r>
      <w:r w:rsidR="00560647">
        <w:rPr>
          <w:rFonts w:ascii="Arial" w:hAnsi="Arial" w:cs="Arial"/>
        </w:rPr>
        <w:t xml:space="preserve"> </w:t>
      </w:r>
      <w:r w:rsidR="00BB299F">
        <w:rPr>
          <w:rFonts w:ascii="Arial" w:hAnsi="Arial" w:cs="Arial"/>
        </w:rPr>
        <w:t>t</w:t>
      </w:r>
      <w:r w:rsidRPr="003C2638">
        <w:rPr>
          <w:rFonts w:ascii="Arial" w:hAnsi="Arial" w:cs="Arial"/>
        </w:rPr>
        <w:t xml:space="preserve">o </w:t>
      </w:r>
      <w:r w:rsidR="000F0B43">
        <w:rPr>
          <w:rFonts w:ascii="Arial" w:hAnsi="Arial" w:cs="Arial"/>
        </w:rPr>
        <w:t xml:space="preserve">look at </w:t>
      </w:r>
      <w:r w:rsidR="00A04064">
        <w:rPr>
          <w:rFonts w:ascii="Arial" w:hAnsi="Arial" w:cs="Arial"/>
        </w:rPr>
        <w:t xml:space="preserve">different </w:t>
      </w:r>
      <w:r w:rsidR="00A04064" w:rsidRPr="003C2638">
        <w:rPr>
          <w:rFonts w:ascii="Arial" w:hAnsi="Arial" w:cs="Arial"/>
        </w:rPr>
        <w:t>outcomes</w:t>
      </w:r>
      <w:r w:rsidR="00C86A0D">
        <w:rPr>
          <w:rFonts w:ascii="Arial" w:hAnsi="Arial" w:cs="Arial"/>
        </w:rPr>
        <w:t xml:space="preserve"> for problems and </w:t>
      </w:r>
      <w:r w:rsidRPr="003C2638">
        <w:rPr>
          <w:rFonts w:ascii="Arial" w:hAnsi="Arial" w:cs="Arial"/>
        </w:rPr>
        <w:t xml:space="preserve">choose the best </w:t>
      </w:r>
      <w:r w:rsidR="008617E7">
        <w:rPr>
          <w:rFonts w:ascii="Arial" w:hAnsi="Arial" w:cs="Arial"/>
        </w:rPr>
        <w:t xml:space="preserve">decision for the </w:t>
      </w:r>
      <w:r w:rsidR="00957255">
        <w:rPr>
          <w:rFonts w:ascii="Arial" w:hAnsi="Arial" w:cs="Arial"/>
        </w:rPr>
        <w:t>business</w:t>
      </w:r>
      <w:r w:rsidR="00957255" w:rsidRPr="003C2638">
        <w:rPr>
          <w:rFonts w:ascii="Arial" w:hAnsi="Arial" w:cs="Arial"/>
        </w:rPr>
        <w:t xml:space="preserve"> and</w:t>
      </w:r>
      <w:r w:rsidR="00640B93">
        <w:rPr>
          <w:rFonts w:ascii="Arial" w:hAnsi="Arial" w:cs="Arial"/>
        </w:rPr>
        <w:t xml:space="preserve"> implement </w:t>
      </w:r>
      <w:r w:rsidR="00A04064">
        <w:rPr>
          <w:rFonts w:ascii="Arial" w:hAnsi="Arial" w:cs="Arial"/>
        </w:rPr>
        <w:t>it</w:t>
      </w:r>
      <w:r w:rsidR="00640B93">
        <w:rPr>
          <w:rFonts w:ascii="Arial" w:hAnsi="Arial" w:cs="Arial"/>
        </w:rPr>
        <w:t>.</w:t>
      </w:r>
      <w:r w:rsidR="00A04064">
        <w:rPr>
          <w:rFonts w:ascii="Arial" w:hAnsi="Arial" w:cs="Arial"/>
        </w:rPr>
        <w:t xml:space="preserve"> </w:t>
      </w:r>
      <w:r w:rsidRPr="003C2638">
        <w:rPr>
          <w:rFonts w:ascii="Arial" w:hAnsi="Arial" w:cs="Arial"/>
        </w:rPr>
        <w:t>(CMI, 2020). Technivara c</w:t>
      </w:r>
      <w:r w:rsidR="00177DE6">
        <w:rPr>
          <w:rFonts w:ascii="Arial" w:hAnsi="Arial" w:cs="Arial"/>
        </w:rPr>
        <w:t>ould</w:t>
      </w:r>
      <w:r w:rsidRPr="003C2638">
        <w:rPr>
          <w:rFonts w:ascii="Arial" w:hAnsi="Arial" w:cs="Arial"/>
        </w:rPr>
        <w:t xml:space="preserve"> </w:t>
      </w:r>
      <w:r w:rsidR="00A04064">
        <w:rPr>
          <w:rFonts w:ascii="Arial" w:hAnsi="Arial" w:cs="Arial"/>
        </w:rPr>
        <w:t>use</w:t>
      </w:r>
      <w:r w:rsidRPr="003C2638">
        <w:rPr>
          <w:rFonts w:ascii="Arial" w:hAnsi="Arial" w:cs="Arial"/>
        </w:rPr>
        <w:t xml:space="preserve"> the Kepner and Tregoe model, </w:t>
      </w:r>
      <w:r w:rsidRPr="0055574F">
        <w:rPr>
          <w:rFonts w:ascii="Arial" w:hAnsi="Arial" w:cs="Arial"/>
        </w:rPr>
        <w:t xml:space="preserve">a </w:t>
      </w:r>
      <w:r w:rsidRPr="003C2638">
        <w:rPr>
          <w:rFonts w:ascii="Arial" w:hAnsi="Arial" w:cs="Arial"/>
        </w:rPr>
        <w:t xml:space="preserve">structured method for </w:t>
      </w:r>
      <w:r w:rsidR="00DB2ED4">
        <w:rPr>
          <w:rFonts w:ascii="Arial" w:hAnsi="Arial" w:cs="Arial"/>
        </w:rPr>
        <w:t>looking at</w:t>
      </w:r>
      <w:r w:rsidRPr="003C2638">
        <w:rPr>
          <w:rFonts w:ascii="Arial" w:hAnsi="Arial" w:cs="Arial"/>
        </w:rPr>
        <w:t xml:space="preserve"> problems and decision</w:t>
      </w:r>
      <w:r w:rsidR="00DB2ED4">
        <w:rPr>
          <w:rFonts w:ascii="Arial" w:hAnsi="Arial" w:cs="Arial"/>
        </w:rPr>
        <w:t>, that can be made</w:t>
      </w:r>
      <w:r w:rsidRPr="003C2638">
        <w:rPr>
          <w:rFonts w:ascii="Arial" w:hAnsi="Arial" w:cs="Arial"/>
        </w:rPr>
        <w:t xml:space="preserve"> (CMI, 2015).</w:t>
      </w:r>
    </w:p>
    <w:p w14:paraId="5BC3D8B8" w14:textId="5F601D1B" w:rsidR="006B5C49" w:rsidRPr="003C2638" w:rsidRDefault="006B5C49" w:rsidP="006B5C49">
      <w:pPr>
        <w:spacing w:before="120" w:after="120"/>
        <w:rPr>
          <w:rFonts w:ascii="Arial" w:hAnsi="Arial" w:cs="Arial"/>
        </w:rPr>
      </w:pPr>
      <w:r w:rsidRPr="003C2638">
        <w:rPr>
          <w:rFonts w:ascii="Arial" w:hAnsi="Arial" w:cs="Arial"/>
        </w:rPr>
        <w:t>T</w:t>
      </w:r>
      <w:r w:rsidR="00177DE6">
        <w:rPr>
          <w:rFonts w:ascii="Arial" w:hAnsi="Arial" w:cs="Arial"/>
        </w:rPr>
        <w:t>his</w:t>
      </w:r>
      <w:r w:rsidRPr="003C2638">
        <w:rPr>
          <w:rFonts w:ascii="Arial" w:hAnsi="Arial" w:cs="Arial"/>
        </w:rPr>
        <w:t xml:space="preserve"> model has four stages.</w:t>
      </w:r>
      <w:r w:rsidR="00957255">
        <w:rPr>
          <w:rFonts w:ascii="Arial" w:hAnsi="Arial" w:cs="Arial"/>
        </w:rPr>
        <w:t xml:space="preserve"> Stage one is that </w:t>
      </w:r>
      <w:r w:rsidR="000F7FE0">
        <w:rPr>
          <w:rFonts w:ascii="Arial" w:hAnsi="Arial" w:cs="Arial"/>
        </w:rPr>
        <w:t xml:space="preserve">Techniviara </w:t>
      </w:r>
      <w:r w:rsidR="00BE10E1">
        <w:rPr>
          <w:rFonts w:ascii="Arial" w:hAnsi="Arial" w:cs="Arial"/>
        </w:rPr>
        <w:t xml:space="preserve">would </w:t>
      </w:r>
      <w:r w:rsidR="00116AA9">
        <w:rPr>
          <w:rFonts w:ascii="Arial" w:hAnsi="Arial" w:cs="Arial"/>
        </w:rPr>
        <w:t>choose</w:t>
      </w:r>
      <w:r w:rsidRPr="003C2638">
        <w:rPr>
          <w:rFonts w:ascii="Arial" w:hAnsi="Arial" w:cs="Arial"/>
        </w:rPr>
        <w:t xml:space="preserve"> the decision to be made, </w:t>
      </w:r>
      <w:r w:rsidR="0055574F" w:rsidRPr="0055574F">
        <w:rPr>
          <w:rFonts w:ascii="Arial" w:hAnsi="Arial" w:cs="Arial"/>
        </w:rPr>
        <w:t xml:space="preserve">explaining </w:t>
      </w:r>
      <w:r w:rsidR="0055574F" w:rsidRPr="003C2638">
        <w:rPr>
          <w:rFonts w:ascii="Arial" w:hAnsi="Arial" w:cs="Arial"/>
        </w:rPr>
        <w:t>the</w:t>
      </w:r>
      <w:r w:rsidRPr="003C2638">
        <w:rPr>
          <w:rFonts w:ascii="Arial" w:hAnsi="Arial" w:cs="Arial"/>
        </w:rPr>
        <w:t xml:space="preserve"> problems Technivara </w:t>
      </w:r>
      <w:r w:rsidRPr="0055574F">
        <w:rPr>
          <w:rFonts w:ascii="Arial" w:hAnsi="Arial" w:cs="Arial"/>
        </w:rPr>
        <w:t>need to</w:t>
      </w:r>
      <w:r w:rsidRPr="003C2638">
        <w:rPr>
          <w:rFonts w:ascii="Arial" w:hAnsi="Arial" w:cs="Arial"/>
        </w:rPr>
        <w:t xml:space="preserve"> </w:t>
      </w:r>
      <w:r w:rsidR="00976892">
        <w:rPr>
          <w:rFonts w:ascii="Arial" w:hAnsi="Arial" w:cs="Arial"/>
        </w:rPr>
        <w:t>look at</w:t>
      </w:r>
      <w:r w:rsidRPr="003C2638">
        <w:rPr>
          <w:rFonts w:ascii="Arial" w:hAnsi="Arial" w:cs="Arial"/>
        </w:rPr>
        <w:t xml:space="preserve">. Writing this down provides evidence of previous decisions and </w:t>
      </w:r>
      <w:r w:rsidR="000F7FE0">
        <w:rPr>
          <w:rFonts w:ascii="Arial" w:hAnsi="Arial" w:cs="Arial"/>
        </w:rPr>
        <w:t>what was decided</w:t>
      </w:r>
      <w:r w:rsidR="00F8432F">
        <w:rPr>
          <w:rFonts w:ascii="Arial" w:hAnsi="Arial" w:cs="Arial"/>
        </w:rPr>
        <w:t xml:space="preserve">, for others </w:t>
      </w:r>
      <w:r w:rsidR="00725A02">
        <w:rPr>
          <w:rFonts w:ascii="Arial" w:hAnsi="Arial" w:cs="Arial"/>
        </w:rPr>
        <w:t xml:space="preserve">looking at the </w:t>
      </w:r>
      <w:r w:rsidR="00E45081">
        <w:rPr>
          <w:rFonts w:ascii="Arial" w:hAnsi="Arial" w:cs="Arial"/>
        </w:rPr>
        <w:t>decision-making</w:t>
      </w:r>
      <w:r w:rsidR="00725A02">
        <w:rPr>
          <w:rFonts w:ascii="Arial" w:hAnsi="Arial" w:cs="Arial"/>
        </w:rPr>
        <w:t xml:space="preserve"> process </w:t>
      </w:r>
      <w:r w:rsidRPr="003C2638">
        <w:rPr>
          <w:rFonts w:ascii="Arial" w:hAnsi="Arial" w:cs="Arial"/>
        </w:rPr>
        <w:t>(CMI, 2015).</w:t>
      </w:r>
    </w:p>
    <w:p w14:paraId="035DFB2A" w14:textId="316831D0" w:rsidR="006B5C49" w:rsidRPr="003C2638" w:rsidRDefault="00B31C44" w:rsidP="006B5C49">
      <w:pPr>
        <w:spacing w:before="120" w:after="120"/>
        <w:rPr>
          <w:rFonts w:ascii="Arial" w:hAnsi="Arial" w:cs="Arial"/>
        </w:rPr>
      </w:pPr>
      <w:r>
        <w:rPr>
          <w:rFonts w:ascii="Arial" w:hAnsi="Arial" w:cs="Arial"/>
        </w:rPr>
        <w:t>The s</w:t>
      </w:r>
      <w:r w:rsidR="006B5C49" w:rsidRPr="003C2638">
        <w:rPr>
          <w:rFonts w:ascii="Arial" w:hAnsi="Arial" w:cs="Arial"/>
        </w:rPr>
        <w:t xml:space="preserve">econd </w:t>
      </w:r>
      <w:r>
        <w:rPr>
          <w:rFonts w:ascii="Arial" w:hAnsi="Arial" w:cs="Arial"/>
        </w:rPr>
        <w:t xml:space="preserve">area </w:t>
      </w:r>
      <w:r w:rsidR="006B5C49" w:rsidRPr="003C2638">
        <w:rPr>
          <w:rFonts w:ascii="Arial" w:hAnsi="Arial" w:cs="Arial"/>
        </w:rPr>
        <w:t xml:space="preserve">is problem analysis, where Sue Young would </w:t>
      </w:r>
      <w:r w:rsidR="00815EFD">
        <w:rPr>
          <w:rFonts w:ascii="Arial" w:hAnsi="Arial" w:cs="Arial"/>
        </w:rPr>
        <w:t xml:space="preserve">find </w:t>
      </w:r>
      <w:r w:rsidR="006B5C49" w:rsidRPr="003C2638">
        <w:rPr>
          <w:rFonts w:ascii="Arial" w:hAnsi="Arial" w:cs="Arial"/>
        </w:rPr>
        <w:t xml:space="preserve">the </w:t>
      </w:r>
      <w:r w:rsidR="00C920F4">
        <w:rPr>
          <w:rFonts w:ascii="Arial" w:hAnsi="Arial" w:cs="Arial"/>
        </w:rPr>
        <w:t>root</w:t>
      </w:r>
      <w:r w:rsidR="00A5231A">
        <w:rPr>
          <w:rFonts w:ascii="Arial" w:hAnsi="Arial" w:cs="Arial"/>
        </w:rPr>
        <w:t xml:space="preserve"> </w:t>
      </w:r>
      <w:r w:rsidR="006B5C49" w:rsidRPr="003C2638">
        <w:rPr>
          <w:rFonts w:ascii="Arial" w:hAnsi="Arial" w:cs="Arial"/>
        </w:rPr>
        <w:t>cause by asking questions such as “How</w:t>
      </w:r>
      <w:r w:rsidR="00D74E50">
        <w:rPr>
          <w:rFonts w:ascii="Arial" w:hAnsi="Arial" w:cs="Arial"/>
        </w:rPr>
        <w:t xml:space="preserve"> and why </w:t>
      </w:r>
      <w:r w:rsidR="006B5C49" w:rsidRPr="003C2638">
        <w:rPr>
          <w:rFonts w:ascii="Arial" w:hAnsi="Arial" w:cs="Arial"/>
        </w:rPr>
        <w:t xml:space="preserve">did it happen?” This </w:t>
      </w:r>
      <w:r w:rsidR="00A702AA">
        <w:rPr>
          <w:rFonts w:ascii="Arial" w:hAnsi="Arial" w:cs="Arial"/>
        </w:rPr>
        <w:t xml:space="preserve">allows for </w:t>
      </w:r>
      <w:r w:rsidR="006B5C49" w:rsidRPr="003C2638">
        <w:rPr>
          <w:rFonts w:ascii="Arial" w:hAnsi="Arial" w:cs="Arial"/>
        </w:rPr>
        <w:t>cause</w:t>
      </w:r>
      <w:r w:rsidR="006B5C49" w:rsidRPr="003C2638">
        <w:rPr>
          <w:rFonts w:ascii="Arial" w:hAnsi="Arial" w:cs="Arial"/>
        </w:rPr>
        <w:noBreakHyphen/>
        <w:t>and</w:t>
      </w:r>
      <w:r w:rsidR="006B5C49" w:rsidRPr="003C2638">
        <w:rPr>
          <w:rFonts w:ascii="Arial" w:hAnsi="Arial" w:cs="Arial"/>
        </w:rPr>
        <w:noBreakHyphen/>
        <w:t>effect thinking and</w:t>
      </w:r>
      <w:r w:rsidR="00A5231A">
        <w:rPr>
          <w:rFonts w:ascii="Arial" w:hAnsi="Arial" w:cs="Arial"/>
        </w:rPr>
        <w:t xml:space="preserve"> help create </w:t>
      </w:r>
      <w:r w:rsidR="004A42BA">
        <w:rPr>
          <w:rFonts w:ascii="Arial" w:hAnsi="Arial" w:cs="Arial"/>
        </w:rPr>
        <w:t xml:space="preserve">the best </w:t>
      </w:r>
      <w:r w:rsidR="00A5231A">
        <w:rPr>
          <w:rFonts w:ascii="Arial" w:hAnsi="Arial" w:cs="Arial"/>
        </w:rPr>
        <w:t>decision</w:t>
      </w:r>
      <w:r w:rsidR="006B5C49" w:rsidRPr="003C2638">
        <w:rPr>
          <w:rFonts w:ascii="Arial" w:hAnsi="Arial" w:cs="Arial"/>
        </w:rPr>
        <w:t xml:space="preserve"> (Markopoulos et al., 2022).</w:t>
      </w:r>
    </w:p>
    <w:p w14:paraId="47793873" w14:textId="09DFFD2F" w:rsidR="006B5C49" w:rsidRPr="003C2638" w:rsidRDefault="006B5C49" w:rsidP="006B5C49">
      <w:pPr>
        <w:spacing w:before="120" w:after="120"/>
        <w:rPr>
          <w:rFonts w:ascii="Arial" w:hAnsi="Arial" w:cs="Arial"/>
        </w:rPr>
      </w:pPr>
      <w:r w:rsidRPr="003C2638">
        <w:rPr>
          <w:rFonts w:ascii="Arial" w:hAnsi="Arial" w:cs="Arial"/>
        </w:rPr>
        <w:t>The third s</w:t>
      </w:r>
      <w:r w:rsidR="00BB299F">
        <w:rPr>
          <w:rFonts w:ascii="Arial" w:hAnsi="Arial" w:cs="Arial"/>
        </w:rPr>
        <w:t>ection</w:t>
      </w:r>
      <w:r w:rsidR="0042747A">
        <w:rPr>
          <w:rFonts w:ascii="Arial" w:hAnsi="Arial" w:cs="Arial"/>
        </w:rPr>
        <w:t xml:space="preserve"> looks at</w:t>
      </w:r>
      <w:r w:rsidRPr="003C2638">
        <w:rPr>
          <w:rFonts w:ascii="Arial" w:hAnsi="Arial" w:cs="Arial"/>
        </w:rPr>
        <w:t xml:space="preserve"> </w:t>
      </w:r>
      <w:r w:rsidR="00A5231A">
        <w:rPr>
          <w:rFonts w:ascii="Arial" w:hAnsi="Arial" w:cs="Arial"/>
        </w:rPr>
        <w:t xml:space="preserve">different </w:t>
      </w:r>
      <w:r w:rsidRPr="003C2638">
        <w:rPr>
          <w:rFonts w:ascii="Arial" w:hAnsi="Arial" w:cs="Arial"/>
        </w:rPr>
        <w:t>solutions</w:t>
      </w:r>
      <w:r w:rsidR="00610272">
        <w:rPr>
          <w:rFonts w:ascii="Arial" w:hAnsi="Arial" w:cs="Arial"/>
        </w:rPr>
        <w:t xml:space="preserve"> </w:t>
      </w:r>
      <w:r w:rsidR="00D22AC7">
        <w:rPr>
          <w:rFonts w:ascii="Arial" w:hAnsi="Arial" w:cs="Arial"/>
        </w:rPr>
        <w:t xml:space="preserve">following </w:t>
      </w:r>
      <w:r w:rsidR="00D22AC7" w:rsidRPr="003C2638">
        <w:rPr>
          <w:rFonts w:ascii="Arial" w:hAnsi="Arial" w:cs="Arial"/>
        </w:rPr>
        <w:t>Technivara’s</w:t>
      </w:r>
      <w:r w:rsidRPr="003C2638">
        <w:rPr>
          <w:rFonts w:ascii="Arial" w:hAnsi="Arial" w:cs="Arial"/>
        </w:rPr>
        <w:t xml:space="preserve"> </w:t>
      </w:r>
      <w:r w:rsidR="00E45081">
        <w:rPr>
          <w:rFonts w:ascii="Arial" w:hAnsi="Arial" w:cs="Arial"/>
        </w:rPr>
        <w:t>needs for improvement</w:t>
      </w:r>
      <w:r w:rsidRPr="003C2638">
        <w:rPr>
          <w:rFonts w:ascii="Arial" w:hAnsi="Arial" w:cs="Arial"/>
        </w:rPr>
        <w:t>.</w:t>
      </w:r>
      <w:r w:rsidR="0072490A">
        <w:rPr>
          <w:rFonts w:ascii="Arial" w:hAnsi="Arial" w:cs="Arial"/>
        </w:rPr>
        <w:t xml:space="preserve"> The</w:t>
      </w:r>
      <w:r w:rsidR="00E45081">
        <w:rPr>
          <w:rFonts w:ascii="Arial" w:hAnsi="Arial" w:cs="Arial"/>
        </w:rPr>
        <w:t xml:space="preserve">re </w:t>
      </w:r>
      <w:r w:rsidR="00212AC5">
        <w:rPr>
          <w:rFonts w:ascii="Arial" w:hAnsi="Arial" w:cs="Arial"/>
        </w:rPr>
        <w:t xml:space="preserve">are </w:t>
      </w:r>
      <w:r w:rsidR="00212AC5" w:rsidRPr="003C2638">
        <w:rPr>
          <w:rFonts w:ascii="Arial" w:hAnsi="Arial" w:cs="Arial"/>
        </w:rPr>
        <w:t>musts</w:t>
      </w:r>
      <w:r w:rsidRPr="003C2638">
        <w:rPr>
          <w:rFonts w:ascii="Arial" w:hAnsi="Arial" w:cs="Arial"/>
        </w:rPr>
        <w:t xml:space="preserve"> </w:t>
      </w:r>
      <w:r w:rsidR="00E45081">
        <w:rPr>
          <w:rFonts w:ascii="Arial" w:hAnsi="Arial" w:cs="Arial"/>
        </w:rPr>
        <w:t xml:space="preserve">that are </w:t>
      </w:r>
      <w:r w:rsidR="00C14374">
        <w:rPr>
          <w:rFonts w:ascii="Arial" w:hAnsi="Arial" w:cs="Arial"/>
        </w:rPr>
        <w:t xml:space="preserve">the </w:t>
      </w:r>
      <w:r w:rsidR="00212AC5">
        <w:rPr>
          <w:rFonts w:ascii="Arial" w:hAnsi="Arial" w:cs="Arial"/>
        </w:rPr>
        <w:t xml:space="preserve">main </w:t>
      </w:r>
      <w:r w:rsidRPr="003C2638">
        <w:rPr>
          <w:rFonts w:ascii="Arial" w:hAnsi="Arial" w:cs="Arial"/>
        </w:rPr>
        <w:t xml:space="preserve">requirements; any option </w:t>
      </w:r>
      <w:r w:rsidR="0072490A">
        <w:rPr>
          <w:rFonts w:ascii="Arial" w:hAnsi="Arial" w:cs="Arial"/>
        </w:rPr>
        <w:t xml:space="preserve">that does not </w:t>
      </w:r>
      <w:r w:rsidR="00D22AC7">
        <w:rPr>
          <w:rFonts w:ascii="Arial" w:hAnsi="Arial" w:cs="Arial"/>
        </w:rPr>
        <w:t xml:space="preserve">follow </w:t>
      </w:r>
      <w:r w:rsidR="0072490A">
        <w:rPr>
          <w:rFonts w:ascii="Arial" w:hAnsi="Arial" w:cs="Arial"/>
        </w:rPr>
        <w:t xml:space="preserve">the musts, should be </w:t>
      </w:r>
      <w:r w:rsidR="00D22AC7">
        <w:rPr>
          <w:rFonts w:ascii="Arial" w:hAnsi="Arial" w:cs="Arial"/>
        </w:rPr>
        <w:t xml:space="preserve">taken out of the </w:t>
      </w:r>
      <w:r w:rsidR="00052CEF">
        <w:rPr>
          <w:rFonts w:ascii="Arial" w:hAnsi="Arial" w:cs="Arial"/>
        </w:rPr>
        <w:t xml:space="preserve">process </w:t>
      </w:r>
      <w:r w:rsidR="00052CEF" w:rsidRPr="003C2638">
        <w:rPr>
          <w:rFonts w:ascii="Arial" w:hAnsi="Arial" w:cs="Arial"/>
        </w:rPr>
        <w:t>(</w:t>
      </w:r>
      <w:r w:rsidRPr="003C2638">
        <w:rPr>
          <w:rFonts w:ascii="Arial" w:hAnsi="Arial" w:cs="Arial"/>
        </w:rPr>
        <w:t>CMI, 2015</w:t>
      </w:r>
      <w:r w:rsidR="000C6CAA">
        <w:rPr>
          <w:rFonts w:ascii="Arial" w:hAnsi="Arial" w:cs="Arial"/>
        </w:rPr>
        <w:t xml:space="preserve">) </w:t>
      </w:r>
      <w:r w:rsidRPr="003C2638">
        <w:rPr>
          <w:rFonts w:ascii="Arial" w:hAnsi="Arial" w:cs="Arial"/>
        </w:rPr>
        <w:t>Wants</w:t>
      </w:r>
      <w:r w:rsidR="00052CEF">
        <w:rPr>
          <w:rFonts w:ascii="Arial" w:hAnsi="Arial" w:cs="Arial"/>
        </w:rPr>
        <w:t>, on the other hand</w:t>
      </w:r>
      <w:r w:rsidR="00C14374">
        <w:rPr>
          <w:rFonts w:ascii="Arial" w:hAnsi="Arial" w:cs="Arial"/>
        </w:rPr>
        <w:t xml:space="preserve"> </w:t>
      </w:r>
      <w:r w:rsidRPr="003C2638">
        <w:rPr>
          <w:rFonts w:ascii="Arial" w:hAnsi="Arial" w:cs="Arial"/>
        </w:rPr>
        <w:t xml:space="preserve">are </w:t>
      </w:r>
      <w:r w:rsidR="000D1F05" w:rsidRPr="003C2638">
        <w:rPr>
          <w:rFonts w:ascii="Arial" w:hAnsi="Arial" w:cs="Arial"/>
        </w:rPr>
        <w:t>needed</w:t>
      </w:r>
      <w:r w:rsidRPr="003C2638">
        <w:rPr>
          <w:rFonts w:ascii="Arial" w:hAnsi="Arial" w:cs="Arial"/>
        </w:rPr>
        <w:t xml:space="preserve"> but not </w:t>
      </w:r>
      <w:r w:rsidR="00FE7997">
        <w:rPr>
          <w:rFonts w:ascii="Arial" w:hAnsi="Arial" w:cs="Arial"/>
        </w:rPr>
        <w:t xml:space="preserve">essential </w:t>
      </w:r>
      <w:r w:rsidR="00BE10E1">
        <w:rPr>
          <w:rFonts w:ascii="Arial" w:hAnsi="Arial" w:cs="Arial"/>
        </w:rPr>
        <w:t xml:space="preserve">aspects </w:t>
      </w:r>
      <w:r w:rsidR="00BE10E1" w:rsidRPr="0055574F">
        <w:rPr>
          <w:rFonts w:ascii="Arial" w:hAnsi="Arial" w:cs="Arial"/>
        </w:rPr>
        <w:t>and</w:t>
      </w:r>
      <w:r w:rsidR="00C14374">
        <w:rPr>
          <w:rFonts w:ascii="Arial" w:hAnsi="Arial" w:cs="Arial"/>
        </w:rPr>
        <w:t xml:space="preserve"> should</w:t>
      </w:r>
      <w:r w:rsidRPr="003C2638">
        <w:rPr>
          <w:rFonts w:ascii="Arial" w:hAnsi="Arial" w:cs="Arial"/>
        </w:rPr>
        <w:t xml:space="preserve"> be scored to compare</w:t>
      </w:r>
      <w:r w:rsidR="005A2EDA">
        <w:rPr>
          <w:rFonts w:ascii="Arial" w:hAnsi="Arial" w:cs="Arial"/>
        </w:rPr>
        <w:t xml:space="preserve"> them to </w:t>
      </w:r>
      <w:r w:rsidR="005A2EDA">
        <w:rPr>
          <w:rFonts w:ascii="Arial" w:hAnsi="Arial" w:cs="Arial"/>
        </w:rPr>
        <w:lastRenderedPageBreak/>
        <w:t>each other</w:t>
      </w:r>
      <w:r w:rsidRPr="003C2638">
        <w:rPr>
          <w:rFonts w:ascii="Arial" w:hAnsi="Arial" w:cs="Arial"/>
        </w:rPr>
        <w:t xml:space="preserve">. Each </w:t>
      </w:r>
      <w:r w:rsidR="00BE10E1">
        <w:rPr>
          <w:rFonts w:ascii="Arial" w:hAnsi="Arial" w:cs="Arial"/>
        </w:rPr>
        <w:t xml:space="preserve">decision </w:t>
      </w:r>
      <w:r w:rsidRPr="003C2638">
        <w:rPr>
          <w:rFonts w:ascii="Arial" w:hAnsi="Arial" w:cs="Arial"/>
        </w:rPr>
        <w:t>should be</w:t>
      </w:r>
      <w:r w:rsidR="00BE10E1">
        <w:rPr>
          <w:rFonts w:ascii="Arial" w:hAnsi="Arial" w:cs="Arial"/>
        </w:rPr>
        <w:t xml:space="preserve"> looked at and decided on </w:t>
      </w:r>
      <w:r w:rsidRPr="003C2638">
        <w:rPr>
          <w:rFonts w:ascii="Arial" w:hAnsi="Arial" w:cs="Arial"/>
        </w:rPr>
        <w:t>by weighing</w:t>
      </w:r>
      <w:r w:rsidR="006B53F5">
        <w:rPr>
          <w:rFonts w:ascii="Arial" w:hAnsi="Arial" w:cs="Arial"/>
        </w:rPr>
        <w:t xml:space="preserve"> up Pros and Cons</w:t>
      </w:r>
      <w:r w:rsidR="00B9669B">
        <w:rPr>
          <w:rFonts w:ascii="Arial" w:hAnsi="Arial" w:cs="Arial"/>
        </w:rPr>
        <w:t xml:space="preserve">, individually. </w:t>
      </w:r>
    </w:p>
    <w:p w14:paraId="1077647A" w14:textId="66AF76E2" w:rsidR="006B5C49" w:rsidRPr="003C2638" w:rsidRDefault="006B5C49" w:rsidP="006B5C49">
      <w:pPr>
        <w:spacing w:before="120" w:after="120"/>
        <w:rPr>
          <w:rFonts w:ascii="Arial" w:hAnsi="Arial" w:cs="Arial"/>
        </w:rPr>
      </w:pPr>
      <w:r w:rsidRPr="003C2638">
        <w:rPr>
          <w:rFonts w:ascii="Arial" w:hAnsi="Arial" w:cs="Arial"/>
        </w:rPr>
        <w:t xml:space="preserve">The </w:t>
      </w:r>
      <w:r w:rsidR="00B9669B">
        <w:rPr>
          <w:rFonts w:ascii="Arial" w:hAnsi="Arial" w:cs="Arial"/>
        </w:rPr>
        <w:t xml:space="preserve">Last </w:t>
      </w:r>
      <w:r w:rsidRPr="003C2638">
        <w:rPr>
          <w:rFonts w:ascii="Arial" w:hAnsi="Arial" w:cs="Arial"/>
        </w:rPr>
        <w:t xml:space="preserve">stage </w:t>
      </w:r>
      <w:r w:rsidR="006831EA">
        <w:rPr>
          <w:rFonts w:ascii="Arial" w:hAnsi="Arial" w:cs="Arial"/>
        </w:rPr>
        <w:t>looks at</w:t>
      </w:r>
      <w:r w:rsidRPr="003C2638">
        <w:rPr>
          <w:rFonts w:ascii="Arial" w:hAnsi="Arial" w:cs="Arial"/>
        </w:rPr>
        <w:t xml:space="preserve"> </w:t>
      </w:r>
      <w:r w:rsidR="00AE3D70">
        <w:rPr>
          <w:rFonts w:ascii="Arial" w:hAnsi="Arial" w:cs="Arial"/>
        </w:rPr>
        <w:t xml:space="preserve">Stopping </w:t>
      </w:r>
      <w:r w:rsidRPr="003C2638">
        <w:rPr>
          <w:rFonts w:ascii="Arial" w:hAnsi="Arial" w:cs="Arial"/>
        </w:rPr>
        <w:t xml:space="preserve">future issues by identifying problems before they </w:t>
      </w:r>
      <w:r w:rsidR="00AE3D70">
        <w:rPr>
          <w:rFonts w:ascii="Arial" w:hAnsi="Arial" w:cs="Arial"/>
        </w:rPr>
        <w:t>become problems</w:t>
      </w:r>
      <w:r w:rsidRPr="003C2638">
        <w:rPr>
          <w:rFonts w:ascii="Arial" w:hAnsi="Arial" w:cs="Arial"/>
        </w:rPr>
        <w:t xml:space="preserve"> (Markopoulos et al., 2022). </w:t>
      </w:r>
      <w:r w:rsidR="00815EFD">
        <w:rPr>
          <w:rFonts w:ascii="Arial" w:hAnsi="Arial" w:cs="Arial"/>
        </w:rPr>
        <w:t xml:space="preserve">Using </w:t>
      </w:r>
      <w:r w:rsidRPr="003C2638">
        <w:rPr>
          <w:rFonts w:ascii="Arial" w:hAnsi="Arial" w:cs="Arial"/>
        </w:rPr>
        <w:t xml:space="preserve">this </w:t>
      </w:r>
      <w:r w:rsidR="002F417E">
        <w:rPr>
          <w:rFonts w:ascii="Arial" w:hAnsi="Arial" w:cs="Arial"/>
        </w:rPr>
        <w:t>model,</w:t>
      </w:r>
      <w:r w:rsidRPr="003C2638">
        <w:rPr>
          <w:rFonts w:ascii="Arial" w:hAnsi="Arial" w:cs="Arial"/>
        </w:rPr>
        <w:t xml:space="preserve"> Technivara can </w:t>
      </w:r>
      <w:r w:rsidR="002F417E">
        <w:rPr>
          <w:rFonts w:ascii="Arial" w:hAnsi="Arial" w:cs="Arial"/>
        </w:rPr>
        <w:t xml:space="preserve">find and use </w:t>
      </w:r>
      <w:r w:rsidRPr="003C2638">
        <w:rPr>
          <w:rFonts w:ascii="Arial" w:hAnsi="Arial" w:cs="Arial"/>
        </w:rPr>
        <w:t xml:space="preserve">the most </w:t>
      </w:r>
      <w:r w:rsidR="00AE3D70">
        <w:rPr>
          <w:rFonts w:ascii="Arial" w:hAnsi="Arial" w:cs="Arial"/>
        </w:rPr>
        <w:t xml:space="preserve">useful and </w:t>
      </w:r>
      <w:r w:rsidR="00A04064">
        <w:rPr>
          <w:rFonts w:ascii="Arial" w:hAnsi="Arial" w:cs="Arial"/>
        </w:rPr>
        <w:t xml:space="preserve">supported </w:t>
      </w:r>
      <w:r w:rsidR="00976892">
        <w:rPr>
          <w:rFonts w:ascii="Arial" w:hAnsi="Arial" w:cs="Arial"/>
        </w:rPr>
        <w:t>decision</w:t>
      </w:r>
      <w:r w:rsidRPr="003C2638">
        <w:rPr>
          <w:rFonts w:ascii="Arial" w:hAnsi="Arial" w:cs="Arial"/>
        </w:rPr>
        <w:t xml:space="preserve"> to</w:t>
      </w:r>
      <w:r w:rsidR="00976892">
        <w:rPr>
          <w:rFonts w:ascii="Arial" w:hAnsi="Arial" w:cs="Arial"/>
        </w:rPr>
        <w:t xml:space="preserve"> improve the Business</w:t>
      </w:r>
      <w:r w:rsidRPr="003C2638">
        <w:rPr>
          <w:rFonts w:ascii="Arial" w:hAnsi="Arial" w:cs="Arial"/>
        </w:rPr>
        <w:t>.</w:t>
      </w:r>
    </w:p>
    <w:p w14:paraId="0473789A" w14:textId="77777777" w:rsidR="006B5C49" w:rsidRDefault="006B5C49">
      <w:pPr>
        <w:spacing w:before="120" w:after="120"/>
        <w:rPr>
          <w:rFonts w:ascii="Arial" w:hAnsi="Arial" w:cs="Arial"/>
        </w:rPr>
      </w:pPr>
    </w:p>
    <w:p w14:paraId="339549F8" w14:textId="5D89A45D" w:rsidR="00F54277" w:rsidRDefault="006B53F5">
      <w:pPr>
        <w:spacing w:before="120" w:after="120"/>
        <w:rPr>
          <w:rFonts w:ascii="Arial" w:hAnsi="Arial" w:cs="Arial"/>
        </w:rPr>
      </w:pPr>
      <w:r w:rsidRPr="001153C5">
        <w:rPr>
          <w:rFonts w:ascii="Arial" w:hAnsi="Arial" w:cs="Arial"/>
        </w:rPr>
        <w:t xml:space="preserve">A second process that </w:t>
      </w:r>
      <w:r w:rsidR="00B41AF3" w:rsidRPr="001153C5">
        <w:rPr>
          <w:rFonts w:ascii="Arial" w:hAnsi="Arial" w:cs="Arial"/>
        </w:rPr>
        <w:t xml:space="preserve">can </w:t>
      </w:r>
      <w:r w:rsidRPr="001153C5">
        <w:rPr>
          <w:rFonts w:ascii="Arial" w:hAnsi="Arial" w:cs="Arial"/>
        </w:rPr>
        <w:t xml:space="preserve">used is the de Bono Six Thinking Hats. This is a theory that allows the people in the practice team to look at problems from Different perspectives, as the “hats” are changed, so is the thought process. The De Bono Group (2019). </w:t>
      </w:r>
    </w:p>
    <w:p w14:paraId="03AF0890" w14:textId="2BB52F8A" w:rsidR="006E66ED" w:rsidRPr="001153C5" w:rsidRDefault="00F54277">
      <w:pPr>
        <w:spacing w:before="120" w:after="120"/>
        <w:rPr>
          <w:rFonts w:ascii="Arial" w:hAnsi="Arial" w:cs="Arial"/>
        </w:rPr>
      </w:pPr>
      <w:r>
        <w:rPr>
          <w:rFonts w:ascii="Arial" w:hAnsi="Arial" w:cs="Arial"/>
        </w:rPr>
        <w:t xml:space="preserve">The </w:t>
      </w:r>
      <w:r w:rsidRPr="001153C5">
        <w:rPr>
          <w:rFonts w:ascii="Arial" w:hAnsi="Arial" w:cs="Arial"/>
        </w:rPr>
        <w:t>white “hat</w:t>
      </w:r>
      <w:r w:rsidR="00B41AF3" w:rsidRPr="001153C5">
        <w:rPr>
          <w:rFonts w:ascii="Arial" w:hAnsi="Arial" w:cs="Arial"/>
        </w:rPr>
        <w:t>,”</w:t>
      </w:r>
      <w:r w:rsidRPr="001153C5">
        <w:rPr>
          <w:rFonts w:ascii="Arial" w:hAnsi="Arial" w:cs="Arial"/>
        </w:rPr>
        <w:t xml:space="preserve"> focuses on the facts of the problem that need to be </w:t>
      </w:r>
      <w:r w:rsidR="00CA1D1B" w:rsidRPr="001153C5">
        <w:rPr>
          <w:rFonts w:ascii="Arial" w:hAnsi="Arial" w:cs="Arial"/>
        </w:rPr>
        <w:t>solved,</w:t>
      </w:r>
      <w:r w:rsidRPr="001153C5">
        <w:rPr>
          <w:rFonts w:ascii="Arial" w:hAnsi="Arial" w:cs="Arial"/>
        </w:rPr>
        <w:t xml:space="preserve"> and collects the needed data. The red “</w:t>
      </w:r>
      <w:r w:rsidR="00C34B40" w:rsidRPr="001153C5">
        <w:rPr>
          <w:rFonts w:ascii="Arial" w:hAnsi="Arial" w:cs="Arial"/>
        </w:rPr>
        <w:t xml:space="preserve">hat” </w:t>
      </w:r>
      <w:r w:rsidR="00A64E57" w:rsidRPr="001153C5">
        <w:rPr>
          <w:rFonts w:ascii="Arial" w:hAnsi="Arial" w:cs="Arial"/>
        </w:rPr>
        <w:t>focuses</w:t>
      </w:r>
      <w:r w:rsidR="00C34B40">
        <w:rPr>
          <w:rFonts w:ascii="Arial" w:hAnsi="Arial" w:cs="Arial"/>
        </w:rPr>
        <w:t xml:space="preserve"> </w:t>
      </w:r>
      <w:r w:rsidRPr="001153C5">
        <w:rPr>
          <w:rFonts w:ascii="Arial" w:hAnsi="Arial" w:cs="Arial"/>
        </w:rPr>
        <w:t>on the emotions and feelings,</w:t>
      </w:r>
      <w:r w:rsidR="00A64E57">
        <w:rPr>
          <w:rFonts w:ascii="Arial" w:hAnsi="Arial" w:cs="Arial"/>
        </w:rPr>
        <w:t xml:space="preserve"> including</w:t>
      </w:r>
      <w:r w:rsidRPr="001153C5">
        <w:rPr>
          <w:rFonts w:ascii="Arial" w:hAnsi="Arial" w:cs="Arial"/>
        </w:rPr>
        <w:t xml:space="preserve"> the likes and </w:t>
      </w:r>
      <w:r w:rsidR="00392149" w:rsidRPr="001153C5">
        <w:rPr>
          <w:rFonts w:ascii="Arial" w:hAnsi="Arial" w:cs="Arial"/>
        </w:rPr>
        <w:t>dislikes</w:t>
      </w:r>
      <w:r w:rsidR="00392149">
        <w:rPr>
          <w:rFonts w:ascii="Arial" w:hAnsi="Arial" w:cs="Arial"/>
        </w:rPr>
        <w:t>,</w:t>
      </w:r>
      <w:r w:rsidR="00392149" w:rsidRPr="001153C5">
        <w:rPr>
          <w:rFonts w:ascii="Arial" w:hAnsi="Arial" w:cs="Arial"/>
        </w:rPr>
        <w:t xml:space="preserve"> </w:t>
      </w:r>
      <w:r w:rsidR="00D74E50">
        <w:rPr>
          <w:rFonts w:ascii="Arial" w:hAnsi="Arial" w:cs="Arial"/>
        </w:rPr>
        <w:t>(</w:t>
      </w:r>
      <w:r w:rsidR="00392149" w:rsidRPr="001153C5">
        <w:rPr>
          <w:rFonts w:ascii="Arial" w:hAnsi="Arial" w:cs="Arial"/>
        </w:rPr>
        <w:t>The</w:t>
      </w:r>
      <w:r w:rsidRPr="001153C5">
        <w:rPr>
          <w:rFonts w:ascii="Arial" w:hAnsi="Arial" w:cs="Arial"/>
        </w:rPr>
        <w:t xml:space="preserve"> De Bono Group (2019). </w:t>
      </w:r>
    </w:p>
    <w:p w14:paraId="1B5D7EF1" w14:textId="13214B13" w:rsidR="004D3071" w:rsidRDefault="006B53F5">
      <w:pPr>
        <w:spacing w:before="120" w:after="120"/>
        <w:rPr>
          <w:rFonts w:ascii="Arial" w:hAnsi="Arial" w:cs="Arial"/>
        </w:rPr>
      </w:pPr>
      <w:r w:rsidRPr="001153C5">
        <w:rPr>
          <w:rFonts w:ascii="Arial" w:hAnsi="Arial" w:cs="Arial"/>
        </w:rPr>
        <w:t xml:space="preserve">Using the black hat, Sue Young will be able to use judgment and find the weaknesses within any ideas so that there are no downsides to any </w:t>
      </w:r>
      <w:r w:rsidR="003E75A8">
        <w:rPr>
          <w:rFonts w:ascii="Arial" w:hAnsi="Arial" w:cs="Arial"/>
        </w:rPr>
        <w:t xml:space="preserve">suggested </w:t>
      </w:r>
      <w:r w:rsidRPr="001153C5">
        <w:rPr>
          <w:rFonts w:ascii="Arial" w:hAnsi="Arial" w:cs="Arial"/>
        </w:rPr>
        <w:t xml:space="preserve">decisions. </w:t>
      </w:r>
      <w:r w:rsidR="003E75A8">
        <w:rPr>
          <w:rFonts w:ascii="Arial" w:hAnsi="Arial" w:cs="Arial"/>
        </w:rPr>
        <w:t xml:space="preserve">The Opposite is </w:t>
      </w:r>
      <w:r w:rsidRPr="001153C5">
        <w:rPr>
          <w:rFonts w:ascii="Arial" w:hAnsi="Arial" w:cs="Arial"/>
        </w:rPr>
        <w:t>the yellow hat is used to find the benefits and what are the opportunities to be gained from the decision. Thus, balancing out the Black Hat.</w:t>
      </w:r>
    </w:p>
    <w:p w14:paraId="7895DF9A" w14:textId="2B59494B" w:rsidR="00ED5E1A" w:rsidRPr="001153C5" w:rsidRDefault="006B53F5">
      <w:pPr>
        <w:spacing w:before="120" w:after="120"/>
        <w:rPr>
          <w:rFonts w:ascii="Arial" w:hAnsi="Arial" w:cs="Arial"/>
        </w:rPr>
      </w:pPr>
      <w:r w:rsidRPr="001153C5">
        <w:rPr>
          <w:rFonts w:ascii="Arial" w:hAnsi="Arial" w:cs="Arial"/>
        </w:rPr>
        <w:t xml:space="preserve"> Following this, using Green Hat thinking is creative and different thinking, looking at the alternatives, which would involve looking at other possibilities, and looking at new perceptions (The De Bono Group, 2019). The Blue Hat is managing the whole process and ensuring that the whole process is followed correctly, and then also summarising the whole process. </w:t>
      </w:r>
    </w:p>
    <w:p w14:paraId="28B0205E" w14:textId="77777777" w:rsidR="00ED5E1A" w:rsidRPr="001153C5" w:rsidRDefault="00ED5E1A">
      <w:pPr>
        <w:spacing w:before="120" w:after="120"/>
        <w:rPr>
          <w:rFonts w:ascii="Arial" w:hAnsi="Arial" w:cs="Arial"/>
        </w:rPr>
      </w:pPr>
    </w:p>
    <w:p w14:paraId="07D66EB9" w14:textId="77777777" w:rsidR="00ED5E1A" w:rsidRPr="001153C5" w:rsidRDefault="006B53F5">
      <w:pPr>
        <w:spacing w:before="120" w:after="120"/>
        <w:rPr>
          <w:rFonts w:ascii="Arial" w:hAnsi="Arial" w:cs="Arial"/>
        </w:rPr>
      </w:pPr>
      <w:r w:rsidRPr="001153C5">
        <w:rPr>
          <w:rFonts w:ascii="Arial" w:hAnsi="Arial" w:cs="Arial"/>
          <w:color w:val="A91E1E"/>
        </w:rPr>
        <w:t>(AC 1.5)</w:t>
      </w:r>
    </w:p>
    <w:p w14:paraId="6F079983" w14:textId="1A714E85" w:rsidR="00ED5E1A" w:rsidRPr="001153C5" w:rsidRDefault="006B53F5">
      <w:pPr>
        <w:spacing w:before="120" w:after="120"/>
        <w:rPr>
          <w:rFonts w:ascii="Arial" w:hAnsi="Arial" w:cs="Arial"/>
        </w:rPr>
      </w:pPr>
      <w:r w:rsidRPr="001153C5">
        <w:rPr>
          <w:rFonts w:ascii="Arial" w:hAnsi="Arial" w:cs="Arial"/>
        </w:rPr>
        <w:t xml:space="preserve">Ethics can have a large impact on the decision-making process as they are the “underwater” aspects of a person’s personality that </w:t>
      </w:r>
      <w:r w:rsidR="00B41AF3" w:rsidRPr="001153C5">
        <w:rPr>
          <w:rFonts w:ascii="Arial" w:hAnsi="Arial" w:cs="Arial"/>
        </w:rPr>
        <w:t>cannot</w:t>
      </w:r>
      <w:r w:rsidRPr="001153C5">
        <w:rPr>
          <w:rFonts w:ascii="Arial" w:hAnsi="Arial" w:cs="Arial"/>
        </w:rPr>
        <w:t xml:space="preserve"> be seen, unlike the behaviours that they show. (Taylor and Woodhams 2022), using different ethical perspectives, can allow a person practitioner to see how to create the best solution, for different groups or different needs. </w:t>
      </w:r>
    </w:p>
    <w:p w14:paraId="55C22BC8" w14:textId="6B51D04C" w:rsidR="00192807" w:rsidRDefault="006B53F5">
      <w:pPr>
        <w:spacing w:before="120" w:after="120"/>
        <w:rPr>
          <w:rFonts w:ascii="Arial" w:hAnsi="Arial" w:cs="Arial"/>
        </w:rPr>
      </w:pPr>
      <w:r w:rsidRPr="001153C5">
        <w:rPr>
          <w:rFonts w:ascii="Arial" w:hAnsi="Arial" w:cs="Arial"/>
        </w:rPr>
        <w:t xml:space="preserve">The ethical perspective of utilitarianism is </w:t>
      </w:r>
      <w:r w:rsidR="007C79F5">
        <w:rPr>
          <w:rFonts w:ascii="Arial" w:hAnsi="Arial" w:cs="Arial"/>
        </w:rPr>
        <w:t xml:space="preserve">useful </w:t>
      </w:r>
      <w:r w:rsidRPr="001153C5">
        <w:rPr>
          <w:rFonts w:ascii="Arial" w:hAnsi="Arial" w:cs="Arial"/>
        </w:rPr>
        <w:t xml:space="preserve">as it is based on the works of Jeremy Bentham and John Stewert Mill. That is focused on the greatest happiness for the greatest number of people (Duignan and West, 2025). This also suggests that we do the least amount of harm to the least amount of people. </w:t>
      </w:r>
    </w:p>
    <w:p w14:paraId="5AAF5CCF" w14:textId="77777777" w:rsidR="00D5307D" w:rsidRDefault="006B53F5">
      <w:pPr>
        <w:spacing w:before="120" w:after="120"/>
        <w:rPr>
          <w:rFonts w:ascii="Arial" w:hAnsi="Arial" w:cs="Arial"/>
        </w:rPr>
      </w:pPr>
      <w:r w:rsidRPr="001153C5">
        <w:rPr>
          <w:rFonts w:ascii="Arial" w:hAnsi="Arial" w:cs="Arial"/>
        </w:rPr>
        <w:t xml:space="preserve">This is useful within </w:t>
      </w:r>
      <w:r w:rsidR="006E66ED" w:rsidRPr="001153C5">
        <w:rPr>
          <w:rFonts w:ascii="Arial" w:hAnsi="Arial" w:cs="Arial"/>
        </w:rPr>
        <w:t>people’s</w:t>
      </w:r>
      <w:r w:rsidRPr="001153C5">
        <w:rPr>
          <w:rFonts w:ascii="Arial" w:hAnsi="Arial" w:cs="Arial"/>
        </w:rPr>
        <w:t xml:space="preserve"> practice as it can support Technivara within their policy creation, so that it is beneficial for as many staff members as possible. (Clark, 2015). This can be beneficial for the retention of their staff if they feel like they are protected and supported by their policies. </w:t>
      </w:r>
    </w:p>
    <w:p w14:paraId="0CE84B84" w14:textId="09389BB8" w:rsidR="00B03A27" w:rsidRDefault="006B53F5">
      <w:pPr>
        <w:spacing w:before="120" w:after="120"/>
        <w:rPr>
          <w:rFonts w:ascii="Arial" w:hAnsi="Arial" w:cs="Arial"/>
        </w:rPr>
      </w:pPr>
      <w:r w:rsidRPr="001153C5">
        <w:rPr>
          <w:rFonts w:ascii="Arial" w:hAnsi="Arial" w:cs="Arial"/>
        </w:rPr>
        <w:t xml:space="preserve">One of the benefits of using a utilitarian ethical theory is that it is based on fairness and is simple to understand (Gustafson, 2013). This makes it easy for Technivara to implement this form of thinking to support the retention of its staff. </w:t>
      </w:r>
    </w:p>
    <w:p w14:paraId="11991F6C" w14:textId="6146E3E6" w:rsidR="00ED5E1A" w:rsidRPr="001153C5" w:rsidRDefault="00F22520">
      <w:pPr>
        <w:spacing w:before="120" w:after="120"/>
        <w:rPr>
          <w:rFonts w:ascii="Arial" w:hAnsi="Arial" w:cs="Arial"/>
        </w:rPr>
      </w:pPr>
      <w:r>
        <w:rPr>
          <w:rFonts w:ascii="Arial" w:hAnsi="Arial" w:cs="Arial"/>
        </w:rPr>
        <w:lastRenderedPageBreak/>
        <w:t xml:space="preserve">All </w:t>
      </w:r>
      <w:r w:rsidR="00335C9B">
        <w:rPr>
          <w:rFonts w:ascii="Arial" w:hAnsi="Arial" w:cs="Arial"/>
        </w:rPr>
        <w:t xml:space="preserve">people practitioners </w:t>
      </w:r>
      <w:r w:rsidR="00244005">
        <w:rPr>
          <w:rFonts w:ascii="Arial" w:hAnsi="Arial" w:cs="Arial"/>
        </w:rPr>
        <w:t>will have their own ideas</w:t>
      </w:r>
      <w:r w:rsidR="00735562">
        <w:rPr>
          <w:rFonts w:ascii="Arial" w:hAnsi="Arial" w:cs="Arial"/>
        </w:rPr>
        <w:t xml:space="preserve">, of what is best for </w:t>
      </w:r>
      <w:r w:rsidR="0007229E">
        <w:rPr>
          <w:rFonts w:ascii="Arial" w:hAnsi="Arial" w:cs="Arial"/>
        </w:rPr>
        <w:t>most of</w:t>
      </w:r>
      <w:r w:rsidR="00735562">
        <w:rPr>
          <w:rFonts w:ascii="Arial" w:hAnsi="Arial" w:cs="Arial"/>
        </w:rPr>
        <w:t xml:space="preserve"> the employees and so </w:t>
      </w:r>
      <w:r w:rsidR="00724EC9">
        <w:rPr>
          <w:rFonts w:ascii="Arial" w:hAnsi="Arial" w:cs="Arial"/>
        </w:rPr>
        <w:t xml:space="preserve">this needs to be </w:t>
      </w:r>
      <w:r w:rsidR="0007229E">
        <w:rPr>
          <w:rFonts w:ascii="Arial" w:hAnsi="Arial" w:cs="Arial"/>
        </w:rPr>
        <w:t>considered</w:t>
      </w:r>
      <w:r w:rsidR="00724EC9">
        <w:rPr>
          <w:rFonts w:ascii="Arial" w:hAnsi="Arial" w:cs="Arial"/>
        </w:rPr>
        <w:t xml:space="preserve"> when</w:t>
      </w:r>
      <w:r w:rsidR="00BB52B0">
        <w:rPr>
          <w:rFonts w:ascii="Arial" w:hAnsi="Arial" w:cs="Arial"/>
        </w:rPr>
        <w:t xml:space="preserve"> looking at </w:t>
      </w:r>
      <w:r w:rsidR="0007229E">
        <w:rPr>
          <w:rFonts w:ascii="Arial" w:hAnsi="Arial" w:cs="Arial"/>
        </w:rPr>
        <w:t xml:space="preserve">Utilitarianism </w:t>
      </w:r>
      <w:r w:rsidRPr="001153C5">
        <w:rPr>
          <w:rFonts w:ascii="Arial" w:hAnsi="Arial" w:cs="Arial"/>
        </w:rPr>
        <w:t>(Marques, 2015)</w:t>
      </w:r>
    </w:p>
    <w:p w14:paraId="3A571AC5" w14:textId="77777777" w:rsidR="00ED5E1A" w:rsidRPr="001153C5" w:rsidRDefault="00ED5E1A">
      <w:pPr>
        <w:spacing w:before="120" w:after="120"/>
        <w:rPr>
          <w:rFonts w:ascii="Arial" w:hAnsi="Arial" w:cs="Arial"/>
        </w:rPr>
      </w:pPr>
    </w:p>
    <w:p w14:paraId="3AAADBAC" w14:textId="77777777" w:rsidR="00ED5E1A" w:rsidRPr="001153C5" w:rsidRDefault="006B53F5">
      <w:pPr>
        <w:spacing w:before="120" w:after="120"/>
        <w:rPr>
          <w:rFonts w:ascii="Arial" w:hAnsi="Arial" w:cs="Arial"/>
        </w:rPr>
      </w:pPr>
      <w:r w:rsidRPr="001153C5">
        <w:rPr>
          <w:rFonts w:ascii="Arial" w:hAnsi="Arial" w:cs="Arial"/>
        </w:rPr>
        <w:t xml:space="preserve">A second ethical perspective that can be used by Technivara is deontology. This theory was created by Emmanuel Kant (Britannica, 2025), which focuses on following rules and focuses on the behaviour rather than the consequences of their behaviour. </w:t>
      </w:r>
    </w:p>
    <w:p w14:paraId="47BA22BC" w14:textId="02CF3D31" w:rsidR="00ED5E1A" w:rsidRPr="001153C5" w:rsidRDefault="006B53F5">
      <w:pPr>
        <w:spacing w:before="120" w:after="120"/>
        <w:rPr>
          <w:rFonts w:ascii="Arial" w:hAnsi="Arial" w:cs="Arial"/>
        </w:rPr>
      </w:pPr>
      <w:r w:rsidRPr="001153C5">
        <w:rPr>
          <w:rFonts w:ascii="Arial" w:hAnsi="Arial" w:cs="Arial"/>
        </w:rPr>
        <w:t xml:space="preserve">As this is an “individualistic” theory, the duties that the business has have more weight to them than the benefits that would come from decisions (Taylor and Woodhams, 2022). </w:t>
      </w:r>
      <w:r w:rsidR="00D21A7F">
        <w:rPr>
          <w:rFonts w:ascii="Arial" w:hAnsi="Arial" w:cs="Arial"/>
        </w:rPr>
        <w:t>i</w:t>
      </w:r>
      <w:r w:rsidRPr="001153C5">
        <w:rPr>
          <w:rFonts w:ascii="Arial" w:hAnsi="Arial" w:cs="Arial"/>
        </w:rPr>
        <w:t xml:space="preserve">t suggests that everything would be fair for all staff within the whole organisation, as all rules should apply to everyone, no matter what the reasoning or consequences there would be. </w:t>
      </w:r>
    </w:p>
    <w:p w14:paraId="324266B6" w14:textId="5DD3A229" w:rsidR="000575DC" w:rsidRDefault="006B53F5">
      <w:pPr>
        <w:spacing w:before="120" w:after="120"/>
        <w:rPr>
          <w:rFonts w:ascii="Arial" w:hAnsi="Arial" w:cs="Arial"/>
        </w:rPr>
      </w:pPr>
      <w:r w:rsidRPr="001153C5">
        <w:rPr>
          <w:rFonts w:ascii="Arial" w:hAnsi="Arial" w:cs="Arial"/>
        </w:rPr>
        <w:t xml:space="preserve">Using deontology can mean that the protection of the moral rights of their workforce (Pembi and Ali, 2024), and so if becoming less paper-based would mean that there would be layoffs, then it should not be done. </w:t>
      </w:r>
      <w:r w:rsidR="00B07648">
        <w:rPr>
          <w:rFonts w:ascii="Arial" w:hAnsi="Arial" w:cs="Arial"/>
        </w:rPr>
        <w:t>B</w:t>
      </w:r>
      <w:r w:rsidRPr="001153C5">
        <w:rPr>
          <w:rFonts w:ascii="Arial" w:hAnsi="Arial" w:cs="Arial"/>
        </w:rPr>
        <w:t xml:space="preserve">enefits of using deontological ethics are that there is clear guidance on what should be done in situations, and that policy and moral rules should be followed in each situation. (Boselie, 2024). </w:t>
      </w:r>
    </w:p>
    <w:p w14:paraId="2BAB7E69" w14:textId="057D376D" w:rsidR="00ED5E1A" w:rsidRDefault="007C15C4">
      <w:pPr>
        <w:spacing w:before="120" w:after="120"/>
        <w:rPr>
          <w:rFonts w:ascii="Arial" w:hAnsi="Arial" w:cs="Arial"/>
        </w:rPr>
      </w:pPr>
      <w:r>
        <w:rPr>
          <w:rFonts w:ascii="Arial" w:hAnsi="Arial" w:cs="Arial"/>
        </w:rPr>
        <w:t xml:space="preserve">A </w:t>
      </w:r>
      <w:r w:rsidRPr="001153C5">
        <w:rPr>
          <w:rFonts w:ascii="Arial" w:hAnsi="Arial" w:cs="Arial"/>
        </w:rPr>
        <w:t>weakness of using deontology is that it is so rigid that it does not allow for there to be any mitigating circumstances to change the way that policy is implemented. (Boselie, 2024)</w:t>
      </w:r>
    </w:p>
    <w:p w14:paraId="54E719A4" w14:textId="77777777" w:rsidR="000C0DFA" w:rsidRPr="001153C5" w:rsidRDefault="000C0DFA">
      <w:pPr>
        <w:spacing w:before="120" w:after="120"/>
        <w:rPr>
          <w:rFonts w:ascii="Arial" w:hAnsi="Arial" w:cs="Arial"/>
        </w:rPr>
      </w:pPr>
    </w:p>
    <w:p w14:paraId="1AB20079" w14:textId="376BAE6A" w:rsidR="00ED5E1A" w:rsidRPr="001153C5" w:rsidRDefault="006B53F5">
      <w:pPr>
        <w:spacing w:before="120" w:after="120"/>
        <w:rPr>
          <w:rFonts w:ascii="Arial" w:hAnsi="Arial" w:cs="Arial"/>
        </w:rPr>
      </w:pPr>
      <w:r w:rsidRPr="001153C5">
        <w:rPr>
          <w:rFonts w:ascii="Arial" w:hAnsi="Arial" w:cs="Arial"/>
          <w:color w:val="A91E1E"/>
        </w:rPr>
        <w:t>(AC 3.1)</w:t>
      </w:r>
    </w:p>
    <w:p w14:paraId="28F01189" w14:textId="77777777" w:rsidR="00BF5413" w:rsidRDefault="006B53F5">
      <w:pPr>
        <w:spacing w:before="120" w:after="120"/>
        <w:rPr>
          <w:rFonts w:ascii="Arial" w:hAnsi="Arial" w:cs="Arial"/>
        </w:rPr>
      </w:pPr>
      <w:r w:rsidRPr="001153C5">
        <w:rPr>
          <w:rFonts w:ascii="Arial" w:hAnsi="Arial" w:cs="Arial"/>
        </w:rPr>
        <w:t xml:space="preserve">The two different ways that Technivara can measure its progress are through Quantitative and Qualitative Data. Quantitative data focuses on the data that can be measured in a numerical form. (CIPD, 2022). This would include looking at the ways in which the business can improve and support its growth. The benefit of using quantitative data analysis is that once the data has </w:t>
      </w:r>
      <w:r w:rsidR="006E66ED" w:rsidRPr="001153C5">
        <w:rPr>
          <w:rFonts w:ascii="Arial" w:hAnsi="Arial" w:cs="Arial"/>
        </w:rPr>
        <w:t>been collected</w:t>
      </w:r>
      <w:r w:rsidRPr="001153C5">
        <w:rPr>
          <w:rFonts w:ascii="Arial" w:hAnsi="Arial" w:cs="Arial"/>
        </w:rPr>
        <w:t xml:space="preserve">, it can be assessed, and decisions can be made based on the data quickly. (Choy, 2014) </w:t>
      </w:r>
    </w:p>
    <w:p w14:paraId="14508137" w14:textId="77777777" w:rsidR="00F23869" w:rsidRDefault="006B53F5">
      <w:pPr>
        <w:spacing w:before="120" w:after="120"/>
        <w:rPr>
          <w:rFonts w:ascii="Arial" w:hAnsi="Arial" w:cs="Arial"/>
        </w:rPr>
      </w:pPr>
      <w:r w:rsidRPr="001153C5">
        <w:rPr>
          <w:rFonts w:ascii="Arial" w:hAnsi="Arial" w:cs="Arial"/>
        </w:rPr>
        <w:t xml:space="preserve">This is useful for Technivia as the data can be used to see if they have improved from using the new modern techniques that Sue can implement. A second benefit of using quantitative data is that it can be scaled up and be used across the whole organisation, and then reevaluated quickly, to check on growth throughout the year (Lim, 2024). This is useful as it can </w:t>
      </w:r>
      <w:r w:rsidR="006E66ED" w:rsidRPr="001153C5">
        <w:rPr>
          <w:rFonts w:ascii="Arial" w:hAnsi="Arial" w:cs="Arial"/>
        </w:rPr>
        <w:t>allow</w:t>
      </w:r>
      <w:r w:rsidRPr="001153C5">
        <w:rPr>
          <w:rFonts w:ascii="Arial" w:hAnsi="Arial" w:cs="Arial"/>
        </w:rPr>
        <w:t xml:space="preserve"> continuous form performance management. </w:t>
      </w:r>
    </w:p>
    <w:p w14:paraId="0F658B26" w14:textId="77777777" w:rsidR="00E47E9C" w:rsidRDefault="006B53F5">
      <w:pPr>
        <w:spacing w:before="120" w:after="120"/>
        <w:rPr>
          <w:rFonts w:ascii="Arial" w:hAnsi="Arial" w:cs="Arial"/>
        </w:rPr>
      </w:pPr>
      <w:r w:rsidRPr="001153C5">
        <w:rPr>
          <w:rFonts w:ascii="Arial" w:hAnsi="Arial" w:cs="Arial"/>
        </w:rPr>
        <w:t xml:space="preserve"> the negatives of using Quantitative data are that for it to be fully effective, there needs to be a large sample size to gain a full picture of what is happening within the company. (Lim, 2024). As the data only focuses on the numbers of the business its does not provide an “in-depth” look into the </w:t>
      </w:r>
      <w:r w:rsidR="006E66ED" w:rsidRPr="001153C5">
        <w:rPr>
          <w:rFonts w:ascii="Arial" w:hAnsi="Arial" w:cs="Arial"/>
        </w:rPr>
        <w:t>problems and</w:t>
      </w:r>
      <w:r w:rsidRPr="001153C5">
        <w:rPr>
          <w:rFonts w:ascii="Arial" w:hAnsi="Arial" w:cs="Arial"/>
        </w:rPr>
        <w:t xml:space="preserve"> so can make it more difficult to make decisions that will positively affect the employees (Lim, 2024).</w:t>
      </w:r>
    </w:p>
    <w:p w14:paraId="39C8D0A3" w14:textId="788131EF" w:rsidR="00ED5E1A" w:rsidRPr="001153C5" w:rsidRDefault="006B53F5">
      <w:pPr>
        <w:spacing w:before="120" w:after="120"/>
        <w:rPr>
          <w:rFonts w:ascii="Arial" w:hAnsi="Arial" w:cs="Arial"/>
        </w:rPr>
      </w:pPr>
      <w:r w:rsidRPr="001153C5">
        <w:rPr>
          <w:rFonts w:ascii="Arial" w:hAnsi="Arial" w:cs="Arial"/>
        </w:rPr>
        <w:t xml:space="preserve"> An example of Quantitative Data would be to measure the Gross Profit that has been taken each month. (Gibson, 2023), This is useful to </w:t>
      </w:r>
      <w:r w:rsidR="006E66ED" w:rsidRPr="001153C5">
        <w:rPr>
          <w:rFonts w:ascii="Arial" w:hAnsi="Arial" w:cs="Arial"/>
        </w:rPr>
        <w:t>have</w:t>
      </w:r>
      <w:r w:rsidRPr="001153C5">
        <w:rPr>
          <w:rFonts w:ascii="Arial" w:hAnsi="Arial" w:cs="Arial"/>
        </w:rPr>
        <w:t xml:space="preserve"> quantitative data, as it is easy to see with numbers if there has been an improvement over a stated time. </w:t>
      </w:r>
    </w:p>
    <w:p w14:paraId="67F8DD45" w14:textId="77777777" w:rsidR="00ED5E1A" w:rsidRPr="001153C5" w:rsidRDefault="00ED5E1A">
      <w:pPr>
        <w:spacing w:before="120" w:after="120"/>
        <w:rPr>
          <w:rFonts w:ascii="Arial" w:hAnsi="Arial" w:cs="Arial"/>
        </w:rPr>
      </w:pPr>
    </w:p>
    <w:p w14:paraId="514D9B06" w14:textId="1A290B5E" w:rsidR="00ED5E1A" w:rsidRPr="001153C5" w:rsidRDefault="006B53F5">
      <w:pPr>
        <w:spacing w:before="120" w:after="120"/>
        <w:rPr>
          <w:rFonts w:ascii="Arial" w:hAnsi="Arial" w:cs="Arial"/>
        </w:rPr>
      </w:pPr>
      <w:r w:rsidRPr="001153C5">
        <w:rPr>
          <w:rFonts w:ascii="Arial" w:hAnsi="Arial" w:cs="Arial"/>
        </w:rPr>
        <w:t xml:space="preserve">The use of Qualitative data is based on words and what is being said by staff. (Taylor and Woodhams, 2022). This would be data that will focus on more in-depth knowledge, based on why a situation is happening rather than just the raw numerical data. Qualitative data is important for Techniviara as it will allow the company to see how its employees are feeling and support them by asking meaningful questions (Agius, 2018). The benefits of using qualitative data collection are that there can be a broader amount of data that can be collected, as it is based on the opinions of staff. (Choy, 2014). This is important because it can also </w:t>
      </w:r>
      <w:r w:rsidR="006E66ED" w:rsidRPr="001153C5">
        <w:rPr>
          <w:rFonts w:ascii="Arial" w:hAnsi="Arial" w:cs="Arial"/>
        </w:rPr>
        <w:t>allow</w:t>
      </w:r>
      <w:r w:rsidRPr="001153C5">
        <w:rPr>
          <w:rFonts w:ascii="Arial" w:hAnsi="Arial" w:cs="Arial"/>
        </w:rPr>
        <w:t xml:space="preserve"> </w:t>
      </w:r>
      <w:r w:rsidR="006E66ED" w:rsidRPr="001153C5">
        <w:rPr>
          <w:rFonts w:ascii="Arial" w:hAnsi="Arial" w:cs="Arial"/>
        </w:rPr>
        <w:t>managers</w:t>
      </w:r>
      <w:r w:rsidRPr="001153C5">
        <w:rPr>
          <w:rFonts w:ascii="Arial" w:hAnsi="Arial" w:cs="Arial"/>
        </w:rPr>
        <w:t xml:space="preserve"> to find out about any other issues that are affecting the staff. However, some of the negatives involved with using qualitative data are that it comes from employees’ opinions and so will not be an objective view of what is happening within an organisation (Mwita, 2022). An example of Qualitative data would be an open-ended survey, as this would allow employees to air their feelings regarding the company. </w:t>
      </w:r>
    </w:p>
    <w:p w14:paraId="294111CB" w14:textId="77777777" w:rsidR="00ED5E1A" w:rsidRPr="001153C5" w:rsidRDefault="00ED5E1A">
      <w:pPr>
        <w:spacing w:before="120" w:after="120"/>
        <w:rPr>
          <w:rFonts w:ascii="Arial" w:hAnsi="Arial" w:cs="Arial"/>
        </w:rPr>
      </w:pPr>
    </w:p>
    <w:p w14:paraId="40545FB4" w14:textId="77777777" w:rsidR="00ED5E1A" w:rsidRPr="001153C5" w:rsidRDefault="00ED5E1A">
      <w:pPr>
        <w:spacing w:before="120" w:after="120"/>
        <w:rPr>
          <w:rFonts w:ascii="Arial" w:hAnsi="Arial" w:cs="Arial"/>
        </w:rPr>
      </w:pPr>
    </w:p>
    <w:p w14:paraId="7FE856C0" w14:textId="77777777" w:rsidR="00ED5E1A" w:rsidRPr="001153C5" w:rsidRDefault="006B53F5">
      <w:pPr>
        <w:spacing w:before="120" w:after="120"/>
        <w:rPr>
          <w:rFonts w:ascii="Arial" w:hAnsi="Arial" w:cs="Arial"/>
        </w:rPr>
      </w:pPr>
      <w:r w:rsidRPr="001153C5">
        <w:rPr>
          <w:rFonts w:ascii="Arial" w:hAnsi="Arial" w:cs="Arial"/>
          <w:color w:val="A91E1E"/>
        </w:rPr>
        <w:t>(AC 3.2)</w:t>
      </w:r>
    </w:p>
    <w:p w14:paraId="0F550634" w14:textId="77777777" w:rsidR="00ED5E1A" w:rsidRPr="001153C5" w:rsidRDefault="006B53F5">
      <w:pPr>
        <w:spacing w:before="120" w:after="120"/>
        <w:rPr>
          <w:rFonts w:ascii="Arial" w:hAnsi="Arial" w:cs="Arial"/>
        </w:rPr>
      </w:pPr>
      <w:r w:rsidRPr="001153C5">
        <w:rPr>
          <w:rFonts w:ascii="Arial" w:hAnsi="Arial" w:cs="Arial"/>
        </w:rPr>
        <w:t>The concept of adding value to a business through people practice is useful because it can improve Technivara’s performance through supporting their employees, and future-proof the business. Taylor and Woodhams (2022).</w:t>
      </w:r>
    </w:p>
    <w:p w14:paraId="4BDBB582" w14:textId="176D56C3" w:rsidR="00ED5E1A" w:rsidRPr="001153C5" w:rsidRDefault="006B53F5">
      <w:pPr>
        <w:spacing w:before="120" w:after="120"/>
        <w:rPr>
          <w:rFonts w:ascii="Arial" w:hAnsi="Arial" w:cs="Arial"/>
        </w:rPr>
      </w:pPr>
      <w:r w:rsidRPr="001153C5">
        <w:rPr>
          <w:rFonts w:ascii="Arial" w:hAnsi="Arial" w:cs="Arial"/>
        </w:rPr>
        <w:t xml:space="preserve">Adding value through </w:t>
      </w:r>
      <w:r w:rsidR="004B368D" w:rsidRPr="001153C5">
        <w:rPr>
          <w:rFonts w:ascii="Arial" w:hAnsi="Arial" w:cs="Arial"/>
        </w:rPr>
        <w:t>people’s</w:t>
      </w:r>
      <w:r w:rsidRPr="001153C5">
        <w:rPr>
          <w:rFonts w:ascii="Arial" w:hAnsi="Arial" w:cs="Arial"/>
        </w:rPr>
        <w:t xml:space="preserve"> practice suggests that there should be a focus on the employees as they are an asset to the organisation and support the enhancement of the business. According to the research of (Burke, 2022), value for a company is created through the skills and Knowledge of the employees and therefore, the employees should be supported by efficient people management practices. It is also argued </w:t>
      </w:r>
      <w:r w:rsidR="00F93BB8" w:rsidRPr="001153C5">
        <w:rPr>
          <w:rFonts w:ascii="Arial" w:hAnsi="Arial" w:cs="Arial"/>
        </w:rPr>
        <w:t>that</w:t>
      </w:r>
      <w:r w:rsidRPr="001153C5">
        <w:rPr>
          <w:rFonts w:ascii="Arial" w:hAnsi="Arial" w:cs="Arial"/>
        </w:rPr>
        <w:t xml:space="preserve"> practitioners can add value to a company through the creation and influence of strategy to drive the business forward to meet their goals, Jo, </w:t>
      </w:r>
      <w:r w:rsidR="00B41AF3" w:rsidRPr="001153C5">
        <w:rPr>
          <w:rFonts w:ascii="Arial" w:hAnsi="Arial" w:cs="Arial"/>
        </w:rPr>
        <w:t>Chadwick,</w:t>
      </w:r>
      <w:r w:rsidRPr="001153C5">
        <w:rPr>
          <w:rFonts w:ascii="Arial" w:hAnsi="Arial" w:cs="Arial"/>
        </w:rPr>
        <w:t xml:space="preserve"> and Han (2023)</w:t>
      </w:r>
    </w:p>
    <w:p w14:paraId="1140BF58" w14:textId="241FA861" w:rsidR="00ED5E1A" w:rsidRPr="001153C5" w:rsidRDefault="006B53F5">
      <w:pPr>
        <w:spacing w:before="120" w:after="120"/>
        <w:rPr>
          <w:rFonts w:ascii="Arial" w:hAnsi="Arial" w:cs="Arial"/>
        </w:rPr>
      </w:pPr>
      <w:r w:rsidRPr="001153C5">
        <w:rPr>
          <w:rFonts w:ascii="Arial" w:hAnsi="Arial" w:cs="Arial"/>
        </w:rPr>
        <w:t xml:space="preserve">People practices can support teams to perform at a higher standard by ensuring that there is an active and engaged Team, as stated by Taylor and Woodhams (2022). Having an engaged workforce means that there is an enhanced chance that Technivara would be able to meet its goals in a timely fashion, as Employees can be more focused on their work. </w:t>
      </w:r>
    </w:p>
    <w:p w14:paraId="7BF9422C" w14:textId="23AE8789" w:rsidR="00ED5E1A" w:rsidRPr="001153C5" w:rsidRDefault="006B53F5">
      <w:pPr>
        <w:spacing w:before="120" w:after="120"/>
        <w:rPr>
          <w:rFonts w:ascii="Arial" w:hAnsi="Arial" w:cs="Arial"/>
        </w:rPr>
      </w:pPr>
      <w:r w:rsidRPr="001153C5">
        <w:rPr>
          <w:rFonts w:ascii="Arial" w:hAnsi="Arial" w:cs="Arial"/>
        </w:rPr>
        <w:t xml:space="preserve">A method that can be used to measure the impact of </w:t>
      </w:r>
      <w:r w:rsidR="004B368D" w:rsidRPr="001153C5">
        <w:rPr>
          <w:rFonts w:ascii="Arial" w:hAnsi="Arial" w:cs="Arial"/>
        </w:rPr>
        <w:t>people’s</w:t>
      </w:r>
      <w:r w:rsidRPr="001153C5">
        <w:rPr>
          <w:rFonts w:ascii="Arial" w:hAnsi="Arial" w:cs="Arial"/>
        </w:rPr>
        <w:t xml:space="preserve"> practices is the retention of employees is the retention level of staff within the organisation. Technivara should be finding this data yearly to see if the people practice has worked to add value. Having an effective retention policy can show that the HR strategies are working, as staff will want to stay within a company that will support them. (Noorulkhathija and Hussain, 2025). Using the Retention of Staff will be a gauge for Sue to see how well different Teams within Technivia are able to retain their staff, and thus what managers will need more training to become more efficient managers, to meet Technivara’s needs.</w:t>
      </w:r>
    </w:p>
    <w:p w14:paraId="246C7C76" w14:textId="77777777" w:rsidR="00ED5E1A" w:rsidRPr="001153C5" w:rsidRDefault="006B53F5">
      <w:pPr>
        <w:spacing w:before="120" w:after="120"/>
        <w:rPr>
          <w:rFonts w:ascii="Arial" w:hAnsi="Arial" w:cs="Arial"/>
        </w:rPr>
      </w:pPr>
      <w:r w:rsidRPr="001153C5">
        <w:rPr>
          <w:rFonts w:ascii="Arial" w:hAnsi="Arial" w:cs="Arial"/>
        </w:rPr>
        <w:t>By using the CIPD formula below (CIPD, 2025c)</w:t>
      </w:r>
    </w:p>
    <w:p w14:paraId="70EF72B0" w14:textId="77777777" w:rsidR="00ED5E1A" w:rsidRPr="001153C5" w:rsidRDefault="006B53F5">
      <w:pPr>
        <w:spacing w:before="120" w:after="120"/>
        <w:rPr>
          <w:rFonts w:ascii="Arial" w:hAnsi="Arial" w:cs="Arial"/>
        </w:rPr>
      </w:pPr>
      <w:r w:rsidRPr="001153C5">
        <w:rPr>
          <w:rFonts w:ascii="Arial" w:hAnsi="Arial" w:cs="Arial"/>
          <w:u w:val="single"/>
        </w:rPr>
        <w:t xml:space="preserve">Number of staff with service of one year or more </w:t>
      </w:r>
      <w:r w:rsidRPr="001153C5">
        <w:rPr>
          <w:rFonts w:ascii="Arial" w:hAnsi="Arial" w:cs="Arial"/>
        </w:rPr>
        <w:t>x 100</w:t>
      </w:r>
    </w:p>
    <w:p w14:paraId="2D0FB024" w14:textId="77777777" w:rsidR="00ED5E1A" w:rsidRPr="001153C5" w:rsidRDefault="006B53F5">
      <w:pPr>
        <w:spacing w:before="120" w:after="120"/>
        <w:rPr>
          <w:rFonts w:ascii="Arial" w:hAnsi="Arial" w:cs="Arial"/>
        </w:rPr>
      </w:pPr>
      <w:r w:rsidRPr="001153C5">
        <w:rPr>
          <w:rFonts w:ascii="Arial" w:hAnsi="Arial" w:cs="Arial"/>
        </w:rPr>
        <w:lastRenderedPageBreak/>
        <w:t>Total number of staff in post one year ago</w:t>
      </w:r>
    </w:p>
    <w:p w14:paraId="4DE525A0" w14:textId="16EE317A" w:rsidR="00ED5E1A" w:rsidRPr="001153C5" w:rsidRDefault="006B53F5">
      <w:pPr>
        <w:spacing w:before="120" w:after="120"/>
        <w:rPr>
          <w:rFonts w:ascii="Arial" w:hAnsi="Arial" w:cs="Arial"/>
        </w:rPr>
      </w:pPr>
      <w:r w:rsidRPr="001153C5">
        <w:rPr>
          <w:rFonts w:ascii="Arial" w:hAnsi="Arial" w:cs="Arial"/>
        </w:rPr>
        <w:t xml:space="preserve">Sue will be able to understand the turnover of the organisation, thus measure the impact that the </w:t>
      </w:r>
      <w:r w:rsidR="004B368D" w:rsidRPr="001153C5">
        <w:rPr>
          <w:rFonts w:ascii="Arial" w:hAnsi="Arial" w:cs="Arial"/>
        </w:rPr>
        <w:t>people’s</w:t>
      </w:r>
      <w:r w:rsidRPr="001153C5">
        <w:rPr>
          <w:rFonts w:ascii="Arial" w:hAnsi="Arial" w:cs="Arial"/>
        </w:rPr>
        <w:t xml:space="preserve"> practices have </w:t>
      </w:r>
      <w:r w:rsidR="00FF7961" w:rsidRPr="001153C5">
        <w:rPr>
          <w:rFonts w:ascii="Arial" w:hAnsi="Arial" w:cs="Arial"/>
        </w:rPr>
        <w:t>had</w:t>
      </w:r>
      <w:r w:rsidR="004B368D" w:rsidRPr="001153C5">
        <w:rPr>
          <w:rFonts w:ascii="Arial" w:hAnsi="Arial" w:cs="Arial"/>
        </w:rPr>
        <w:t xml:space="preserve"> on</w:t>
      </w:r>
      <w:r w:rsidRPr="001153C5">
        <w:rPr>
          <w:rFonts w:ascii="Arial" w:hAnsi="Arial" w:cs="Arial"/>
        </w:rPr>
        <w:t xml:space="preserve"> the </w:t>
      </w:r>
      <w:r w:rsidR="0028031E" w:rsidRPr="001153C5">
        <w:rPr>
          <w:rFonts w:ascii="Arial" w:hAnsi="Arial" w:cs="Arial"/>
        </w:rPr>
        <w:t>organisation</w:t>
      </w:r>
      <w:r w:rsidRPr="001153C5">
        <w:rPr>
          <w:rFonts w:ascii="Arial" w:hAnsi="Arial" w:cs="Arial"/>
        </w:rPr>
        <w:t xml:space="preserve">. </w:t>
      </w:r>
    </w:p>
    <w:p w14:paraId="6AE14F14" w14:textId="77777777" w:rsidR="00ED5E1A" w:rsidRPr="001153C5" w:rsidRDefault="00ED5E1A">
      <w:pPr>
        <w:spacing w:before="120" w:after="120"/>
        <w:rPr>
          <w:rFonts w:ascii="Arial" w:hAnsi="Arial" w:cs="Arial"/>
        </w:rPr>
      </w:pPr>
    </w:p>
    <w:p w14:paraId="60A397F1" w14:textId="77777777" w:rsidR="00ED5E1A" w:rsidRPr="001153C5" w:rsidRDefault="006B53F5">
      <w:pPr>
        <w:spacing w:before="120" w:after="120"/>
        <w:rPr>
          <w:rFonts w:ascii="Arial" w:hAnsi="Arial" w:cs="Arial"/>
        </w:rPr>
      </w:pPr>
      <w:r w:rsidRPr="001153C5">
        <w:rPr>
          <w:rFonts w:ascii="Arial" w:hAnsi="Arial" w:cs="Arial"/>
        </w:rPr>
        <w:t xml:space="preserve">A second way to measure the impact of People Practices is the Return on Investment (ROI) from Programs implemented by the HR team. By using the equation of Return on investment (%) = (value of realised benefits – investment cost) / investment cost x 100, CIPD (2021). By using this equation, it can allow for seeing what Techniques or training have worked successfully. </w:t>
      </w:r>
    </w:p>
    <w:p w14:paraId="7F08E51E" w14:textId="77777777" w:rsidR="00ED5E1A" w:rsidRPr="001153C5" w:rsidRDefault="006B53F5">
      <w:pPr>
        <w:spacing w:before="120" w:after="120"/>
        <w:rPr>
          <w:rFonts w:ascii="Arial" w:hAnsi="Arial" w:cs="Arial"/>
        </w:rPr>
      </w:pPr>
      <w:r w:rsidRPr="001153C5">
        <w:rPr>
          <w:rFonts w:ascii="Arial" w:hAnsi="Arial" w:cs="Arial"/>
        </w:rPr>
        <w:t>TASK 2</w:t>
      </w:r>
    </w:p>
    <w:p w14:paraId="134AB7AC" w14:textId="77777777" w:rsidR="00ED5E1A" w:rsidRPr="001153C5" w:rsidRDefault="006B53F5">
      <w:pPr>
        <w:spacing w:before="120" w:after="120"/>
        <w:rPr>
          <w:rFonts w:ascii="Arial" w:hAnsi="Arial" w:cs="Arial"/>
        </w:rPr>
      </w:pPr>
      <w:r w:rsidRPr="001153C5">
        <w:rPr>
          <w:rFonts w:ascii="Arial" w:hAnsi="Arial" w:cs="Arial"/>
        </w:rPr>
        <w:t xml:space="preserve">(AC.2.1) </w:t>
      </w:r>
    </w:p>
    <w:p w14:paraId="5A1AC8F5" w14:textId="3A19F40A" w:rsidR="00B1517D" w:rsidRPr="001153C5" w:rsidRDefault="0077103B">
      <w:pPr>
        <w:spacing w:before="120" w:after="120"/>
        <w:rPr>
          <w:rFonts w:ascii="Arial" w:hAnsi="Arial" w:cs="Arial"/>
        </w:rPr>
      </w:pPr>
      <w:r w:rsidRPr="001153C5">
        <w:rPr>
          <w:rFonts w:ascii="Arial" w:hAnsi="Arial" w:cs="Arial"/>
          <w:noProof/>
        </w:rPr>
        <w:drawing>
          <wp:inline distT="0" distB="0" distL="0" distR="0" wp14:anchorId="10B4086A" wp14:editId="399CC15B">
            <wp:extent cx="5733333" cy="3809524"/>
            <wp:effectExtent l="0" t="0" r="1270" b="635"/>
            <wp:docPr id="1751688026"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688026" name="Picture 1" descr="A table with numbers and text&#10;&#10;AI-generated content may be incorrect."/>
                    <pic:cNvPicPr/>
                  </pic:nvPicPr>
                  <pic:blipFill>
                    <a:blip r:embed="rId5"/>
                    <a:stretch>
                      <a:fillRect/>
                    </a:stretch>
                  </pic:blipFill>
                  <pic:spPr>
                    <a:xfrm>
                      <a:off x="0" y="0"/>
                      <a:ext cx="5733333" cy="3809524"/>
                    </a:xfrm>
                    <a:prstGeom prst="rect">
                      <a:avLst/>
                    </a:prstGeom>
                  </pic:spPr>
                </pic:pic>
              </a:graphicData>
            </a:graphic>
          </wp:inline>
        </w:drawing>
      </w:r>
    </w:p>
    <w:p w14:paraId="3474FA0E" w14:textId="77777777" w:rsidR="00ED5E1A" w:rsidRPr="001153C5" w:rsidRDefault="00ED5E1A">
      <w:pPr>
        <w:spacing w:before="120" w:after="120"/>
        <w:rPr>
          <w:rFonts w:ascii="Arial" w:hAnsi="Arial" w:cs="Arial"/>
        </w:rPr>
      </w:pPr>
    </w:p>
    <w:p w14:paraId="06A9CA40" w14:textId="77777777" w:rsidR="00ED5E1A" w:rsidRPr="001153C5" w:rsidRDefault="006B53F5">
      <w:pPr>
        <w:spacing w:before="120" w:after="120"/>
        <w:rPr>
          <w:rFonts w:ascii="Arial" w:hAnsi="Arial" w:cs="Arial"/>
        </w:rPr>
      </w:pPr>
      <w:r w:rsidRPr="001153C5">
        <w:rPr>
          <w:rFonts w:ascii="Arial" w:hAnsi="Arial" w:cs="Arial"/>
        </w:rPr>
        <w:t>(AC 2.2)</w:t>
      </w:r>
    </w:p>
    <w:p w14:paraId="3AC0A097" w14:textId="77777777" w:rsidR="00ED5E1A" w:rsidRPr="001153C5" w:rsidRDefault="00ED5E1A">
      <w:pPr>
        <w:spacing w:before="120" w:after="120"/>
        <w:rPr>
          <w:rFonts w:ascii="Arial" w:hAnsi="Arial" w:cs="Arial"/>
        </w:rPr>
      </w:pPr>
    </w:p>
    <w:p w14:paraId="0ADD8232" w14:textId="42001B95" w:rsidR="00ED5E1A" w:rsidRPr="001153C5" w:rsidRDefault="0077103B">
      <w:pPr>
        <w:spacing w:before="120" w:after="120"/>
        <w:rPr>
          <w:rFonts w:ascii="Arial" w:hAnsi="Arial" w:cs="Arial"/>
        </w:rPr>
      </w:pPr>
      <w:r w:rsidRPr="001153C5">
        <w:rPr>
          <w:rFonts w:ascii="Arial" w:hAnsi="Arial" w:cs="Arial"/>
          <w:noProof/>
        </w:rPr>
        <w:lastRenderedPageBreak/>
        <w:drawing>
          <wp:inline distT="0" distB="0" distL="0" distR="0" wp14:anchorId="192F0D4E" wp14:editId="1770039C">
            <wp:extent cx="5000000" cy="3942857"/>
            <wp:effectExtent l="0" t="0" r="0" b="635"/>
            <wp:docPr id="776525987" name="Picture 1" descr="A graph with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525987" name="Picture 1" descr="A graph with green lines&#10;&#10;AI-generated content may be incorrect."/>
                    <pic:cNvPicPr/>
                  </pic:nvPicPr>
                  <pic:blipFill>
                    <a:blip r:embed="rId6"/>
                    <a:stretch>
                      <a:fillRect/>
                    </a:stretch>
                  </pic:blipFill>
                  <pic:spPr>
                    <a:xfrm>
                      <a:off x="0" y="0"/>
                      <a:ext cx="5000000" cy="3942857"/>
                    </a:xfrm>
                    <a:prstGeom prst="rect">
                      <a:avLst/>
                    </a:prstGeom>
                  </pic:spPr>
                </pic:pic>
              </a:graphicData>
            </a:graphic>
          </wp:inline>
        </w:drawing>
      </w:r>
    </w:p>
    <w:p w14:paraId="2B79BE02" w14:textId="01D12401" w:rsidR="0077103B" w:rsidRPr="001153C5" w:rsidRDefault="0077103B">
      <w:pPr>
        <w:spacing w:before="120" w:after="120"/>
        <w:rPr>
          <w:rFonts w:ascii="Arial" w:hAnsi="Arial" w:cs="Arial"/>
        </w:rPr>
      </w:pPr>
      <w:r w:rsidRPr="001153C5">
        <w:rPr>
          <w:rFonts w:ascii="Arial" w:hAnsi="Arial" w:cs="Arial"/>
          <w:noProof/>
        </w:rPr>
        <w:drawing>
          <wp:inline distT="0" distB="0" distL="0" distR="0" wp14:anchorId="4F5EEBAA" wp14:editId="6B1E92F5">
            <wp:extent cx="5733333" cy="3704762"/>
            <wp:effectExtent l="0" t="0" r="1270" b="0"/>
            <wp:docPr id="742185256" name="Picture 1" descr="A pie chart with different colored squares with Crust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185256" name="Picture 1" descr="A pie chart with different colored squares with Crust in the background&#10;&#10;AI-generated content may be incorrect."/>
                    <pic:cNvPicPr/>
                  </pic:nvPicPr>
                  <pic:blipFill>
                    <a:blip r:embed="rId7"/>
                    <a:stretch>
                      <a:fillRect/>
                    </a:stretch>
                  </pic:blipFill>
                  <pic:spPr>
                    <a:xfrm>
                      <a:off x="0" y="0"/>
                      <a:ext cx="5733333" cy="3704762"/>
                    </a:xfrm>
                    <a:prstGeom prst="rect">
                      <a:avLst/>
                    </a:prstGeom>
                  </pic:spPr>
                </pic:pic>
              </a:graphicData>
            </a:graphic>
          </wp:inline>
        </w:drawing>
      </w:r>
    </w:p>
    <w:p w14:paraId="2E15AF4C" w14:textId="117FA3D7" w:rsidR="008F54C2" w:rsidRPr="001153C5" w:rsidRDefault="008F54C2">
      <w:pPr>
        <w:spacing w:before="120" w:after="120"/>
        <w:rPr>
          <w:rFonts w:ascii="Arial" w:hAnsi="Arial" w:cs="Arial"/>
        </w:rPr>
      </w:pPr>
      <w:r w:rsidRPr="001153C5">
        <w:rPr>
          <w:rFonts w:ascii="Arial" w:hAnsi="Arial" w:cs="Arial"/>
          <w:noProof/>
        </w:rPr>
        <w:lastRenderedPageBreak/>
        <w:drawing>
          <wp:inline distT="0" distB="0" distL="0" distR="0" wp14:anchorId="68BD3742" wp14:editId="762FAF2F">
            <wp:extent cx="5733333" cy="3085714"/>
            <wp:effectExtent l="0" t="0" r="1270" b="635"/>
            <wp:docPr id="1382168922" name="Picture 1" descr="A graph of a number of posi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168922" name="Picture 1" descr="A graph of a number of positions&#10;&#10;AI-generated content may be incorrect."/>
                    <pic:cNvPicPr/>
                  </pic:nvPicPr>
                  <pic:blipFill>
                    <a:blip r:embed="rId8"/>
                    <a:stretch>
                      <a:fillRect/>
                    </a:stretch>
                  </pic:blipFill>
                  <pic:spPr>
                    <a:xfrm>
                      <a:off x="0" y="0"/>
                      <a:ext cx="5733333" cy="3085714"/>
                    </a:xfrm>
                    <a:prstGeom prst="rect">
                      <a:avLst/>
                    </a:prstGeom>
                  </pic:spPr>
                </pic:pic>
              </a:graphicData>
            </a:graphic>
          </wp:inline>
        </w:drawing>
      </w:r>
    </w:p>
    <w:p w14:paraId="6ED87A9F" w14:textId="5A28C271" w:rsidR="00ED5E1A" w:rsidRPr="001153C5" w:rsidRDefault="00EB4CE6">
      <w:pPr>
        <w:spacing w:before="120" w:after="120"/>
        <w:rPr>
          <w:rFonts w:ascii="Arial" w:hAnsi="Arial" w:cs="Arial"/>
        </w:rPr>
      </w:pPr>
      <w:r w:rsidRPr="001153C5">
        <w:rPr>
          <w:rFonts w:ascii="Arial" w:hAnsi="Arial" w:cs="Arial"/>
        </w:rPr>
        <w:t xml:space="preserve"> </w:t>
      </w:r>
    </w:p>
    <w:p w14:paraId="522B69D3" w14:textId="77777777" w:rsidR="00ED5E1A" w:rsidRPr="001153C5" w:rsidRDefault="00ED5E1A">
      <w:pPr>
        <w:spacing w:before="120" w:after="120"/>
        <w:rPr>
          <w:rFonts w:ascii="Arial" w:hAnsi="Arial" w:cs="Arial"/>
        </w:rPr>
      </w:pPr>
    </w:p>
    <w:p w14:paraId="66879552" w14:textId="77777777" w:rsidR="00ED5E1A" w:rsidRPr="001153C5" w:rsidRDefault="006B53F5">
      <w:pPr>
        <w:spacing w:before="120" w:after="120"/>
        <w:rPr>
          <w:rFonts w:ascii="Arial" w:hAnsi="Arial" w:cs="Arial"/>
        </w:rPr>
      </w:pPr>
      <w:r w:rsidRPr="001153C5">
        <w:rPr>
          <w:rFonts w:ascii="Arial" w:hAnsi="Arial" w:cs="Arial"/>
        </w:rPr>
        <w:t>(AC 2.3)</w:t>
      </w:r>
    </w:p>
    <w:p w14:paraId="7A786A8A" w14:textId="75DD7D31" w:rsidR="00ED5E1A" w:rsidRPr="001153C5" w:rsidRDefault="006B53F5">
      <w:pPr>
        <w:spacing w:before="120" w:after="120"/>
        <w:rPr>
          <w:rFonts w:ascii="Arial" w:hAnsi="Arial" w:cs="Arial"/>
        </w:rPr>
      </w:pPr>
      <w:r w:rsidRPr="001153C5">
        <w:rPr>
          <w:rFonts w:ascii="Arial" w:hAnsi="Arial" w:cs="Arial"/>
        </w:rPr>
        <w:t xml:space="preserve">Within the feedback from the Learning and Development activity, some of the themes that have appeared are that none of the forty-two attendees felt strongly that the knowledge and behaviours could be implemented into their own working life, with twenty-two attendees saying they were not sure. This suggests that there needs to be an improvement in the way that the training is delivered so that the “learning Transfer” (CIPD, 2022b) has not completed, and so the usefulness of this training was not successful. </w:t>
      </w:r>
    </w:p>
    <w:p w14:paraId="789C24B8" w14:textId="77777777" w:rsidR="00ED5E1A" w:rsidRPr="001153C5" w:rsidRDefault="006B53F5">
      <w:pPr>
        <w:spacing w:before="120" w:after="120"/>
        <w:rPr>
          <w:rFonts w:ascii="Arial" w:hAnsi="Arial" w:cs="Arial"/>
        </w:rPr>
      </w:pPr>
      <w:r w:rsidRPr="001153C5">
        <w:rPr>
          <w:rFonts w:ascii="Arial" w:hAnsi="Arial" w:cs="Arial"/>
        </w:rPr>
        <w:t xml:space="preserve">A second trend that appeared was that the facilitator was explaining the training well, as thirty-three of the attendees either fully agreed or agreed. </w:t>
      </w:r>
    </w:p>
    <w:p w14:paraId="193998F6" w14:textId="112CD925" w:rsidR="00ED5E1A" w:rsidRPr="001153C5" w:rsidRDefault="006B53F5">
      <w:pPr>
        <w:spacing w:before="120" w:after="120"/>
        <w:rPr>
          <w:rFonts w:ascii="Arial" w:hAnsi="Arial" w:cs="Arial"/>
        </w:rPr>
      </w:pPr>
      <w:r w:rsidRPr="001153C5">
        <w:rPr>
          <w:rFonts w:ascii="Arial" w:hAnsi="Arial" w:cs="Arial"/>
        </w:rPr>
        <w:t xml:space="preserve">This suggests that the Facilitator knew what he was speaking </w:t>
      </w:r>
      <w:r w:rsidR="00CB08AA" w:rsidRPr="001153C5">
        <w:rPr>
          <w:rFonts w:ascii="Arial" w:hAnsi="Arial" w:cs="Arial"/>
        </w:rPr>
        <w:t>about</w:t>
      </w:r>
      <w:r w:rsidRPr="001153C5">
        <w:rPr>
          <w:rFonts w:ascii="Arial" w:hAnsi="Arial" w:cs="Arial"/>
        </w:rPr>
        <w:t xml:space="preserve">, but thirty-two of the attendees were unable to engage meaningfully in </w:t>
      </w:r>
      <w:r w:rsidR="00CB08AA" w:rsidRPr="001153C5">
        <w:rPr>
          <w:rFonts w:ascii="Arial" w:hAnsi="Arial" w:cs="Arial"/>
        </w:rPr>
        <w:t>questioning</w:t>
      </w:r>
      <w:r w:rsidRPr="001153C5">
        <w:rPr>
          <w:rFonts w:ascii="Arial" w:hAnsi="Arial" w:cs="Arial"/>
        </w:rPr>
        <w:t xml:space="preserve"> the topics suggests that attendees could not have a deeper understanding of the topics discussed. </w:t>
      </w:r>
      <w:r w:rsidR="00CB08AA" w:rsidRPr="001153C5">
        <w:rPr>
          <w:rFonts w:ascii="Arial" w:hAnsi="Arial" w:cs="Arial"/>
        </w:rPr>
        <w:t xml:space="preserve">Thus, </w:t>
      </w:r>
      <w:r w:rsidRPr="001153C5">
        <w:rPr>
          <w:rFonts w:ascii="Arial" w:hAnsi="Arial" w:cs="Arial"/>
        </w:rPr>
        <w:t xml:space="preserve">unable to gain a meaningful insight into the topics discussed. (Salmon and Barrera, 2021). </w:t>
      </w:r>
    </w:p>
    <w:p w14:paraId="51ADE16B" w14:textId="77777777" w:rsidR="00ED5E1A" w:rsidRPr="001153C5" w:rsidRDefault="006B53F5">
      <w:pPr>
        <w:spacing w:before="120" w:after="120"/>
        <w:rPr>
          <w:rFonts w:ascii="Arial" w:hAnsi="Arial" w:cs="Arial"/>
        </w:rPr>
      </w:pPr>
      <w:r w:rsidRPr="001153C5">
        <w:rPr>
          <w:rFonts w:ascii="Arial" w:hAnsi="Arial" w:cs="Arial"/>
        </w:rPr>
        <w:t xml:space="preserve">Overall, the data from the table shows that there needs to be an improvement in the way that the delivery of the course can support the staff at Technivrara. </w:t>
      </w:r>
    </w:p>
    <w:p w14:paraId="16ADADB9" w14:textId="77777777" w:rsidR="00ED5E1A" w:rsidRPr="001153C5" w:rsidRDefault="00ED5E1A">
      <w:pPr>
        <w:spacing w:before="120" w:after="120"/>
        <w:rPr>
          <w:rFonts w:ascii="Arial" w:hAnsi="Arial" w:cs="Arial"/>
        </w:rPr>
      </w:pPr>
    </w:p>
    <w:p w14:paraId="1FEE629B" w14:textId="1F535B24" w:rsidR="00ED5E1A" w:rsidRPr="001153C5" w:rsidRDefault="006B53F5">
      <w:pPr>
        <w:spacing w:before="120" w:after="120"/>
        <w:rPr>
          <w:rFonts w:ascii="Arial" w:hAnsi="Arial" w:cs="Arial"/>
        </w:rPr>
      </w:pPr>
      <w:r w:rsidRPr="001153C5">
        <w:rPr>
          <w:rFonts w:ascii="Arial" w:hAnsi="Arial" w:cs="Arial"/>
        </w:rPr>
        <w:t xml:space="preserve">The first recommendation is to have an external trainer from a respected training provider. Outsourcing training and development can allow employees to be trained by an external company, which means that they have access to specialised knowledge that can support the specific performance that needs addressing, which is not available within Technivaia. (Edvardsson and Durst, 2019). This would </w:t>
      </w:r>
      <w:r w:rsidR="004B368D" w:rsidRPr="001153C5">
        <w:rPr>
          <w:rFonts w:ascii="Arial" w:hAnsi="Arial" w:cs="Arial"/>
        </w:rPr>
        <w:t>allow</w:t>
      </w:r>
      <w:r w:rsidRPr="001153C5">
        <w:rPr>
          <w:rFonts w:ascii="Arial" w:hAnsi="Arial" w:cs="Arial"/>
        </w:rPr>
        <w:t xml:space="preserve"> </w:t>
      </w:r>
      <w:r w:rsidR="006E66ED" w:rsidRPr="001153C5">
        <w:rPr>
          <w:rFonts w:ascii="Arial" w:hAnsi="Arial" w:cs="Arial"/>
        </w:rPr>
        <w:t>learning</w:t>
      </w:r>
      <w:r w:rsidRPr="001153C5">
        <w:rPr>
          <w:rFonts w:ascii="Arial" w:hAnsi="Arial" w:cs="Arial"/>
        </w:rPr>
        <w:t xml:space="preserve"> to be more focused and precise, based on </w:t>
      </w:r>
      <w:r w:rsidR="00FF7961" w:rsidRPr="001153C5">
        <w:rPr>
          <w:rFonts w:ascii="Arial" w:hAnsi="Arial" w:cs="Arial"/>
        </w:rPr>
        <w:t>specific</w:t>
      </w:r>
      <w:r w:rsidRPr="001153C5">
        <w:rPr>
          <w:rFonts w:ascii="Arial" w:hAnsi="Arial" w:cs="Arial"/>
        </w:rPr>
        <w:t xml:space="preserve"> managerial needs. Other benefits of using </w:t>
      </w:r>
      <w:r w:rsidRPr="001153C5">
        <w:rPr>
          <w:rFonts w:ascii="Arial" w:hAnsi="Arial" w:cs="Arial"/>
        </w:rPr>
        <w:lastRenderedPageBreak/>
        <w:t xml:space="preserve">external training services are that Techniviara will have access to </w:t>
      </w:r>
      <w:r w:rsidR="00883C42" w:rsidRPr="001153C5">
        <w:rPr>
          <w:rFonts w:ascii="Arial" w:hAnsi="Arial" w:cs="Arial"/>
        </w:rPr>
        <w:t>the best up-to-date</w:t>
      </w:r>
      <w:r w:rsidRPr="001153C5">
        <w:rPr>
          <w:rFonts w:ascii="Arial" w:hAnsi="Arial" w:cs="Arial"/>
        </w:rPr>
        <w:t xml:space="preserve"> practices that can be implemented and then protect the company. (Srivastava, 2024). While there are benefits to using an external company, there are some weaknesses to using external companies, including that they will not have an in-depth knowledge of Technivara to see where the problems are. (Edvardsson and Durst, 2019). As there is a Risk of Miscommunication on topics such as the expectations from the training (Barnes, 2025), this can be mitigated by ensuring that all learning needs are communicated effectively and clearly by the People Management team. </w:t>
      </w:r>
    </w:p>
    <w:p w14:paraId="1749AA54" w14:textId="77777777" w:rsidR="00ED5E1A" w:rsidRPr="001153C5" w:rsidRDefault="00ED5E1A">
      <w:pPr>
        <w:spacing w:before="120" w:after="120"/>
        <w:rPr>
          <w:rFonts w:ascii="Arial" w:hAnsi="Arial" w:cs="Arial"/>
        </w:rPr>
      </w:pPr>
    </w:p>
    <w:p w14:paraId="00182014" w14:textId="77777777" w:rsidR="00ED5E1A" w:rsidRPr="001153C5" w:rsidRDefault="006B53F5">
      <w:pPr>
        <w:spacing w:before="120" w:after="120"/>
        <w:rPr>
          <w:rFonts w:ascii="Arial" w:hAnsi="Arial" w:cs="Arial"/>
        </w:rPr>
      </w:pPr>
      <w:r w:rsidRPr="001153C5">
        <w:rPr>
          <w:rFonts w:ascii="Arial" w:hAnsi="Arial" w:cs="Arial"/>
        </w:rPr>
        <w:t xml:space="preserve">From the training company KSL training, the price of external training will depend on unique factors, such as the length of or level of training needed. However, the average price for a full-day course would be £1,495 for six to ten attendees. (KSL Training, 2025). This would work out at £149 per person. By focusing on managers, this can then be transferred to others in their teams, and so what has been learned can trickle down into other employees. </w:t>
      </w:r>
    </w:p>
    <w:p w14:paraId="38933E49" w14:textId="77777777" w:rsidR="00ED5E1A" w:rsidRPr="001153C5" w:rsidRDefault="00ED5E1A">
      <w:pPr>
        <w:spacing w:before="120" w:after="120"/>
        <w:rPr>
          <w:rFonts w:ascii="Arial" w:hAnsi="Arial" w:cs="Arial"/>
        </w:rPr>
      </w:pPr>
    </w:p>
    <w:p w14:paraId="03C95802" w14:textId="6FCCDDB2" w:rsidR="00ED5E1A" w:rsidRPr="001153C5" w:rsidRDefault="006B53F5">
      <w:pPr>
        <w:spacing w:before="120" w:after="120"/>
        <w:rPr>
          <w:rFonts w:ascii="Arial" w:hAnsi="Arial" w:cs="Arial"/>
        </w:rPr>
      </w:pPr>
      <w:r w:rsidRPr="001153C5">
        <w:rPr>
          <w:rFonts w:ascii="Arial" w:hAnsi="Arial" w:cs="Arial"/>
        </w:rPr>
        <w:t xml:space="preserve">However, to keep development within the company would be to improve the Training and Development department within Technivara by introducing an online learning platform. An E-Learning Platform can be used to support the development of Technivara, as it can </w:t>
      </w:r>
      <w:r w:rsidR="00883C42" w:rsidRPr="001153C5">
        <w:rPr>
          <w:rFonts w:ascii="Arial" w:hAnsi="Arial" w:cs="Arial"/>
        </w:rPr>
        <w:t>allow</w:t>
      </w:r>
      <w:r w:rsidRPr="001153C5">
        <w:rPr>
          <w:rFonts w:ascii="Arial" w:hAnsi="Arial" w:cs="Arial"/>
        </w:rPr>
        <w:t xml:space="preserve"> the Staff to have access to the training materials, such as webinars, </w:t>
      </w:r>
      <w:r w:rsidR="00B41AF3" w:rsidRPr="001153C5">
        <w:rPr>
          <w:rFonts w:ascii="Arial" w:hAnsi="Arial" w:cs="Arial"/>
        </w:rPr>
        <w:t>videos,</w:t>
      </w:r>
      <w:r w:rsidRPr="001153C5">
        <w:rPr>
          <w:rFonts w:ascii="Arial" w:hAnsi="Arial" w:cs="Arial"/>
        </w:rPr>
        <w:t xml:space="preserve"> and quizzes. (Tai, 2007). To ensure that an E Learning program is effective, there needs to be a clear understanding of what the skill gaps are within the organisation, to see what skills need to be improved. These skills should be ones that are aligned with the overall goals and priorities of Technivara. (Wienand, Wulfert and Hoang, 2024). The electronic materials that are created will need to be structured to the needs of the different hierarchical positions, within Technivara, as Team members and Managers will require access to different training programmes. (Noesgaard and Rikke Ørngreen, 2015). </w:t>
      </w:r>
    </w:p>
    <w:p w14:paraId="5E41EB8A" w14:textId="40BDF474" w:rsidR="00ED5E1A" w:rsidRPr="001153C5" w:rsidRDefault="006B53F5">
      <w:pPr>
        <w:spacing w:before="120" w:after="120"/>
        <w:rPr>
          <w:rFonts w:ascii="Arial" w:hAnsi="Arial" w:cs="Arial"/>
        </w:rPr>
      </w:pPr>
      <w:r w:rsidRPr="001153C5">
        <w:rPr>
          <w:rFonts w:ascii="Arial" w:hAnsi="Arial" w:cs="Arial"/>
        </w:rPr>
        <w:t xml:space="preserve">Some of the benefits of creating and supporting </w:t>
      </w:r>
      <w:r w:rsidR="00883C42" w:rsidRPr="001153C5">
        <w:rPr>
          <w:rFonts w:ascii="Arial" w:hAnsi="Arial" w:cs="Arial"/>
        </w:rPr>
        <w:t>E</w:t>
      </w:r>
      <w:r w:rsidRPr="001153C5">
        <w:rPr>
          <w:rFonts w:ascii="Arial" w:hAnsi="Arial" w:cs="Arial"/>
        </w:rPr>
        <w:t xml:space="preserve">-Learning include </w:t>
      </w:r>
      <w:r w:rsidR="00883C42" w:rsidRPr="001153C5">
        <w:rPr>
          <w:rFonts w:ascii="Arial" w:hAnsi="Arial" w:cs="Arial"/>
        </w:rPr>
        <w:t>quantitative</w:t>
      </w:r>
      <w:r w:rsidRPr="001153C5">
        <w:rPr>
          <w:rFonts w:ascii="Arial" w:hAnsi="Arial" w:cs="Arial"/>
        </w:rPr>
        <w:t xml:space="preserve"> data of who can complete the assessments (Noesgaard and Rikke Ørngreen,2015). This is useful for the People Practice department as it can create reports on where there are gaps in the skills and knowledge of </w:t>
      </w:r>
      <w:r w:rsidR="00883C42" w:rsidRPr="001153C5">
        <w:rPr>
          <w:rFonts w:ascii="Arial" w:hAnsi="Arial" w:cs="Arial"/>
        </w:rPr>
        <w:t>staff and</w:t>
      </w:r>
      <w:r w:rsidRPr="001153C5">
        <w:rPr>
          <w:rFonts w:ascii="Arial" w:hAnsi="Arial" w:cs="Arial"/>
        </w:rPr>
        <w:t xml:space="preserve"> so can implement intensive training programs based on the needs of Technivara and the weakness of skill of the employees and can then be rectified. A second benefit is that it is more cost effective </w:t>
      </w:r>
      <w:r w:rsidR="00883C42" w:rsidRPr="001153C5">
        <w:rPr>
          <w:rFonts w:ascii="Arial" w:hAnsi="Arial" w:cs="Arial"/>
        </w:rPr>
        <w:t>for</w:t>
      </w:r>
      <w:r w:rsidRPr="001153C5">
        <w:rPr>
          <w:rFonts w:ascii="Arial" w:hAnsi="Arial" w:cs="Arial"/>
        </w:rPr>
        <w:t xml:space="preserve"> Technivara as the training can reach a larger number of employees by giving all staff access to </w:t>
      </w:r>
      <w:r w:rsidR="006E66ED" w:rsidRPr="001153C5">
        <w:rPr>
          <w:rFonts w:ascii="Arial" w:hAnsi="Arial" w:cs="Arial"/>
        </w:rPr>
        <w:t>an E</w:t>
      </w:r>
      <w:r w:rsidRPr="001153C5">
        <w:rPr>
          <w:rFonts w:ascii="Arial" w:hAnsi="Arial" w:cs="Arial"/>
        </w:rPr>
        <w:t xml:space="preserve"> learning site (Jung, I. and Rha, I.2000). Other benefits include the increased pedagogical impact of the training as it is self-paced (Kanuka, 2006). By being self-paced, the training can fit in </w:t>
      </w:r>
      <w:r w:rsidR="00883C42" w:rsidRPr="001153C5">
        <w:rPr>
          <w:rFonts w:ascii="Arial" w:hAnsi="Arial" w:cs="Arial"/>
        </w:rPr>
        <w:t>with</w:t>
      </w:r>
      <w:r w:rsidRPr="001153C5">
        <w:rPr>
          <w:rFonts w:ascii="Arial" w:hAnsi="Arial" w:cs="Arial"/>
        </w:rPr>
        <w:t xml:space="preserve"> the work of the employees that needs to be completed, and so they are not losing as many working hours, and Technivara does not lose any working hours. </w:t>
      </w:r>
    </w:p>
    <w:p w14:paraId="21F5EA6C" w14:textId="177ACF02" w:rsidR="00ED5E1A" w:rsidRPr="001153C5" w:rsidRDefault="006B53F5">
      <w:pPr>
        <w:spacing w:before="120" w:after="120"/>
        <w:rPr>
          <w:rFonts w:ascii="Arial" w:hAnsi="Arial" w:cs="Arial"/>
        </w:rPr>
      </w:pPr>
      <w:r w:rsidRPr="001153C5">
        <w:rPr>
          <w:rFonts w:ascii="Arial" w:hAnsi="Arial" w:cs="Arial"/>
        </w:rPr>
        <w:t xml:space="preserve">However, there are some weaknesses to using E learning, such as access to a suitable internet connection for the courses </w:t>
      </w:r>
      <w:r w:rsidR="004B368D" w:rsidRPr="001153C5">
        <w:rPr>
          <w:rFonts w:ascii="Arial" w:hAnsi="Arial" w:cs="Arial"/>
        </w:rPr>
        <w:t>to be</w:t>
      </w:r>
      <w:r w:rsidRPr="001153C5">
        <w:rPr>
          <w:rFonts w:ascii="Arial" w:hAnsi="Arial" w:cs="Arial"/>
        </w:rPr>
        <w:t xml:space="preserve"> supported. (Srivastava, 2024). This can also cause inequalities among employees who work in different areas, such as staff who travel to different jobs. A second weakness to using an E learning platform is that there </w:t>
      </w:r>
      <w:r w:rsidRPr="001153C5">
        <w:rPr>
          <w:rFonts w:ascii="Arial" w:hAnsi="Arial" w:cs="Arial"/>
        </w:rPr>
        <w:lastRenderedPageBreak/>
        <w:t xml:space="preserve">is less collaborative learning approach (CIPD,2021a). Losing the collaborative approach means that employees cannot discuss their ideas with each other and gain a deep understanding. </w:t>
      </w:r>
    </w:p>
    <w:p w14:paraId="722EEA2D" w14:textId="097CF58E" w:rsidR="00ED5E1A" w:rsidRPr="001153C5" w:rsidRDefault="006B53F5">
      <w:pPr>
        <w:spacing w:before="120" w:after="120"/>
        <w:rPr>
          <w:rFonts w:ascii="Arial" w:hAnsi="Arial" w:cs="Arial"/>
        </w:rPr>
      </w:pPr>
      <w:r w:rsidRPr="001153C5">
        <w:rPr>
          <w:rFonts w:ascii="Arial" w:hAnsi="Arial" w:cs="Arial"/>
        </w:rPr>
        <w:t xml:space="preserve">To facilitate the creation of the e learning platform, a position within Technivira, </w:t>
      </w:r>
      <w:r w:rsidR="00883C42" w:rsidRPr="001153C5">
        <w:rPr>
          <w:rFonts w:ascii="Arial" w:hAnsi="Arial" w:cs="Arial"/>
        </w:rPr>
        <w:t>an E</w:t>
      </w:r>
      <w:r w:rsidRPr="001153C5">
        <w:rPr>
          <w:rFonts w:ascii="Arial" w:hAnsi="Arial" w:cs="Arial"/>
        </w:rPr>
        <w:t xml:space="preserve"> learning developer would have to be employed. The position would be continuous as there would need to be built and developed. Salary of an E Learning developer would be between £26,000 and £36,000 (Glassdoor, 2026)</w:t>
      </w:r>
    </w:p>
    <w:p w14:paraId="0CDAC25A" w14:textId="77777777" w:rsidR="00ED5E1A" w:rsidRPr="001153C5" w:rsidRDefault="006B53F5">
      <w:pPr>
        <w:spacing w:before="120" w:after="120"/>
        <w:rPr>
          <w:rFonts w:ascii="Arial" w:hAnsi="Arial" w:cs="Arial"/>
        </w:rPr>
      </w:pPr>
      <w:r w:rsidRPr="001153C5">
        <w:rPr>
          <w:rFonts w:ascii="Arial" w:hAnsi="Arial" w:cs="Arial"/>
        </w:rPr>
        <w:t xml:space="preserve">Depending on the experience of the developer. There would also be the cost of creating unique software, which can cost between £75,000 and £500,000 depending on the complexity of the software (Hubken Group, 2025). </w:t>
      </w:r>
    </w:p>
    <w:p w14:paraId="3F5EAFDE" w14:textId="77777777" w:rsidR="00ED5E1A" w:rsidRPr="001153C5" w:rsidRDefault="00ED5E1A">
      <w:pPr>
        <w:spacing w:before="120" w:after="120"/>
        <w:rPr>
          <w:rFonts w:ascii="Arial" w:hAnsi="Arial" w:cs="Arial"/>
        </w:rPr>
      </w:pPr>
    </w:p>
    <w:p w14:paraId="2E8DA1D4" w14:textId="77777777" w:rsidR="00ED5E1A" w:rsidRPr="001153C5" w:rsidRDefault="006B53F5">
      <w:pPr>
        <w:spacing w:before="120" w:after="120"/>
        <w:rPr>
          <w:rFonts w:ascii="Arial" w:hAnsi="Arial" w:cs="Arial"/>
        </w:rPr>
      </w:pPr>
      <w:r w:rsidRPr="001153C5">
        <w:rPr>
          <w:rFonts w:ascii="Arial" w:hAnsi="Arial" w:cs="Arial"/>
        </w:rPr>
        <w:t xml:space="preserve">To conclude, from the data, there is a need for a change within the Learning and Development department. The two recommendations that have been suggested can be used together, in conjunction, to support the growth of the skills of the employees at Technivara. </w:t>
      </w:r>
    </w:p>
    <w:p w14:paraId="0A86151D" w14:textId="77777777" w:rsidR="00ED5E1A" w:rsidRPr="001153C5" w:rsidRDefault="00ED5E1A">
      <w:pPr>
        <w:spacing w:before="120" w:after="120"/>
        <w:rPr>
          <w:rFonts w:ascii="Arial" w:hAnsi="Arial" w:cs="Arial"/>
        </w:rPr>
      </w:pPr>
    </w:p>
    <w:p w14:paraId="6654E0A9" w14:textId="77777777" w:rsidR="00ED5E1A" w:rsidRPr="00D310D1" w:rsidRDefault="00ED5E1A">
      <w:pPr>
        <w:spacing w:before="120" w:after="120"/>
        <w:rPr>
          <w:rFonts w:ascii="Arial" w:hAnsi="Arial" w:cs="Arial"/>
        </w:rPr>
      </w:pPr>
    </w:p>
    <w:p w14:paraId="4D8EDC20" w14:textId="77777777" w:rsidR="008E2F77" w:rsidRPr="008E2F77" w:rsidRDefault="008E2F77" w:rsidP="008E2F77">
      <w:pPr>
        <w:spacing w:before="120" w:after="120"/>
        <w:rPr>
          <w:rFonts w:ascii="Arial" w:hAnsi="Arial" w:cs="Arial"/>
          <w:b/>
          <w:bCs/>
        </w:rPr>
      </w:pPr>
      <w:r w:rsidRPr="008E2F77">
        <w:rPr>
          <w:rFonts w:ascii="Arial" w:hAnsi="Arial" w:cs="Arial"/>
          <w:b/>
          <w:bCs/>
        </w:rPr>
        <w:t>Reference list</w:t>
      </w:r>
    </w:p>
    <w:p w14:paraId="7C9F94E8" w14:textId="77777777" w:rsidR="008E2F77" w:rsidRPr="008E2F77" w:rsidRDefault="008E2F77" w:rsidP="008E2F77">
      <w:pPr>
        <w:spacing w:before="120" w:after="120"/>
        <w:rPr>
          <w:rFonts w:ascii="Arial" w:hAnsi="Arial" w:cs="Arial"/>
        </w:rPr>
      </w:pPr>
      <w:r w:rsidRPr="008E2F77">
        <w:rPr>
          <w:rFonts w:ascii="Arial" w:hAnsi="Arial" w:cs="Arial"/>
        </w:rPr>
        <w:t xml:space="preserve">Agius, S.J. (2018) ‘Qualitative research: its value and applicability’, </w:t>
      </w:r>
      <w:r w:rsidRPr="008E2F77">
        <w:rPr>
          <w:rFonts w:ascii="Arial" w:hAnsi="Arial" w:cs="Arial"/>
          <w:i/>
          <w:iCs/>
        </w:rPr>
        <w:t>The Psychiatrist</w:t>
      </w:r>
      <w:r w:rsidRPr="008E2F77">
        <w:rPr>
          <w:rFonts w:ascii="Arial" w:hAnsi="Arial" w:cs="Arial"/>
        </w:rPr>
        <w:t>, 37(6), pp. 204–206. Available at: https://doi.org/10.1192/pb.bp.113.042770.</w:t>
      </w:r>
    </w:p>
    <w:p w14:paraId="11208DF5" w14:textId="77777777" w:rsidR="008E2F77" w:rsidRPr="008E2F77" w:rsidRDefault="008E2F77" w:rsidP="008E2F77">
      <w:pPr>
        <w:spacing w:before="120" w:after="120"/>
        <w:rPr>
          <w:rFonts w:ascii="Arial" w:hAnsi="Arial" w:cs="Arial"/>
        </w:rPr>
      </w:pPr>
      <w:r w:rsidRPr="008E2F77">
        <w:rPr>
          <w:rFonts w:ascii="Arial" w:hAnsi="Arial" w:cs="Arial"/>
        </w:rPr>
        <w:t xml:space="preserve">a { text-decoration: none; color: #464feb; } tr th, tr td { border: 1px solid #e6e6e6; } tr th { background-color: #f5f5f5; } Howlett, W. &amp; Coburn, T. (2019) </w:t>
      </w:r>
      <w:r w:rsidRPr="008E2F77">
        <w:rPr>
          <w:rFonts w:ascii="Arial" w:hAnsi="Arial" w:cs="Arial"/>
          <w:i/>
          <w:iCs/>
        </w:rPr>
        <w:t>Podcast 154: Critical Thinking</w:t>
      </w:r>
      <w:r w:rsidRPr="008E2F77">
        <w:rPr>
          <w:rFonts w:ascii="Arial" w:hAnsi="Arial" w:cs="Arial"/>
        </w:rPr>
        <w:t xml:space="preserve"> [podcast], CIPD, 5 November. Available at: https://soundcloud.com/cipd/podcast-154-critical-thinking (Accessed: 5 January 2026) </w:t>
      </w:r>
    </w:p>
    <w:p w14:paraId="28F2A548" w14:textId="77777777" w:rsidR="008E2F77" w:rsidRPr="008E2F77" w:rsidRDefault="008E2F77" w:rsidP="008E2F77">
      <w:pPr>
        <w:spacing w:before="120" w:after="120"/>
        <w:rPr>
          <w:rFonts w:ascii="Arial" w:hAnsi="Arial" w:cs="Arial"/>
        </w:rPr>
      </w:pPr>
      <w:r w:rsidRPr="008E2F77">
        <w:rPr>
          <w:rFonts w:ascii="Arial" w:hAnsi="Arial" w:cs="Arial"/>
        </w:rPr>
        <w:t xml:space="preserve">Barnes, M. and Barnes, M. (2025) </w:t>
      </w:r>
      <w:r w:rsidRPr="008E2F77">
        <w:rPr>
          <w:rFonts w:ascii="Arial" w:hAnsi="Arial" w:cs="Arial"/>
          <w:i/>
          <w:iCs/>
        </w:rPr>
        <w:t>In-house training vs. outsourcing: A breakdown of pros and cons -</w:t>
      </w:r>
      <w:r w:rsidRPr="008E2F77">
        <w:rPr>
          <w:rFonts w:ascii="Arial" w:hAnsi="Arial" w:cs="Arial"/>
        </w:rPr>
        <w:t xml:space="preserve">, </w:t>
      </w:r>
      <w:r w:rsidRPr="008E2F77">
        <w:rPr>
          <w:rFonts w:ascii="Arial" w:hAnsi="Arial" w:cs="Arial"/>
          <w:i/>
          <w:iCs/>
        </w:rPr>
        <w:t>- Daily insights for people development professionals to transform workplace learning and performance together</w:t>
      </w:r>
      <w:r w:rsidRPr="008E2F77">
        <w:rPr>
          <w:rFonts w:ascii="Arial" w:hAnsi="Arial" w:cs="Arial"/>
        </w:rPr>
        <w:t>. Available at: https://www.trainingjournal.com/2025/content-type/opinion/in-house-training-vs-outsourcing-a-breakdown-of-pros-and-cons/.</w:t>
      </w:r>
    </w:p>
    <w:p w14:paraId="7FBB7440" w14:textId="77777777" w:rsidR="008E2F77" w:rsidRPr="008E2F77" w:rsidRDefault="008E2F77" w:rsidP="008E2F77">
      <w:pPr>
        <w:spacing w:before="120" w:after="120"/>
        <w:rPr>
          <w:rFonts w:ascii="Arial" w:hAnsi="Arial" w:cs="Arial"/>
        </w:rPr>
      </w:pPr>
      <w:r w:rsidRPr="008E2F77">
        <w:rPr>
          <w:rFonts w:ascii="Arial" w:hAnsi="Arial" w:cs="Arial"/>
        </w:rPr>
        <w:t xml:space="preserve">Bhardwaj, P. and Singh, N. (2024) ‘Ethical Considerations in HR Decision Making: Balancing Organizational Interests with Employee Rights’, </w:t>
      </w:r>
      <w:r w:rsidRPr="008E2F77">
        <w:rPr>
          <w:rFonts w:ascii="Arial" w:hAnsi="Arial" w:cs="Arial"/>
          <w:i/>
          <w:iCs/>
        </w:rPr>
        <w:t>IJFMR240218842</w:t>
      </w:r>
      <w:r w:rsidRPr="008E2F77">
        <w:rPr>
          <w:rFonts w:ascii="Arial" w:hAnsi="Arial" w:cs="Arial"/>
        </w:rPr>
        <w:t>, 6(2). Available at: https://www.ijfmr.com/papers/2024/2/18842.pdf.</w:t>
      </w:r>
    </w:p>
    <w:p w14:paraId="5567A4D3" w14:textId="77777777" w:rsidR="008E2F77" w:rsidRPr="008E2F77" w:rsidRDefault="008E2F77" w:rsidP="008E2F77">
      <w:pPr>
        <w:spacing w:before="120" w:after="120"/>
        <w:rPr>
          <w:rFonts w:ascii="Arial" w:hAnsi="Arial" w:cs="Arial"/>
        </w:rPr>
      </w:pPr>
      <w:r w:rsidRPr="008E2F77">
        <w:rPr>
          <w:rFonts w:ascii="Arial" w:hAnsi="Arial" w:cs="Arial"/>
        </w:rPr>
        <w:t xml:space="preserve">Boatman, A. (2024) </w:t>
      </w:r>
      <w:r w:rsidRPr="008E2F77">
        <w:rPr>
          <w:rFonts w:ascii="Arial" w:hAnsi="Arial" w:cs="Arial"/>
          <w:i/>
          <w:iCs/>
        </w:rPr>
        <w:t>What Is Evidence-Based HR? Examples, Benefits, and Process</w:t>
      </w:r>
      <w:r w:rsidRPr="008E2F77">
        <w:rPr>
          <w:rFonts w:ascii="Arial" w:hAnsi="Arial" w:cs="Arial"/>
        </w:rPr>
        <w:t xml:space="preserve">, </w:t>
      </w:r>
      <w:r w:rsidRPr="008E2F77">
        <w:rPr>
          <w:rFonts w:ascii="Arial" w:hAnsi="Arial" w:cs="Arial"/>
          <w:i/>
          <w:iCs/>
        </w:rPr>
        <w:t>AIHR</w:t>
      </w:r>
      <w:r w:rsidRPr="008E2F77">
        <w:rPr>
          <w:rFonts w:ascii="Arial" w:hAnsi="Arial" w:cs="Arial"/>
        </w:rPr>
        <w:t>. Available at: https://www.aihr.com/blog/evidence-based-hr/.</w:t>
      </w:r>
    </w:p>
    <w:p w14:paraId="042B09F3" w14:textId="77777777" w:rsidR="008E2F77" w:rsidRPr="008E2F77" w:rsidRDefault="008E2F77" w:rsidP="008E2F77">
      <w:pPr>
        <w:spacing w:before="120" w:after="120"/>
        <w:rPr>
          <w:rFonts w:ascii="Arial" w:hAnsi="Arial" w:cs="Arial"/>
        </w:rPr>
      </w:pPr>
      <w:r w:rsidRPr="008E2F77">
        <w:rPr>
          <w:rFonts w:ascii="Arial" w:hAnsi="Arial" w:cs="Arial"/>
        </w:rPr>
        <w:t xml:space="preserve">Boselie, P. (2024) </w:t>
      </w:r>
      <w:r w:rsidRPr="008E2F77">
        <w:rPr>
          <w:rFonts w:ascii="Arial" w:hAnsi="Arial" w:cs="Arial"/>
          <w:i/>
          <w:iCs/>
        </w:rPr>
        <w:t>Strategic human resource management : a balanced approach</w:t>
      </w:r>
      <w:r w:rsidRPr="008E2F77">
        <w:rPr>
          <w:rFonts w:ascii="Arial" w:hAnsi="Arial" w:cs="Arial"/>
        </w:rPr>
        <w:t>. 2nd edn. Mcgraw-Hill Education.</w:t>
      </w:r>
    </w:p>
    <w:p w14:paraId="022953D9" w14:textId="77777777" w:rsidR="008E2F77" w:rsidRPr="008E2F77" w:rsidRDefault="008E2F77" w:rsidP="008E2F77">
      <w:pPr>
        <w:spacing w:before="120" w:after="120"/>
        <w:rPr>
          <w:rFonts w:ascii="Arial" w:hAnsi="Arial" w:cs="Arial"/>
        </w:rPr>
      </w:pPr>
      <w:r w:rsidRPr="008E2F77">
        <w:rPr>
          <w:rFonts w:ascii="Arial" w:hAnsi="Arial" w:cs="Arial"/>
        </w:rPr>
        <w:t xml:space="preserve">Britannica (2025) ‘Deontological Ethics’, </w:t>
      </w:r>
      <w:r w:rsidRPr="008E2F77">
        <w:rPr>
          <w:rFonts w:ascii="Arial" w:hAnsi="Arial" w:cs="Arial"/>
          <w:i/>
          <w:iCs/>
        </w:rPr>
        <w:t>Encyclopædia Britannica</w:t>
      </w:r>
      <w:r w:rsidRPr="008E2F77">
        <w:rPr>
          <w:rFonts w:ascii="Arial" w:hAnsi="Arial" w:cs="Arial"/>
        </w:rPr>
        <w:t>. Available at: https://www.britannica.com/topic/deontological-ethics.</w:t>
      </w:r>
    </w:p>
    <w:p w14:paraId="06825186" w14:textId="77777777" w:rsidR="008E2F77" w:rsidRPr="008E2F77" w:rsidRDefault="008E2F77" w:rsidP="008E2F77">
      <w:pPr>
        <w:spacing w:before="120" w:after="120"/>
        <w:rPr>
          <w:rFonts w:ascii="Arial" w:hAnsi="Arial" w:cs="Arial"/>
        </w:rPr>
      </w:pPr>
      <w:r w:rsidRPr="008E2F77">
        <w:rPr>
          <w:rFonts w:ascii="Arial" w:hAnsi="Arial" w:cs="Arial"/>
        </w:rPr>
        <w:t xml:space="preserve">Burke, E. (2022) ‘People and the creation of value’, </w:t>
      </w:r>
      <w:r w:rsidRPr="008E2F77">
        <w:rPr>
          <w:rFonts w:ascii="Arial" w:hAnsi="Arial" w:cs="Arial"/>
          <w:i/>
          <w:iCs/>
        </w:rPr>
        <w:t>Data Intelligence</w:t>
      </w:r>
      <w:r w:rsidRPr="008E2F77">
        <w:rPr>
          <w:rFonts w:ascii="Arial" w:hAnsi="Arial" w:cs="Arial"/>
        </w:rPr>
        <w:t>, 4(4), pp. 1033–1054. Available at: https://www.bell-</w:t>
      </w:r>
      <w:r w:rsidRPr="008E2F77">
        <w:rPr>
          <w:rFonts w:ascii="Arial" w:hAnsi="Arial" w:cs="Arial"/>
        </w:rPr>
        <w:lastRenderedPageBreak/>
        <w:t>foundation.org.uk/app/uploads/2018/02/Educational-Outcomes-of-Children-with-EAL.pdf?_gl=1.</w:t>
      </w:r>
    </w:p>
    <w:p w14:paraId="507E432B" w14:textId="77777777" w:rsidR="008E2F77" w:rsidRPr="008E2F77" w:rsidRDefault="008E2F77" w:rsidP="008E2F77">
      <w:pPr>
        <w:spacing w:before="120" w:after="120"/>
        <w:rPr>
          <w:rFonts w:ascii="Arial" w:hAnsi="Arial" w:cs="Arial"/>
        </w:rPr>
      </w:pPr>
      <w:r w:rsidRPr="008E2F77">
        <w:rPr>
          <w:rFonts w:ascii="Arial" w:hAnsi="Arial" w:cs="Arial"/>
        </w:rPr>
        <w:t xml:space="preserve">Căpusneanu, S. and Topor, D.I. (2018) ‘Business Ethics and Cost Management in SMEs’, </w:t>
      </w:r>
      <w:r w:rsidRPr="008E2F77">
        <w:rPr>
          <w:rFonts w:ascii="Arial" w:hAnsi="Arial" w:cs="Arial"/>
          <w:i/>
          <w:iCs/>
        </w:rPr>
        <w:t>Advances in Business Strategy and Competitive Advantage</w:t>
      </w:r>
      <w:r w:rsidRPr="008E2F77">
        <w:rPr>
          <w:rFonts w:ascii="Arial" w:hAnsi="Arial" w:cs="Arial"/>
        </w:rPr>
        <w:t>, pp. 109–127. Available at: https://doi.org/10.4018/978-1-5225-3773-1.ch007.</w:t>
      </w:r>
    </w:p>
    <w:p w14:paraId="16E3B004" w14:textId="77777777" w:rsidR="008E2F77" w:rsidRPr="008E2F77" w:rsidRDefault="008E2F77" w:rsidP="008E2F77">
      <w:pPr>
        <w:spacing w:before="120" w:after="120"/>
        <w:rPr>
          <w:rFonts w:ascii="Arial" w:hAnsi="Arial" w:cs="Arial"/>
        </w:rPr>
      </w:pPr>
      <w:r w:rsidRPr="008E2F77">
        <w:rPr>
          <w:rFonts w:ascii="Arial" w:hAnsi="Arial" w:cs="Arial"/>
        </w:rPr>
        <w:t xml:space="preserve">Choy, L.T. (2014) ‘The strengths and weaknesses of research methodology: Comparison and complimentary between qualitative and quantitative approaches’, </w:t>
      </w:r>
      <w:r w:rsidRPr="008E2F77">
        <w:rPr>
          <w:rFonts w:ascii="Arial" w:hAnsi="Arial" w:cs="Arial"/>
          <w:i/>
          <w:iCs/>
        </w:rPr>
        <w:t>IOSR Journal of Humanities and Social Science</w:t>
      </w:r>
      <w:r w:rsidRPr="008E2F77">
        <w:rPr>
          <w:rFonts w:ascii="Arial" w:hAnsi="Arial" w:cs="Arial"/>
        </w:rPr>
        <w:t>, 19(4), pp. 99–104. Available at: https://iosrjournals.org/iosr-jhss/papers/Vol19-issue4/Version-3/N0194399104.pdf.</w:t>
      </w:r>
    </w:p>
    <w:p w14:paraId="37E4471F" w14:textId="77777777" w:rsidR="008E2F77" w:rsidRPr="008E2F77" w:rsidRDefault="008E2F77" w:rsidP="008E2F77">
      <w:pPr>
        <w:spacing w:before="120" w:after="120"/>
        <w:rPr>
          <w:rFonts w:ascii="Arial" w:hAnsi="Arial" w:cs="Arial"/>
        </w:rPr>
      </w:pPr>
      <w:r w:rsidRPr="008E2F77">
        <w:rPr>
          <w:rFonts w:ascii="Arial" w:hAnsi="Arial" w:cs="Arial"/>
        </w:rPr>
        <w:t xml:space="preserve">CIPD (2021a) </w:t>
      </w:r>
      <w:r w:rsidRPr="008E2F77">
        <w:rPr>
          <w:rFonts w:ascii="Arial" w:hAnsi="Arial" w:cs="Arial"/>
          <w:i/>
          <w:iCs/>
        </w:rPr>
        <w:t>CIPD | Digital learning in a post-COVID-19 economy</w:t>
      </w:r>
      <w:r w:rsidRPr="008E2F77">
        <w:rPr>
          <w:rFonts w:ascii="Arial" w:hAnsi="Arial" w:cs="Arial"/>
        </w:rPr>
        <w:t xml:space="preserve">, </w:t>
      </w:r>
      <w:r w:rsidRPr="008E2F77">
        <w:rPr>
          <w:rFonts w:ascii="Arial" w:hAnsi="Arial" w:cs="Arial"/>
          <w:i/>
          <w:iCs/>
        </w:rPr>
        <w:t>CIPD</w:t>
      </w:r>
      <w:r w:rsidRPr="008E2F77">
        <w:rPr>
          <w:rFonts w:ascii="Arial" w:hAnsi="Arial" w:cs="Arial"/>
        </w:rPr>
        <w:t>. Available at: https://www.cipd.org/uk/knowledge/reports/digital-learning-post-covid/.</w:t>
      </w:r>
    </w:p>
    <w:p w14:paraId="4B89368B" w14:textId="77777777" w:rsidR="008E2F77" w:rsidRPr="008E2F77" w:rsidRDefault="008E2F77" w:rsidP="008E2F77">
      <w:pPr>
        <w:spacing w:before="120" w:after="120"/>
        <w:rPr>
          <w:rFonts w:ascii="Arial" w:hAnsi="Arial" w:cs="Arial"/>
        </w:rPr>
      </w:pPr>
      <w:r w:rsidRPr="008E2F77">
        <w:rPr>
          <w:rFonts w:ascii="Arial" w:hAnsi="Arial" w:cs="Arial"/>
        </w:rPr>
        <w:t xml:space="preserve">CIPD (2021b) </w:t>
      </w:r>
      <w:r w:rsidRPr="008E2F77">
        <w:rPr>
          <w:rFonts w:ascii="Arial" w:hAnsi="Arial" w:cs="Arial"/>
          <w:i/>
          <w:iCs/>
        </w:rPr>
        <w:t>Getting Started with People Analytics</w:t>
      </w:r>
      <w:r w:rsidRPr="008E2F77">
        <w:rPr>
          <w:rFonts w:ascii="Arial" w:hAnsi="Arial" w:cs="Arial"/>
        </w:rPr>
        <w:t xml:space="preserve">, </w:t>
      </w:r>
      <w:r w:rsidRPr="008E2F77">
        <w:rPr>
          <w:rFonts w:ascii="Arial" w:hAnsi="Arial" w:cs="Arial"/>
          <w:i/>
          <w:iCs/>
        </w:rPr>
        <w:t>CIPD</w:t>
      </w:r>
      <w:r w:rsidRPr="008E2F77">
        <w:rPr>
          <w:rFonts w:ascii="Arial" w:hAnsi="Arial" w:cs="Arial"/>
        </w:rPr>
        <w:t>. Available at: https://www.cipd.org/uk/knowledge/guides/analytics-practitioner-guide/.</w:t>
      </w:r>
    </w:p>
    <w:p w14:paraId="69FE5ADE" w14:textId="77777777" w:rsidR="008E2F77" w:rsidRPr="008E2F77" w:rsidRDefault="008E2F77" w:rsidP="008E2F77">
      <w:pPr>
        <w:spacing w:before="120" w:after="120"/>
        <w:rPr>
          <w:rFonts w:ascii="Arial" w:hAnsi="Arial" w:cs="Arial"/>
        </w:rPr>
      </w:pPr>
      <w:r w:rsidRPr="008E2F77">
        <w:rPr>
          <w:rFonts w:ascii="Arial" w:hAnsi="Arial" w:cs="Arial"/>
        </w:rPr>
        <w:t xml:space="preserve">CIPD (2022a) </w:t>
      </w:r>
      <w:r w:rsidRPr="008E2F77">
        <w:rPr>
          <w:rFonts w:ascii="Arial" w:hAnsi="Arial" w:cs="Arial"/>
          <w:i/>
          <w:iCs/>
        </w:rPr>
        <w:t>CIPD | People Analytics | Factsheets</w:t>
      </w:r>
      <w:r w:rsidRPr="008E2F77">
        <w:rPr>
          <w:rFonts w:ascii="Arial" w:hAnsi="Arial" w:cs="Arial"/>
        </w:rPr>
        <w:t xml:space="preserve">, </w:t>
      </w:r>
      <w:r w:rsidRPr="008E2F77">
        <w:rPr>
          <w:rFonts w:ascii="Arial" w:hAnsi="Arial" w:cs="Arial"/>
          <w:i/>
          <w:iCs/>
        </w:rPr>
        <w:t>CIPD</w:t>
      </w:r>
      <w:r w:rsidRPr="008E2F77">
        <w:rPr>
          <w:rFonts w:ascii="Arial" w:hAnsi="Arial" w:cs="Arial"/>
        </w:rPr>
        <w:t>. Available at: https://www.cipd.org/uk/knowledge/factsheets/analytics-factsheet/#three.</w:t>
      </w:r>
    </w:p>
    <w:p w14:paraId="5DF0F7D3" w14:textId="77777777" w:rsidR="008E2F77" w:rsidRPr="008E2F77" w:rsidRDefault="008E2F77" w:rsidP="008E2F77">
      <w:pPr>
        <w:spacing w:before="120" w:after="120"/>
        <w:rPr>
          <w:rFonts w:ascii="Arial" w:hAnsi="Arial" w:cs="Arial"/>
        </w:rPr>
      </w:pPr>
      <w:r w:rsidRPr="008E2F77">
        <w:rPr>
          <w:rFonts w:ascii="Arial" w:hAnsi="Arial" w:cs="Arial"/>
        </w:rPr>
        <w:t xml:space="preserve">CIPD (2022b) </w:t>
      </w:r>
      <w:r w:rsidRPr="008E2F77">
        <w:rPr>
          <w:rFonts w:ascii="Arial" w:hAnsi="Arial" w:cs="Arial"/>
          <w:i/>
          <w:iCs/>
        </w:rPr>
        <w:t>Evidence-based L&amp;D: measuring learning transfer | Podcast</w:t>
      </w:r>
      <w:r w:rsidRPr="008E2F77">
        <w:rPr>
          <w:rFonts w:ascii="Arial" w:hAnsi="Arial" w:cs="Arial"/>
        </w:rPr>
        <w:t xml:space="preserve">, </w:t>
      </w:r>
      <w:r w:rsidRPr="008E2F77">
        <w:rPr>
          <w:rFonts w:ascii="Arial" w:hAnsi="Arial" w:cs="Arial"/>
          <w:i/>
          <w:iCs/>
        </w:rPr>
        <w:t>CIPD</w:t>
      </w:r>
      <w:r w:rsidRPr="008E2F77">
        <w:rPr>
          <w:rFonts w:ascii="Arial" w:hAnsi="Arial" w:cs="Arial"/>
        </w:rPr>
        <w:t>. Available at: https://www.cipd.org/uk/knowledge/podcasts/transfer-of-learning/.</w:t>
      </w:r>
    </w:p>
    <w:p w14:paraId="00603931" w14:textId="77777777" w:rsidR="008E2F77" w:rsidRPr="008E2F77" w:rsidRDefault="008E2F77" w:rsidP="008E2F77">
      <w:pPr>
        <w:spacing w:before="120" w:after="120"/>
        <w:rPr>
          <w:rFonts w:ascii="Arial" w:hAnsi="Arial" w:cs="Arial"/>
        </w:rPr>
      </w:pPr>
      <w:r w:rsidRPr="008E2F77">
        <w:rPr>
          <w:rFonts w:ascii="Arial" w:hAnsi="Arial" w:cs="Arial"/>
        </w:rPr>
        <w:t xml:space="preserve">CIPD (2025a) </w:t>
      </w:r>
      <w:r w:rsidRPr="008E2F77">
        <w:rPr>
          <w:rFonts w:ascii="Arial" w:hAnsi="Arial" w:cs="Arial"/>
          <w:i/>
          <w:iCs/>
        </w:rPr>
        <w:t>CIPD | Evidence-based Practice for Effective decision-making | Factsheets</w:t>
      </w:r>
      <w:r w:rsidRPr="008E2F77">
        <w:rPr>
          <w:rFonts w:ascii="Arial" w:hAnsi="Arial" w:cs="Arial"/>
        </w:rPr>
        <w:t xml:space="preserve">, </w:t>
      </w:r>
      <w:r w:rsidRPr="008E2F77">
        <w:rPr>
          <w:rFonts w:ascii="Arial" w:hAnsi="Arial" w:cs="Arial"/>
          <w:i/>
          <w:iCs/>
        </w:rPr>
        <w:t>CIPD</w:t>
      </w:r>
      <w:r w:rsidRPr="008E2F77">
        <w:rPr>
          <w:rFonts w:ascii="Arial" w:hAnsi="Arial" w:cs="Arial"/>
        </w:rPr>
        <w:t>. CIPD. Available at: https://www.cipd.org/uk/knowledge/factsheets/evidence-based-practice-factsheet/.</w:t>
      </w:r>
    </w:p>
    <w:p w14:paraId="067EB09F" w14:textId="77777777" w:rsidR="008E2F77" w:rsidRPr="008E2F77" w:rsidRDefault="008E2F77" w:rsidP="008E2F77">
      <w:pPr>
        <w:spacing w:before="120" w:after="120"/>
        <w:rPr>
          <w:rFonts w:ascii="Arial" w:hAnsi="Arial" w:cs="Arial"/>
        </w:rPr>
      </w:pPr>
      <w:r w:rsidRPr="008E2F77">
        <w:rPr>
          <w:rFonts w:ascii="Arial" w:hAnsi="Arial" w:cs="Arial"/>
        </w:rPr>
        <w:t xml:space="preserve">CIPD (2025b) </w:t>
      </w:r>
      <w:r w:rsidRPr="008E2F77">
        <w:rPr>
          <w:rFonts w:ascii="Arial" w:hAnsi="Arial" w:cs="Arial"/>
          <w:i/>
          <w:iCs/>
        </w:rPr>
        <w:t>CIPD | PESTLE Analysis</w:t>
      </w:r>
      <w:r w:rsidRPr="008E2F77">
        <w:rPr>
          <w:rFonts w:ascii="Arial" w:hAnsi="Arial" w:cs="Arial"/>
        </w:rPr>
        <w:t xml:space="preserve">, </w:t>
      </w:r>
      <w:r w:rsidRPr="008E2F77">
        <w:rPr>
          <w:rFonts w:ascii="Arial" w:hAnsi="Arial" w:cs="Arial"/>
          <w:i/>
          <w:iCs/>
        </w:rPr>
        <w:t>CIPD</w:t>
      </w:r>
      <w:r w:rsidRPr="008E2F77">
        <w:rPr>
          <w:rFonts w:ascii="Arial" w:hAnsi="Arial" w:cs="Arial"/>
        </w:rPr>
        <w:t>. Available at: https://www.cipd.org/uk/knowledge/factsheets/pestle-analysis-factsheet/#advantages-and-disadvantages-of-a-pestle-analysis.</w:t>
      </w:r>
    </w:p>
    <w:p w14:paraId="454A707F" w14:textId="77777777" w:rsidR="008E2F77" w:rsidRPr="008E2F77" w:rsidRDefault="008E2F77" w:rsidP="008E2F77">
      <w:pPr>
        <w:spacing w:before="120" w:after="120"/>
        <w:rPr>
          <w:rFonts w:ascii="Arial" w:hAnsi="Arial" w:cs="Arial"/>
        </w:rPr>
      </w:pPr>
      <w:r w:rsidRPr="008E2F77">
        <w:rPr>
          <w:rFonts w:ascii="Arial" w:hAnsi="Arial" w:cs="Arial"/>
        </w:rPr>
        <w:t xml:space="preserve">CIPD (2025c) </w:t>
      </w:r>
      <w:r w:rsidRPr="008E2F77">
        <w:rPr>
          <w:rFonts w:ascii="Arial" w:hAnsi="Arial" w:cs="Arial"/>
          <w:i/>
          <w:iCs/>
        </w:rPr>
        <w:t>Employee Turnover &amp; Retention | Factsheets</w:t>
      </w:r>
      <w:r w:rsidRPr="008E2F77">
        <w:rPr>
          <w:rFonts w:ascii="Arial" w:hAnsi="Arial" w:cs="Arial"/>
        </w:rPr>
        <w:t xml:space="preserve">, </w:t>
      </w:r>
      <w:r w:rsidRPr="008E2F77">
        <w:rPr>
          <w:rFonts w:ascii="Arial" w:hAnsi="Arial" w:cs="Arial"/>
          <w:i/>
          <w:iCs/>
        </w:rPr>
        <w:t>CIPD</w:t>
      </w:r>
      <w:r w:rsidRPr="008E2F77">
        <w:rPr>
          <w:rFonts w:ascii="Arial" w:hAnsi="Arial" w:cs="Arial"/>
        </w:rPr>
        <w:t>. Available at: https://www.cipd.org/uk/knowledge/factsheets/turnover-retention-factsheet/.</w:t>
      </w:r>
    </w:p>
    <w:p w14:paraId="53CA8AD8" w14:textId="77777777" w:rsidR="008E2F77" w:rsidRPr="008E2F77" w:rsidRDefault="008E2F77" w:rsidP="008E2F77">
      <w:pPr>
        <w:spacing w:before="120" w:after="120"/>
        <w:rPr>
          <w:rFonts w:ascii="Arial" w:hAnsi="Arial" w:cs="Arial"/>
        </w:rPr>
      </w:pPr>
      <w:r w:rsidRPr="008E2F77">
        <w:rPr>
          <w:rFonts w:ascii="Arial" w:hAnsi="Arial" w:cs="Arial"/>
        </w:rPr>
        <w:t xml:space="preserve">CIPD (2025d) </w:t>
      </w:r>
      <w:r w:rsidRPr="008E2F77">
        <w:rPr>
          <w:rFonts w:ascii="Arial" w:hAnsi="Arial" w:cs="Arial"/>
          <w:i/>
          <w:iCs/>
        </w:rPr>
        <w:t>Evidence-based HR: Make better decisions and step up your influence</w:t>
      </w:r>
      <w:r w:rsidRPr="008E2F77">
        <w:rPr>
          <w:rFonts w:ascii="Arial" w:hAnsi="Arial" w:cs="Arial"/>
        </w:rPr>
        <w:t xml:space="preserve">, </w:t>
      </w:r>
      <w:r w:rsidRPr="008E2F77">
        <w:rPr>
          <w:rFonts w:ascii="Arial" w:hAnsi="Arial" w:cs="Arial"/>
          <w:i/>
          <w:iCs/>
        </w:rPr>
        <w:t>CIPD</w:t>
      </w:r>
      <w:r w:rsidRPr="008E2F77">
        <w:rPr>
          <w:rFonts w:ascii="Arial" w:hAnsi="Arial" w:cs="Arial"/>
        </w:rPr>
        <w:t>. Available at: https://www.cipd.org/uk/knowledge/guides/evidence-based-profession/.</w:t>
      </w:r>
    </w:p>
    <w:p w14:paraId="1C3D57D6" w14:textId="77777777" w:rsidR="008E2F77" w:rsidRPr="008E2F77" w:rsidRDefault="008E2F77" w:rsidP="008E2F77">
      <w:pPr>
        <w:spacing w:before="120" w:after="120"/>
        <w:rPr>
          <w:rFonts w:ascii="Arial" w:hAnsi="Arial" w:cs="Arial"/>
        </w:rPr>
      </w:pPr>
      <w:r w:rsidRPr="008E2F77">
        <w:rPr>
          <w:rFonts w:ascii="Arial" w:hAnsi="Arial" w:cs="Arial"/>
        </w:rPr>
        <w:t xml:space="preserve">CIPD (2025e) </w:t>
      </w:r>
      <w:r w:rsidRPr="008E2F77">
        <w:rPr>
          <w:rFonts w:ascii="Arial" w:hAnsi="Arial" w:cs="Arial"/>
          <w:i/>
          <w:iCs/>
        </w:rPr>
        <w:t>People Analytics</w:t>
      </w:r>
      <w:r w:rsidRPr="008E2F77">
        <w:rPr>
          <w:rFonts w:ascii="Arial" w:hAnsi="Arial" w:cs="Arial"/>
        </w:rPr>
        <w:t xml:space="preserve">, </w:t>
      </w:r>
      <w:r w:rsidRPr="008E2F77">
        <w:rPr>
          <w:rFonts w:ascii="Arial" w:hAnsi="Arial" w:cs="Arial"/>
          <w:i/>
          <w:iCs/>
        </w:rPr>
        <w:t>www.cipd.org</w:t>
      </w:r>
      <w:r w:rsidRPr="008E2F77">
        <w:rPr>
          <w:rFonts w:ascii="Arial" w:hAnsi="Arial" w:cs="Arial"/>
        </w:rPr>
        <w:t>. Available at: https://www.cipd.org/uk/knowledge/factsheets/analytics-factsheet/.</w:t>
      </w:r>
    </w:p>
    <w:p w14:paraId="785F7EA3" w14:textId="77777777" w:rsidR="008E2F77" w:rsidRPr="008E2F77" w:rsidRDefault="008E2F77" w:rsidP="008E2F77">
      <w:pPr>
        <w:spacing w:before="120" w:after="120"/>
        <w:rPr>
          <w:rFonts w:ascii="Arial" w:hAnsi="Arial" w:cs="Arial"/>
        </w:rPr>
      </w:pPr>
      <w:r w:rsidRPr="008E2F77">
        <w:rPr>
          <w:rFonts w:ascii="Arial" w:hAnsi="Arial" w:cs="Arial"/>
        </w:rPr>
        <w:t xml:space="preserve">CIPD (2025f) </w:t>
      </w:r>
      <w:r w:rsidRPr="008E2F77">
        <w:rPr>
          <w:rFonts w:ascii="Arial" w:hAnsi="Arial" w:cs="Arial"/>
          <w:i/>
          <w:iCs/>
        </w:rPr>
        <w:t>Performance management: an introduction</w:t>
      </w:r>
      <w:r w:rsidRPr="008E2F77">
        <w:rPr>
          <w:rFonts w:ascii="Arial" w:hAnsi="Arial" w:cs="Arial"/>
        </w:rPr>
        <w:t xml:space="preserve">, </w:t>
      </w:r>
      <w:r w:rsidRPr="008E2F77">
        <w:rPr>
          <w:rFonts w:ascii="Arial" w:hAnsi="Arial" w:cs="Arial"/>
          <w:i/>
          <w:iCs/>
        </w:rPr>
        <w:t>CIPD</w:t>
      </w:r>
      <w:r w:rsidRPr="008E2F77">
        <w:rPr>
          <w:rFonts w:ascii="Arial" w:hAnsi="Arial" w:cs="Arial"/>
        </w:rPr>
        <w:t>. Available at: https://www.cipd.org/uk/knowledge/factsheets/performance-factsheet/.</w:t>
      </w:r>
    </w:p>
    <w:p w14:paraId="028A2183" w14:textId="77777777" w:rsidR="008E2F77" w:rsidRPr="008E2F77" w:rsidRDefault="008E2F77" w:rsidP="008E2F77">
      <w:pPr>
        <w:spacing w:before="120" w:after="120"/>
        <w:rPr>
          <w:rFonts w:ascii="Arial" w:hAnsi="Arial" w:cs="Arial"/>
        </w:rPr>
      </w:pPr>
      <w:r w:rsidRPr="008E2F77">
        <w:rPr>
          <w:rFonts w:ascii="Arial" w:hAnsi="Arial" w:cs="Arial"/>
        </w:rPr>
        <w:t xml:space="preserve">Clark, S. (2015) </w:t>
      </w:r>
      <w:r w:rsidRPr="008E2F77">
        <w:rPr>
          <w:rFonts w:ascii="Arial" w:hAnsi="Arial" w:cs="Arial"/>
          <w:i/>
          <w:iCs/>
        </w:rPr>
        <w:t>Ethical decision-making: Eight Perspectives on Workplace Dilemmas</w:t>
      </w:r>
      <w:r w:rsidRPr="008E2F77">
        <w:rPr>
          <w:rFonts w:ascii="Arial" w:hAnsi="Arial" w:cs="Arial"/>
        </w:rPr>
        <w:t>. CIPD. Available at: https://www.cipd.org/globalassets/media/comms/the-people-profession/profession-map-pdfs/ethical-decision-making-2015-eight-perspectives-on-workplace-dilemmas_tcm29-9564.pdf.</w:t>
      </w:r>
    </w:p>
    <w:p w14:paraId="08346075" w14:textId="77777777" w:rsidR="008E2F77" w:rsidRPr="008E2F77" w:rsidRDefault="008E2F77" w:rsidP="008E2F77">
      <w:pPr>
        <w:spacing w:before="120" w:after="120"/>
        <w:rPr>
          <w:rFonts w:ascii="Arial" w:hAnsi="Arial" w:cs="Arial"/>
        </w:rPr>
      </w:pPr>
      <w:r w:rsidRPr="008E2F77">
        <w:rPr>
          <w:rFonts w:ascii="Arial" w:hAnsi="Arial" w:cs="Arial"/>
        </w:rPr>
        <w:t xml:space="preserve">CMI (2015) </w:t>
      </w:r>
      <w:r w:rsidRPr="008E2F77">
        <w:rPr>
          <w:rFonts w:ascii="Arial" w:hAnsi="Arial" w:cs="Arial"/>
          <w:i/>
          <w:iCs/>
        </w:rPr>
        <w:t>RATIONAL DECISION- MAKING: KEPNER AND TREGOE’S MODEL</w:t>
      </w:r>
      <w:r w:rsidRPr="008E2F77">
        <w:rPr>
          <w:rFonts w:ascii="Arial" w:hAnsi="Arial" w:cs="Arial"/>
        </w:rPr>
        <w:t>. Available at: https://ugc.futurelearn.com/uploads/files/c8/f6/c8f6b763-9cc4-4804-a1a1-2db2f5bd0a36/Rational_decision_making.pdf.</w:t>
      </w:r>
    </w:p>
    <w:p w14:paraId="5C650F05" w14:textId="77777777" w:rsidR="008E2F77" w:rsidRPr="008E2F77" w:rsidRDefault="008E2F77" w:rsidP="008E2F77">
      <w:pPr>
        <w:spacing w:before="120" w:after="120"/>
        <w:rPr>
          <w:rFonts w:ascii="Arial" w:hAnsi="Arial" w:cs="Arial"/>
        </w:rPr>
      </w:pPr>
      <w:r w:rsidRPr="008E2F77">
        <w:rPr>
          <w:rFonts w:ascii="Arial" w:hAnsi="Arial" w:cs="Arial"/>
        </w:rPr>
        <w:lastRenderedPageBreak/>
        <w:t xml:space="preserve">CMI (2020) </w:t>
      </w:r>
      <w:r w:rsidRPr="008E2F77">
        <w:rPr>
          <w:rFonts w:ascii="Arial" w:hAnsi="Arial" w:cs="Arial"/>
          <w:i/>
          <w:iCs/>
        </w:rPr>
        <w:t>Decision Making</w:t>
      </w:r>
      <w:r w:rsidRPr="008E2F77">
        <w:rPr>
          <w:rFonts w:ascii="Arial" w:hAnsi="Arial" w:cs="Arial"/>
        </w:rPr>
        <w:t xml:space="preserve">, </w:t>
      </w:r>
      <w:r w:rsidRPr="008E2F77">
        <w:rPr>
          <w:rFonts w:ascii="Arial" w:hAnsi="Arial" w:cs="Arial"/>
          <w:i/>
          <w:iCs/>
        </w:rPr>
        <w:t>CMI</w:t>
      </w:r>
      <w:r w:rsidRPr="008E2F77">
        <w:rPr>
          <w:rFonts w:ascii="Arial" w:hAnsi="Arial" w:cs="Arial"/>
        </w:rPr>
        <w:t>. Available at: https://www.managers.org.uk/knowledge-and-insights/resource/decision-making/.</w:t>
      </w:r>
    </w:p>
    <w:p w14:paraId="2BFE0B39" w14:textId="77777777" w:rsidR="008E2F77" w:rsidRPr="008E2F77" w:rsidRDefault="008E2F77" w:rsidP="008E2F77">
      <w:pPr>
        <w:spacing w:before="120" w:after="120"/>
        <w:rPr>
          <w:rFonts w:ascii="Arial" w:hAnsi="Arial" w:cs="Arial"/>
        </w:rPr>
      </w:pPr>
      <w:r w:rsidRPr="008E2F77">
        <w:rPr>
          <w:rFonts w:ascii="Arial" w:hAnsi="Arial" w:cs="Arial"/>
        </w:rPr>
        <w:t xml:space="preserve">Duignan, B. and West, H.R. (2025) ‘Utilitarianism’, </w:t>
      </w:r>
      <w:r w:rsidRPr="008E2F77">
        <w:rPr>
          <w:rFonts w:ascii="Arial" w:hAnsi="Arial" w:cs="Arial"/>
          <w:i/>
          <w:iCs/>
        </w:rPr>
        <w:t>Encyclopædia Britannica</w:t>
      </w:r>
      <w:r w:rsidRPr="008E2F77">
        <w:rPr>
          <w:rFonts w:ascii="Arial" w:hAnsi="Arial" w:cs="Arial"/>
        </w:rPr>
        <w:t>. Available at: https://www.britannica.com/topic/utilitarianism-philosophy.</w:t>
      </w:r>
    </w:p>
    <w:p w14:paraId="4C016126" w14:textId="77777777" w:rsidR="008E2F77" w:rsidRPr="008E2F77" w:rsidRDefault="008E2F77" w:rsidP="008E2F77">
      <w:pPr>
        <w:spacing w:before="120" w:after="120"/>
        <w:rPr>
          <w:rFonts w:ascii="Arial" w:hAnsi="Arial" w:cs="Arial"/>
        </w:rPr>
      </w:pPr>
      <w:r w:rsidRPr="008E2F77">
        <w:rPr>
          <w:rFonts w:ascii="Arial" w:hAnsi="Arial" w:cs="Arial"/>
        </w:rPr>
        <w:t xml:space="preserve">Edvardsson, I.R. and Durst, S. (2019) ‘The Impact of Outsourcing on Knowledge and Learning in Organizations’, </w:t>
      </w:r>
      <w:r w:rsidRPr="008E2F77">
        <w:rPr>
          <w:rFonts w:ascii="Arial" w:hAnsi="Arial" w:cs="Arial"/>
          <w:i/>
          <w:iCs/>
        </w:rPr>
        <w:t>Societal Entrepreneurship and Competitiveness</w:t>
      </w:r>
      <w:r w:rsidRPr="008E2F77">
        <w:rPr>
          <w:rFonts w:ascii="Arial" w:hAnsi="Arial" w:cs="Arial"/>
        </w:rPr>
        <w:t>, 11, pp. 171–183. Available at: https://doi.org/10.1108/978-1-83867-471-720191012.</w:t>
      </w:r>
    </w:p>
    <w:p w14:paraId="6BF8C7AB" w14:textId="77777777" w:rsidR="008E2F77" w:rsidRPr="008E2F77" w:rsidRDefault="008E2F77" w:rsidP="008E2F77">
      <w:pPr>
        <w:spacing w:before="120" w:after="120"/>
        <w:rPr>
          <w:rFonts w:ascii="Arial" w:hAnsi="Arial" w:cs="Arial"/>
        </w:rPr>
      </w:pPr>
      <w:r w:rsidRPr="008E2F77">
        <w:rPr>
          <w:rFonts w:ascii="Arial" w:hAnsi="Arial" w:cs="Arial"/>
        </w:rPr>
        <w:t xml:space="preserve">Galli, L. (2017) </w:t>
      </w:r>
      <w:r w:rsidRPr="008E2F77">
        <w:rPr>
          <w:rFonts w:ascii="Arial" w:hAnsi="Arial" w:cs="Arial"/>
          <w:i/>
          <w:iCs/>
        </w:rPr>
        <w:t>What is Evidence-Based Management? • ScienceForWork</w:t>
      </w:r>
      <w:r w:rsidRPr="008E2F77">
        <w:rPr>
          <w:rFonts w:ascii="Arial" w:hAnsi="Arial" w:cs="Arial"/>
        </w:rPr>
        <w:t xml:space="preserve">, </w:t>
      </w:r>
      <w:r w:rsidRPr="008E2F77">
        <w:rPr>
          <w:rFonts w:ascii="Arial" w:hAnsi="Arial" w:cs="Arial"/>
          <w:i/>
          <w:iCs/>
        </w:rPr>
        <w:t>ScienceForWork</w:t>
      </w:r>
      <w:r w:rsidRPr="008E2F77">
        <w:rPr>
          <w:rFonts w:ascii="Arial" w:hAnsi="Arial" w:cs="Arial"/>
        </w:rPr>
        <w:t>. Available at: https://scienceforwork.com/blog/what-is-evidence-based-management/.</w:t>
      </w:r>
    </w:p>
    <w:p w14:paraId="4210D54B" w14:textId="77777777" w:rsidR="008E2F77" w:rsidRPr="008E2F77" w:rsidRDefault="008E2F77" w:rsidP="008E2F77">
      <w:pPr>
        <w:spacing w:before="120" w:after="120"/>
        <w:rPr>
          <w:rFonts w:ascii="Arial" w:hAnsi="Arial" w:cs="Arial"/>
        </w:rPr>
      </w:pPr>
      <w:r w:rsidRPr="008E2F77">
        <w:rPr>
          <w:rFonts w:ascii="Arial" w:hAnsi="Arial" w:cs="Arial"/>
        </w:rPr>
        <w:t xml:space="preserve">Gibson, K. (2023) </w:t>
      </w:r>
      <w:r w:rsidRPr="008E2F77">
        <w:rPr>
          <w:rFonts w:ascii="Arial" w:hAnsi="Arial" w:cs="Arial"/>
          <w:i/>
          <w:iCs/>
        </w:rPr>
        <w:t>How to Measure Your Business Performance | HBS Online</w:t>
      </w:r>
      <w:r w:rsidRPr="008E2F77">
        <w:rPr>
          <w:rFonts w:ascii="Arial" w:hAnsi="Arial" w:cs="Arial"/>
        </w:rPr>
        <w:t xml:space="preserve">, </w:t>
      </w:r>
      <w:r w:rsidRPr="008E2F77">
        <w:rPr>
          <w:rFonts w:ascii="Arial" w:hAnsi="Arial" w:cs="Arial"/>
          <w:i/>
          <w:iCs/>
        </w:rPr>
        <w:t>Business Insights Blog</w:t>
      </w:r>
      <w:r w:rsidRPr="008E2F77">
        <w:rPr>
          <w:rFonts w:ascii="Arial" w:hAnsi="Arial" w:cs="Arial"/>
        </w:rPr>
        <w:t>. Available at: https://online.hbs.edu/blog/post/business-performance-measurement.</w:t>
      </w:r>
    </w:p>
    <w:p w14:paraId="1AD386EC" w14:textId="77777777" w:rsidR="008E2F77" w:rsidRPr="008E2F77" w:rsidRDefault="008E2F77" w:rsidP="008E2F77">
      <w:pPr>
        <w:spacing w:before="120" w:after="120"/>
        <w:rPr>
          <w:rFonts w:ascii="Arial" w:hAnsi="Arial" w:cs="Arial"/>
        </w:rPr>
      </w:pPr>
      <w:r w:rsidRPr="008E2F77">
        <w:rPr>
          <w:rFonts w:ascii="Arial" w:hAnsi="Arial" w:cs="Arial"/>
        </w:rPr>
        <w:t>Glassdoor (2026). Available at: https://www.glassdoor.co.uk/Salaries/elearning-developer-salary-SRCH_KO0,19.htm.</w:t>
      </w:r>
    </w:p>
    <w:p w14:paraId="3FEBDC0F" w14:textId="77777777" w:rsidR="008E2F77" w:rsidRPr="008E2F77" w:rsidRDefault="008E2F77" w:rsidP="008E2F77">
      <w:pPr>
        <w:spacing w:before="120" w:after="120"/>
        <w:rPr>
          <w:rFonts w:ascii="Arial" w:hAnsi="Arial" w:cs="Arial"/>
        </w:rPr>
      </w:pPr>
      <w:r w:rsidRPr="008E2F77">
        <w:rPr>
          <w:rFonts w:ascii="Arial" w:hAnsi="Arial" w:cs="Arial"/>
        </w:rPr>
        <w:t xml:space="preserve">Göçmen, Ö. and Coşkun, H. (2019) ‘The effects of the six thinking hats and speed on creativity in brainstorming’, </w:t>
      </w:r>
      <w:r w:rsidRPr="008E2F77">
        <w:rPr>
          <w:rFonts w:ascii="Arial" w:hAnsi="Arial" w:cs="Arial"/>
          <w:i/>
          <w:iCs/>
        </w:rPr>
        <w:t>Thinking Skills and Creativity</w:t>
      </w:r>
      <w:r w:rsidRPr="008E2F77">
        <w:rPr>
          <w:rFonts w:ascii="Arial" w:hAnsi="Arial" w:cs="Arial"/>
        </w:rPr>
        <w:t>, 31(1), pp. 284–295. Available at: https://doi.org/10.1016/j.tsc.2019.02.006.</w:t>
      </w:r>
    </w:p>
    <w:p w14:paraId="5665FA7F" w14:textId="77777777" w:rsidR="008E2F77" w:rsidRPr="008E2F77" w:rsidRDefault="008E2F77" w:rsidP="008E2F77">
      <w:pPr>
        <w:spacing w:before="120" w:after="120"/>
        <w:rPr>
          <w:rFonts w:ascii="Arial" w:hAnsi="Arial" w:cs="Arial"/>
        </w:rPr>
      </w:pPr>
      <w:r w:rsidRPr="008E2F77">
        <w:rPr>
          <w:rFonts w:ascii="Arial" w:hAnsi="Arial" w:cs="Arial"/>
        </w:rPr>
        <w:t xml:space="preserve">Gustafson, A. (2013) ‘In Defense of a Utilitarian Business Ethic’, </w:t>
      </w:r>
      <w:r w:rsidRPr="008E2F77">
        <w:rPr>
          <w:rFonts w:ascii="Arial" w:hAnsi="Arial" w:cs="Arial"/>
          <w:i/>
          <w:iCs/>
        </w:rPr>
        <w:t>Business and Society Review</w:t>
      </w:r>
      <w:r w:rsidRPr="008E2F77">
        <w:rPr>
          <w:rFonts w:ascii="Arial" w:hAnsi="Arial" w:cs="Arial"/>
        </w:rPr>
        <w:t>, 118(3), pp. 325–360. Available at: https://doi.org/10.1111/basr.12013.</w:t>
      </w:r>
    </w:p>
    <w:p w14:paraId="2147CC2E" w14:textId="77777777" w:rsidR="008E2F77" w:rsidRPr="008E2F77" w:rsidRDefault="008E2F77" w:rsidP="008E2F77">
      <w:pPr>
        <w:spacing w:before="120" w:after="120"/>
        <w:rPr>
          <w:rFonts w:ascii="Arial" w:hAnsi="Arial" w:cs="Arial"/>
        </w:rPr>
      </w:pPr>
      <w:r w:rsidRPr="008E2F77">
        <w:rPr>
          <w:rFonts w:ascii="Arial" w:hAnsi="Arial" w:cs="Arial"/>
        </w:rPr>
        <w:t xml:space="preserve">Hamieddine , C. </w:t>
      </w:r>
      <w:r w:rsidRPr="008E2F77">
        <w:rPr>
          <w:rFonts w:ascii="Arial" w:hAnsi="Arial" w:cs="Arial"/>
          <w:i/>
          <w:iCs/>
        </w:rPr>
        <w:t>et al.</w:t>
      </w:r>
      <w:r w:rsidRPr="008E2F77">
        <w:rPr>
          <w:rFonts w:ascii="Arial" w:hAnsi="Arial" w:cs="Arial"/>
        </w:rPr>
        <w:t xml:space="preserve"> (2024) ‘From Data to Decisions : Exploring Data Analytics in HR for Agile Organizational Decision Making’, </w:t>
      </w:r>
      <w:r w:rsidRPr="008E2F77">
        <w:rPr>
          <w:rFonts w:ascii="Arial" w:hAnsi="Arial" w:cs="Arial"/>
          <w:i/>
          <w:iCs/>
        </w:rPr>
        <w:t>https://www.sciencedirect.com/science/article/pii/S1877050924024876#section-cited-by</w:t>
      </w:r>
      <w:r w:rsidRPr="008E2F77">
        <w:rPr>
          <w:rFonts w:ascii="Arial" w:hAnsi="Arial" w:cs="Arial"/>
        </w:rPr>
        <w:t>, 246, pp. 4901–4908. Available at: https://doi.org/10.1016/j.procs.2024.09.446..</w:t>
      </w:r>
    </w:p>
    <w:p w14:paraId="5A70C5B8" w14:textId="77777777" w:rsidR="008E2F77" w:rsidRPr="008E2F77" w:rsidRDefault="008E2F77" w:rsidP="008E2F77">
      <w:pPr>
        <w:spacing w:before="120" w:after="120"/>
        <w:rPr>
          <w:rFonts w:ascii="Arial" w:hAnsi="Arial" w:cs="Arial"/>
        </w:rPr>
      </w:pPr>
      <w:r w:rsidRPr="008E2F77">
        <w:rPr>
          <w:rFonts w:ascii="Arial" w:hAnsi="Arial" w:cs="Arial"/>
        </w:rPr>
        <w:t xml:space="preserve">Hanscomb, S. (2023) </w:t>
      </w:r>
      <w:r w:rsidRPr="008E2F77">
        <w:rPr>
          <w:rFonts w:ascii="Arial" w:hAnsi="Arial" w:cs="Arial"/>
          <w:i/>
          <w:iCs/>
        </w:rPr>
        <w:t>Critical Thinking: The Basics</w:t>
      </w:r>
      <w:r w:rsidRPr="008E2F77">
        <w:rPr>
          <w:rFonts w:ascii="Arial" w:hAnsi="Arial" w:cs="Arial"/>
        </w:rPr>
        <w:t>. Taylor &amp; Francis.</w:t>
      </w:r>
    </w:p>
    <w:p w14:paraId="335E08D9" w14:textId="77777777" w:rsidR="008E2F77" w:rsidRPr="008E2F77" w:rsidRDefault="008E2F77" w:rsidP="008E2F77">
      <w:pPr>
        <w:spacing w:before="120" w:after="120"/>
        <w:rPr>
          <w:rFonts w:ascii="Arial" w:hAnsi="Arial" w:cs="Arial"/>
        </w:rPr>
      </w:pPr>
      <w:r w:rsidRPr="008E2F77">
        <w:rPr>
          <w:rFonts w:ascii="Arial" w:hAnsi="Arial" w:cs="Arial"/>
        </w:rPr>
        <w:t xml:space="preserve">Hina Chauhan, H.C. and Dr. Neha Dubey, Dr.N.D. (2025) ‘Ethical Issues in HRM – Balancing Organizational Goals with Employee Rights’, </w:t>
      </w:r>
      <w:r w:rsidRPr="008E2F77">
        <w:rPr>
          <w:rFonts w:ascii="Arial" w:hAnsi="Arial" w:cs="Arial"/>
          <w:i/>
          <w:iCs/>
        </w:rPr>
        <w:t>Journal of Research in Humanities and Social Science</w:t>
      </w:r>
      <w:r w:rsidRPr="008E2F77">
        <w:rPr>
          <w:rFonts w:ascii="Arial" w:hAnsi="Arial" w:cs="Arial"/>
        </w:rPr>
        <w:t>, 13(3), pp. 116–121. Available at: https://doi.org/10.35629/9467-1303116121.</w:t>
      </w:r>
    </w:p>
    <w:p w14:paraId="398640FA" w14:textId="77777777" w:rsidR="008E2F77" w:rsidRPr="008E2F77" w:rsidRDefault="008E2F77" w:rsidP="008E2F77">
      <w:pPr>
        <w:spacing w:before="120" w:after="120"/>
        <w:rPr>
          <w:rFonts w:ascii="Arial" w:hAnsi="Arial" w:cs="Arial"/>
        </w:rPr>
      </w:pPr>
      <w:r w:rsidRPr="008E2F77">
        <w:rPr>
          <w:rFonts w:ascii="Arial" w:hAnsi="Arial" w:cs="Arial"/>
        </w:rPr>
        <w:t xml:space="preserve">Hubken Group (2025) </w:t>
      </w:r>
      <w:r w:rsidRPr="008E2F77">
        <w:rPr>
          <w:rFonts w:ascii="Arial" w:hAnsi="Arial" w:cs="Arial"/>
          <w:i/>
          <w:iCs/>
        </w:rPr>
        <w:t>The complete guide to LMS pricing: What does an LMS really cost in 2025?</w:t>
      </w:r>
      <w:r w:rsidRPr="008E2F77">
        <w:rPr>
          <w:rFonts w:ascii="Arial" w:hAnsi="Arial" w:cs="Arial"/>
        </w:rPr>
        <w:t xml:space="preserve">, </w:t>
      </w:r>
      <w:r w:rsidRPr="008E2F77">
        <w:rPr>
          <w:rFonts w:ascii="Arial" w:hAnsi="Arial" w:cs="Arial"/>
          <w:i/>
          <w:iCs/>
        </w:rPr>
        <w:t>Hubkengroup.com</w:t>
      </w:r>
      <w:r w:rsidRPr="008E2F77">
        <w:rPr>
          <w:rFonts w:ascii="Arial" w:hAnsi="Arial" w:cs="Arial"/>
        </w:rPr>
        <w:t>. Available at: https://www.hubkengroup.com/resources/the-complete-guide-to-lms-pricing (Accessed: 1 February 2026).</w:t>
      </w:r>
    </w:p>
    <w:p w14:paraId="6E778FFC" w14:textId="77777777" w:rsidR="008E2F77" w:rsidRPr="008E2F77" w:rsidRDefault="008E2F77" w:rsidP="008E2F77">
      <w:pPr>
        <w:spacing w:before="120" w:after="120"/>
        <w:rPr>
          <w:rFonts w:ascii="Arial" w:hAnsi="Arial" w:cs="Arial"/>
        </w:rPr>
      </w:pPr>
      <w:r w:rsidRPr="008E2F77">
        <w:rPr>
          <w:rFonts w:ascii="Arial" w:hAnsi="Arial" w:cs="Arial"/>
        </w:rPr>
        <w:t xml:space="preserve">Jo, J., Chadwick, C. and Han, J.H. (2023) ‘How the Human Resource (HR) Function Adds Strategic value: a Relational Perspective of the HR Function’, </w:t>
      </w:r>
      <w:r w:rsidRPr="008E2F77">
        <w:rPr>
          <w:rFonts w:ascii="Arial" w:hAnsi="Arial" w:cs="Arial"/>
          <w:i/>
          <w:iCs/>
        </w:rPr>
        <w:t>How the Human Resource (HR) Function Adds Strategic value: a Relational Perspective of the HR Function</w:t>
      </w:r>
      <w:r w:rsidRPr="008E2F77">
        <w:rPr>
          <w:rFonts w:ascii="Arial" w:hAnsi="Arial" w:cs="Arial"/>
        </w:rPr>
        <w:t>, 63(1). Available at: https://doi.org/10.1002/hrm.22184.</w:t>
      </w:r>
    </w:p>
    <w:p w14:paraId="7BDB963A" w14:textId="77777777" w:rsidR="008E2F77" w:rsidRPr="008E2F77" w:rsidRDefault="008E2F77" w:rsidP="008E2F77">
      <w:pPr>
        <w:spacing w:before="120" w:after="120"/>
        <w:rPr>
          <w:rFonts w:ascii="Arial" w:hAnsi="Arial" w:cs="Arial"/>
        </w:rPr>
      </w:pPr>
      <w:r w:rsidRPr="008E2F77">
        <w:rPr>
          <w:rFonts w:ascii="Arial" w:hAnsi="Arial" w:cs="Arial"/>
        </w:rPr>
        <w:t>Jung, I. and Rha, I. (2000) “Effectiveness and Cost-Effectiveness of Online Education: A Review of the Literature,” </w:t>
      </w:r>
      <w:r w:rsidRPr="008E2F77">
        <w:rPr>
          <w:rFonts w:ascii="Arial" w:hAnsi="Arial" w:cs="Arial"/>
          <w:i/>
          <w:iCs/>
        </w:rPr>
        <w:t>Educational technology</w:t>
      </w:r>
      <w:r w:rsidRPr="008E2F77">
        <w:rPr>
          <w:rFonts w:ascii="Arial" w:hAnsi="Arial" w:cs="Arial"/>
        </w:rPr>
        <w:t xml:space="preserve">, 40(4), pp. 57–60. </w:t>
      </w:r>
    </w:p>
    <w:p w14:paraId="321F2DA0" w14:textId="77777777" w:rsidR="008E2F77" w:rsidRPr="008E2F77" w:rsidRDefault="008E2F77" w:rsidP="008E2F77">
      <w:pPr>
        <w:spacing w:before="120" w:after="120"/>
        <w:rPr>
          <w:rFonts w:ascii="Arial" w:hAnsi="Arial" w:cs="Arial"/>
        </w:rPr>
      </w:pPr>
      <w:r w:rsidRPr="008E2F77">
        <w:rPr>
          <w:rFonts w:ascii="Arial" w:hAnsi="Arial" w:cs="Arial"/>
        </w:rPr>
        <w:lastRenderedPageBreak/>
        <w:t xml:space="preserve">Kanuka, H. (2006) </w:t>
      </w:r>
      <w:r w:rsidRPr="008E2F77">
        <w:rPr>
          <w:rFonts w:ascii="Arial" w:hAnsi="Arial" w:cs="Arial"/>
          <w:i/>
          <w:iCs/>
        </w:rPr>
        <w:t>Instructional Design and eLearning: A Discussion of Pedagogical Content Knowledge as a Missing Construct</w:t>
      </w:r>
      <w:r w:rsidRPr="008E2F77">
        <w:rPr>
          <w:rFonts w:ascii="Arial" w:hAnsi="Arial" w:cs="Arial"/>
        </w:rPr>
        <w:t>. Available at: https://files.eric.ed.gov/fulltext/EJ846720.pdf.</w:t>
      </w:r>
    </w:p>
    <w:p w14:paraId="71262505" w14:textId="77777777" w:rsidR="008E2F77" w:rsidRPr="008E2F77" w:rsidRDefault="008E2F77" w:rsidP="008E2F77">
      <w:pPr>
        <w:spacing w:before="120" w:after="120"/>
        <w:rPr>
          <w:rFonts w:ascii="Arial" w:hAnsi="Arial" w:cs="Arial"/>
        </w:rPr>
      </w:pPr>
      <w:r w:rsidRPr="008E2F77">
        <w:rPr>
          <w:rFonts w:ascii="Arial" w:hAnsi="Arial" w:cs="Arial"/>
        </w:rPr>
        <w:t xml:space="preserve">KSL Training (2025) </w:t>
      </w:r>
      <w:r w:rsidRPr="008E2F77">
        <w:rPr>
          <w:rFonts w:ascii="Arial" w:hAnsi="Arial" w:cs="Arial"/>
          <w:i/>
          <w:iCs/>
        </w:rPr>
        <w:t>Our Pricing</w:t>
      </w:r>
      <w:r w:rsidRPr="008E2F77">
        <w:rPr>
          <w:rFonts w:ascii="Arial" w:hAnsi="Arial" w:cs="Arial"/>
        </w:rPr>
        <w:t>. Available at: https://www.ksl-training.co.uk/pdf/pricing/KSL-Price-List.pdf (Accessed: 29 January 2026).</w:t>
      </w:r>
    </w:p>
    <w:p w14:paraId="5F671F1C" w14:textId="77777777" w:rsidR="008E2F77" w:rsidRPr="008E2F77" w:rsidRDefault="008E2F77" w:rsidP="008E2F77">
      <w:pPr>
        <w:spacing w:before="120" w:after="120"/>
        <w:rPr>
          <w:rFonts w:ascii="Arial" w:hAnsi="Arial" w:cs="Arial"/>
        </w:rPr>
      </w:pPr>
      <w:r w:rsidRPr="008E2F77">
        <w:rPr>
          <w:rFonts w:ascii="Arial" w:hAnsi="Arial" w:cs="Arial"/>
        </w:rPr>
        <w:t xml:space="preserve">Lim, W.M. (2024) ‘What is quantitative research? An overview and guidelines’, </w:t>
      </w:r>
      <w:r w:rsidRPr="008E2F77">
        <w:rPr>
          <w:rFonts w:ascii="Arial" w:hAnsi="Arial" w:cs="Arial"/>
          <w:i/>
          <w:iCs/>
        </w:rPr>
        <w:t>Australasian Marketing Journal (AMJ)</w:t>
      </w:r>
      <w:r w:rsidRPr="008E2F77">
        <w:rPr>
          <w:rFonts w:ascii="Arial" w:hAnsi="Arial" w:cs="Arial"/>
        </w:rPr>
        <w:t>, 1(1). Available at: https://doi.org/10.1177/14413582241264622.</w:t>
      </w:r>
    </w:p>
    <w:p w14:paraId="12215D66" w14:textId="77777777" w:rsidR="008E2F77" w:rsidRPr="008E2F77" w:rsidRDefault="008E2F77" w:rsidP="008E2F77">
      <w:pPr>
        <w:spacing w:before="120" w:after="120"/>
        <w:rPr>
          <w:rFonts w:ascii="Arial" w:hAnsi="Arial" w:cs="Arial"/>
        </w:rPr>
      </w:pPr>
      <w:r w:rsidRPr="008E2F77">
        <w:rPr>
          <w:rFonts w:ascii="Arial" w:hAnsi="Arial" w:cs="Arial"/>
        </w:rPr>
        <w:t xml:space="preserve">Machete, P. and Turpin, M. (2020) ‘The Use of Critical Thinking to Identify Fake News: A Systematic Literature Review’, </w:t>
      </w:r>
      <w:r w:rsidRPr="008E2F77">
        <w:rPr>
          <w:rFonts w:ascii="Arial" w:hAnsi="Arial" w:cs="Arial"/>
          <w:i/>
          <w:iCs/>
        </w:rPr>
        <w:t>Lecture Notes in Computer Science</w:t>
      </w:r>
      <w:r w:rsidRPr="008E2F77">
        <w:rPr>
          <w:rFonts w:ascii="Arial" w:hAnsi="Arial" w:cs="Arial"/>
        </w:rPr>
        <w:t>, 12067, pp. 235–246. Available at: https://doi.org/10.1007/978-3-030-45002-1_20.</w:t>
      </w:r>
    </w:p>
    <w:p w14:paraId="2508DEEF" w14:textId="77777777" w:rsidR="008E2F77" w:rsidRPr="008E2F77" w:rsidRDefault="008E2F77" w:rsidP="008E2F77">
      <w:pPr>
        <w:spacing w:before="120" w:after="120"/>
        <w:rPr>
          <w:rFonts w:ascii="Arial" w:hAnsi="Arial" w:cs="Arial"/>
        </w:rPr>
      </w:pPr>
      <w:r w:rsidRPr="008E2F77">
        <w:rPr>
          <w:rFonts w:ascii="Arial" w:hAnsi="Arial" w:cs="Arial"/>
        </w:rPr>
        <w:t xml:space="preserve">Markopoulos, E. </w:t>
      </w:r>
      <w:r w:rsidRPr="008E2F77">
        <w:rPr>
          <w:rFonts w:ascii="Arial" w:hAnsi="Arial" w:cs="Arial"/>
          <w:i/>
          <w:iCs/>
        </w:rPr>
        <w:t>et al.</w:t>
      </w:r>
      <w:r w:rsidRPr="008E2F77">
        <w:rPr>
          <w:rFonts w:ascii="Arial" w:hAnsi="Arial" w:cs="Arial"/>
        </w:rPr>
        <w:t xml:space="preserve"> (2022) ‘Understanding Situationality using the Kepner-Tregoe Method in the Company Democracy Model to increase Employee Engagement and Knowledge Contribution’, </w:t>
      </w:r>
      <w:r w:rsidRPr="008E2F77">
        <w:rPr>
          <w:rFonts w:ascii="Arial" w:hAnsi="Arial" w:cs="Arial"/>
          <w:i/>
          <w:iCs/>
        </w:rPr>
        <w:t>Creativity, Innovation and Entrepreneurship</w:t>
      </w:r>
      <w:r w:rsidRPr="008E2F77">
        <w:rPr>
          <w:rFonts w:ascii="Arial" w:hAnsi="Arial" w:cs="Arial"/>
        </w:rPr>
        <w:t>, 31(31). Available at: https://doi.org/10.54941/ahfe1001522.</w:t>
      </w:r>
    </w:p>
    <w:p w14:paraId="605D383C" w14:textId="77777777" w:rsidR="008E2F77" w:rsidRPr="008E2F77" w:rsidRDefault="008E2F77" w:rsidP="008E2F77">
      <w:pPr>
        <w:spacing w:before="120" w:after="120"/>
        <w:rPr>
          <w:rFonts w:ascii="Arial" w:hAnsi="Arial" w:cs="Arial"/>
        </w:rPr>
      </w:pPr>
      <w:r w:rsidRPr="008E2F77">
        <w:rPr>
          <w:rFonts w:ascii="Arial" w:hAnsi="Arial" w:cs="Arial"/>
        </w:rPr>
        <w:t xml:space="preserve">Marler, J.H. and Boudreau, J.W. (2017) ‘An Evidence-Based Review of HR Analytics’, </w:t>
      </w:r>
      <w:r w:rsidRPr="008E2F77">
        <w:rPr>
          <w:rFonts w:ascii="Arial" w:hAnsi="Arial" w:cs="Arial"/>
          <w:i/>
          <w:iCs/>
        </w:rPr>
        <w:t>The International Journal of Human Resource Management</w:t>
      </w:r>
      <w:r w:rsidRPr="008E2F77">
        <w:rPr>
          <w:rFonts w:ascii="Arial" w:hAnsi="Arial" w:cs="Arial"/>
        </w:rPr>
        <w:t>, 28(1), pp. 3–26. Available at: https://doi.org/10.1080/09585192.2016.1244699.</w:t>
      </w:r>
    </w:p>
    <w:p w14:paraId="73434596" w14:textId="77777777" w:rsidR="008E2F77" w:rsidRPr="008E2F77" w:rsidRDefault="008E2F77" w:rsidP="008E2F77">
      <w:pPr>
        <w:spacing w:before="120" w:after="120"/>
        <w:rPr>
          <w:rFonts w:ascii="Arial" w:hAnsi="Arial" w:cs="Arial"/>
        </w:rPr>
      </w:pPr>
      <w:r w:rsidRPr="008E2F77">
        <w:rPr>
          <w:rFonts w:ascii="Arial" w:hAnsi="Arial" w:cs="Arial"/>
        </w:rPr>
        <w:t xml:space="preserve">Marques, J. (2015) ‘Universalism and Utilitarianism: An Evaluation of Two Popular Moral Theories in Business Decision Making’, </w:t>
      </w:r>
      <w:r w:rsidRPr="008E2F77">
        <w:rPr>
          <w:rFonts w:ascii="Arial" w:hAnsi="Arial" w:cs="Arial"/>
          <w:i/>
          <w:iCs/>
        </w:rPr>
        <w:t>The Journal of Values-Based Leadership</w:t>
      </w:r>
      <w:r w:rsidRPr="008E2F77">
        <w:rPr>
          <w:rFonts w:ascii="Arial" w:hAnsi="Arial" w:cs="Arial"/>
        </w:rPr>
        <w:t>, 8(2). Available at: https://scholar.valpo.edu/cgi/viewcontent.cgi?article=1124&amp;context=jvbl.</w:t>
      </w:r>
    </w:p>
    <w:p w14:paraId="76D18BFE" w14:textId="77777777" w:rsidR="008E2F77" w:rsidRPr="008E2F77" w:rsidRDefault="008E2F77" w:rsidP="008E2F77">
      <w:pPr>
        <w:spacing w:before="120" w:after="120"/>
        <w:rPr>
          <w:rFonts w:ascii="Arial" w:hAnsi="Arial" w:cs="Arial"/>
        </w:rPr>
      </w:pPr>
      <w:r w:rsidRPr="008E2F77">
        <w:rPr>
          <w:rFonts w:ascii="Arial" w:hAnsi="Arial" w:cs="Arial"/>
        </w:rPr>
        <w:t xml:space="preserve">McIver, D., Lengnick-Hall, M.L. and Lengnick-Hall, C.A. (2018) ‘A strategic approach to workforce analytics: Integrating science and agility’, </w:t>
      </w:r>
      <w:r w:rsidRPr="008E2F77">
        <w:rPr>
          <w:rFonts w:ascii="Arial" w:hAnsi="Arial" w:cs="Arial"/>
          <w:i/>
          <w:iCs/>
        </w:rPr>
        <w:t>Business Horizons</w:t>
      </w:r>
      <w:r w:rsidRPr="008E2F77">
        <w:rPr>
          <w:rFonts w:ascii="Arial" w:hAnsi="Arial" w:cs="Arial"/>
        </w:rPr>
        <w:t>, 61(3), pp. 397–407. Available at: https://doi.org/10.1016/j.bushor.2018.01.005.</w:t>
      </w:r>
    </w:p>
    <w:p w14:paraId="5FF47CE4" w14:textId="77777777" w:rsidR="008E2F77" w:rsidRPr="008E2F77" w:rsidRDefault="008E2F77" w:rsidP="008E2F77">
      <w:pPr>
        <w:spacing w:before="120" w:after="120"/>
        <w:rPr>
          <w:rFonts w:ascii="Arial" w:hAnsi="Arial" w:cs="Arial"/>
        </w:rPr>
      </w:pPr>
      <w:r w:rsidRPr="008E2F77">
        <w:rPr>
          <w:rFonts w:ascii="Arial" w:hAnsi="Arial" w:cs="Arial"/>
        </w:rPr>
        <w:t xml:space="preserve">Mwita, K. (2022) </w:t>
      </w:r>
      <w:r w:rsidRPr="008E2F77">
        <w:rPr>
          <w:rFonts w:ascii="Arial" w:hAnsi="Arial" w:cs="Arial"/>
          <w:i/>
          <w:iCs/>
        </w:rPr>
        <w:t>Strengths and weaknesses of qualitative research in social science studies</w:t>
      </w:r>
      <w:r w:rsidRPr="008E2F77">
        <w:rPr>
          <w:rFonts w:ascii="Arial" w:hAnsi="Arial" w:cs="Arial"/>
        </w:rPr>
        <w:t xml:space="preserve">, </w:t>
      </w:r>
      <w:r w:rsidRPr="008E2F77">
        <w:rPr>
          <w:rFonts w:ascii="Arial" w:hAnsi="Arial" w:cs="Arial"/>
          <w:i/>
          <w:iCs/>
        </w:rPr>
        <w:t>ResearchGate</w:t>
      </w:r>
      <w:r w:rsidRPr="008E2F77">
        <w:rPr>
          <w:rFonts w:ascii="Arial" w:hAnsi="Arial" w:cs="Arial"/>
        </w:rPr>
        <w:t>. Center for Strategic Studies in Business and Finance SSBFNET. Available at: https://www.researchgate.net/publication/363520457_Strengths_and_weaknesses_of_qualitative_research_in_social_science_studies.</w:t>
      </w:r>
    </w:p>
    <w:p w14:paraId="41682D24" w14:textId="77777777" w:rsidR="008E2F77" w:rsidRPr="008E2F77" w:rsidRDefault="008E2F77" w:rsidP="008E2F77">
      <w:pPr>
        <w:spacing w:before="120" w:after="120"/>
        <w:rPr>
          <w:rFonts w:ascii="Arial" w:hAnsi="Arial" w:cs="Arial"/>
        </w:rPr>
      </w:pPr>
      <w:r w:rsidRPr="008E2F77">
        <w:rPr>
          <w:rFonts w:ascii="Arial" w:hAnsi="Arial" w:cs="Arial"/>
        </w:rPr>
        <w:t xml:space="preserve">Noesgaard, S.S. and Rikke Ørngreen, R. (2015) ‘The effectiveness of e-learning: An explorative and integrative review of the definitions, methodologies and factors that promote e-Learning effectiveness. Electronic Journal of e-Learning.’, </w:t>
      </w:r>
      <w:r w:rsidRPr="008E2F77">
        <w:rPr>
          <w:rFonts w:ascii="Arial" w:hAnsi="Arial" w:cs="Arial"/>
          <w:i/>
          <w:iCs/>
        </w:rPr>
        <w:t>Electronic Journal of e-Learning.</w:t>
      </w:r>
      <w:r w:rsidRPr="008E2F77">
        <w:rPr>
          <w:rFonts w:ascii="Arial" w:hAnsi="Arial" w:cs="Arial"/>
        </w:rPr>
        <w:t>, 13, pp. 278–290.</w:t>
      </w:r>
    </w:p>
    <w:p w14:paraId="549890A6" w14:textId="77777777" w:rsidR="008E2F77" w:rsidRPr="008E2F77" w:rsidRDefault="008E2F77" w:rsidP="008E2F77">
      <w:pPr>
        <w:spacing w:before="120" w:after="120"/>
        <w:rPr>
          <w:rFonts w:ascii="Arial" w:hAnsi="Arial" w:cs="Arial"/>
        </w:rPr>
      </w:pPr>
      <w:r w:rsidRPr="008E2F77">
        <w:rPr>
          <w:rFonts w:ascii="Arial" w:hAnsi="Arial" w:cs="Arial"/>
        </w:rPr>
        <w:t xml:space="preserve">Noorulkhathija, J. and Hussain, A. (2025) ‘STRATEGIC EMPLOYEE RETENTION: ENHANCING WORKFORCE STABILITY THROUGH EFFECTIVE HR MANAGEMENT’, </w:t>
      </w:r>
      <w:r w:rsidRPr="008E2F77">
        <w:rPr>
          <w:rFonts w:ascii="Arial" w:hAnsi="Arial" w:cs="Arial"/>
          <w:i/>
          <w:iCs/>
        </w:rPr>
        <w:t>ICTACT Journal on Management Studies (Feb 2025)</w:t>
      </w:r>
      <w:r w:rsidRPr="008E2F77">
        <w:rPr>
          <w:rFonts w:ascii="Arial" w:hAnsi="Arial" w:cs="Arial"/>
        </w:rPr>
        <w:t>, 01(11). Available at: https://doi.org/10.21917/ijms.2025.0314.</w:t>
      </w:r>
    </w:p>
    <w:p w14:paraId="7BF21096" w14:textId="77777777" w:rsidR="008E2F77" w:rsidRPr="008E2F77" w:rsidRDefault="008E2F77" w:rsidP="008E2F77">
      <w:pPr>
        <w:spacing w:before="120" w:after="120"/>
        <w:rPr>
          <w:rFonts w:ascii="Arial" w:hAnsi="Arial" w:cs="Arial"/>
        </w:rPr>
      </w:pPr>
      <w:r w:rsidRPr="008E2F77">
        <w:rPr>
          <w:rFonts w:ascii="Arial" w:hAnsi="Arial" w:cs="Arial"/>
        </w:rPr>
        <w:t xml:space="preserve">Pembi, S. and Ali, B.K. (2024) ‘Ethical Business Decision-Making in Organizations: a Theoretical Perspectives’, </w:t>
      </w:r>
      <w:r w:rsidRPr="008E2F77">
        <w:rPr>
          <w:rFonts w:ascii="Arial" w:hAnsi="Arial" w:cs="Arial"/>
          <w:i/>
          <w:iCs/>
        </w:rPr>
        <w:t>Advanced Qualitative Research</w:t>
      </w:r>
      <w:r w:rsidRPr="008E2F77">
        <w:rPr>
          <w:rFonts w:ascii="Arial" w:hAnsi="Arial" w:cs="Arial"/>
        </w:rPr>
        <w:t>, 2(1), pp. 19–30. Available at: https://doi.org/10.31098/aqr.v2i1.2133.</w:t>
      </w:r>
    </w:p>
    <w:p w14:paraId="107333FF" w14:textId="77777777" w:rsidR="008E2F77" w:rsidRPr="008E2F77" w:rsidRDefault="008E2F77" w:rsidP="008E2F77">
      <w:pPr>
        <w:spacing w:before="120" w:after="120"/>
        <w:rPr>
          <w:rFonts w:ascii="Arial" w:hAnsi="Arial" w:cs="Arial"/>
        </w:rPr>
      </w:pPr>
      <w:r w:rsidRPr="008E2F77">
        <w:rPr>
          <w:rFonts w:ascii="Arial" w:hAnsi="Arial" w:cs="Arial"/>
        </w:rPr>
        <w:lastRenderedPageBreak/>
        <w:t xml:space="preserve">Salmon, A.K. and Barrera, M.X. (2021) ‘Intentional Questioning to Promote Thinking and Learning’, </w:t>
      </w:r>
      <w:r w:rsidRPr="008E2F77">
        <w:rPr>
          <w:rFonts w:ascii="Arial" w:hAnsi="Arial" w:cs="Arial"/>
          <w:i/>
          <w:iCs/>
        </w:rPr>
        <w:t>Thinking Skills and Creativity</w:t>
      </w:r>
      <w:r w:rsidRPr="008E2F77">
        <w:rPr>
          <w:rFonts w:ascii="Arial" w:hAnsi="Arial" w:cs="Arial"/>
        </w:rPr>
        <w:t>, 40(1). Available at: https://doi.org/10.1016/j.tsc.2021.100822.</w:t>
      </w:r>
    </w:p>
    <w:p w14:paraId="2E9E6786" w14:textId="77777777" w:rsidR="008E2F77" w:rsidRPr="008E2F77" w:rsidRDefault="008E2F77" w:rsidP="008E2F77">
      <w:pPr>
        <w:spacing w:before="120" w:after="120"/>
        <w:rPr>
          <w:rFonts w:ascii="Arial" w:hAnsi="Arial" w:cs="Arial"/>
        </w:rPr>
      </w:pPr>
      <w:r w:rsidRPr="008E2F77">
        <w:rPr>
          <w:rFonts w:ascii="Arial" w:hAnsi="Arial" w:cs="Arial"/>
        </w:rPr>
        <w:t xml:space="preserve">Schneider, B. and Barbera, K.M. (2014) </w:t>
      </w:r>
      <w:r w:rsidRPr="008E2F77">
        <w:rPr>
          <w:rFonts w:ascii="Arial" w:hAnsi="Arial" w:cs="Arial"/>
          <w:i/>
          <w:iCs/>
        </w:rPr>
        <w:t>The Oxford handbook of organizational climate and culture</w:t>
      </w:r>
      <w:r w:rsidRPr="008E2F77">
        <w:rPr>
          <w:rFonts w:ascii="Arial" w:hAnsi="Arial" w:cs="Arial"/>
        </w:rPr>
        <w:t>. Oxford University Press.</w:t>
      </w:r>
    </w:p>
    <w:p w14:paraId="0DF647C4" w14:textId="77777777" w:rsidR="008E2F77" w:rsidRPr="008E2F77" w:rsidRDefault="008E2F77" w:rsidP="008E2F77">
      <w:pPr>
        <w:spacing w:before="120" w:after="120"/>
        <w:rPr>
          <w:rFonts w:ascii="Arial" w:hAnsi="Arial" w:cs="Arial"/>
        </w:rPr>
      </w:pPr>
      <w:r w:rsidRPr="008E2F77">
        <w:rPr>
          <w:rFonts w:ascii="Arial" w:hAnsi="Arial" w:cs="Arial"/>
        </w:rPr>
        <w:t xml:space="preserve">Shaw, A.A. (2021) </w:t>
      </w:r>
      <w:r w:rsidRPr="008E2F77">
        <w:rPr>
          <w:rFonts w:ascii="Arial" w:hAnsi="Arial" w:cs="Arial"/>
          <w:i/>
          <w:iCs/>
        </w:rPr>
        <w:t>Importance of Pestle Analysis/Uses/Advantages &amp; Disadvantages</w:t>
      </w:r>
      <w:r w:rsidRPr="008E2F77">
        <w:rPr>
          <w:rFonts w:ascii="Arial" w:hAnsi="Arial" w:cs="Arial"/>
        </w:rPr>
        <w:t xml:space="preserve">, </w:t>
      </w:r>
      <w:r w:rsidRPr="008E2F77">
        <w:rPr>
          <w:rFonts w:ascii="Arial" w:hAnsi="Arial" w:cs="Arial"/>
          <w:i/>
          <w:iCs/>
        </w:rPr>
        <w:t>SWOT &amp; PESTLE Analysis</w:t>
      </w:r>
      <w:r w:rsidRPr="008E2F77">
        <w:rPr>
          <w:rFonts w:ascii="Arial" w:hAnsi="Arial" w:cs="Arial"/>
        </w:rPr>
        <w:t>. Available at: https://swotandpestleanalysis.com/importance-of-pestle-analysis-uses-advantages-disadvantages/.</w:t>
      </w:r>
    </w:p>
    <w:p w14:paraId="3C2BD3A4" w14:textId="77777777" w:rsidR="008E2F77" w:rsidRPr="008E2F77" w:rsidRDefault="008E2F77" w:rsidP="008E2F77">
      <w:pPr>
        <w:spacing w:before="120" w:after="120"/>
        <w:rPr>
          <w:rFonts w:ascii="Arial" w:hAnsi="Arial" w:cs="Arial"/>
        </w:rPr>
      </w:pPr>
      <w:r w:rsidRPr="008E2F77">
        <w:rPr>
          <w:rFonts w:ascii="Arial" w:hAnsi="Arial" w:cs="Arial"/>
        </w:rPr>
        <w:t xml:space="preserve">Srivastava, P. (2024) ‘Comparative Study of In-House vs. External Training Programs: Which Is More Effective?’, </w:t>
      </w:r>
      <w:r w:rsidRPr="008E2F77">
        <w:rPr>
          <w:rFonts w:ascii="Arial" w:hAnsi="Arial" w:cs="Arial"/>
          <w:i/>
          <w:iCs/>
        </w:rPr>
        <w:t>International Journal of Humanities and Social Science Invention (IJHSSI)</w:t>
      </w:r>
      <w:r w:rsidRPr="008E2F77">
        <w:rPr>
          <w:rFonts w:ascii="Arial" w:hAnsi="Arial" w:cs="Arial"/>
        </w:rPr>
        <w:t>, 13(7), pp. 144–150. Available at: https://doi.org/10.35629/7722-1307144150.</w:t>
      </w:r>
    </w:p>
    <w:p w14:paraId="7862FF36" w14:textId="77777777" w:rsidR="008E2F77" w:rsidRPr="008E2F77" w:rsidRDefault="008E2F77" w:rsidP="008E2F77">
      <w:pPr>
        <w:spacing w:before="120" w:after="120"/>
        <w:rPr>
          <w:rFonts w:ascii="Arial" w:hAnsi="Arial" w:cs="Arial"/>
        </w:rPr>
      </w:pPr>
      <w:r w:rsidRPr="008E2F77">
        <w:rPr>
          <w:rFonts w:ascii="Arial" w:hAnsi="Arial" w:cs="Arial"/>
        </w:rPr>
        <w:t xml:space="preserve">Suff, R. (2019) </w:t>
      </w:r>
      <w:r w:rsidRPr="008E2F77">
        <w:rPr>
          <w:rFonts w:ascii="Arial" w:hAnsi="Arial" w:cs="Arial"/>
          <w:i/>
          <w:iCs/>
        </w:rPr>
        <w:t>CIPD | An ethical dilemma</w:t>
      </w:r>
      <w:r w:rsidRPr="008E2F77">
        <w:rPr>
          <w:rFonts w:ascii="Arial" w:hAnsi="Arial" w:cs="Arial"/>
        </w:rPr>
        <w:t xml:space="preserve">, </w:t>
      </w:r>
      <w:r w:rsidRPr="008E2F77">
        <w:rPr>
          <w:rFonts w:ascii="Arial" w:hAnsi="Arial" w:cs="Arial"/>
          <w:i/>
          <w:iCs/>
        </w:rPr>
        <w:t>CIPD</w:t>
      </w:r>
      <w:r w:rsidRPr="008E2F77">
        <w:rPr>
          <w:rFonts w:ascii="Arial" w:hAnsi="Arial" w:cs="Arial"/>
        </w:rPr>
        <w:t>. Available at: https://www.cipd.org/uk/knowledge/bitesize-research/ethical-dilemma/.</w:t>
      </w:r>
    </w:p>
    <w:p w14:paraId="08E5A325" w14:textId="77777777" w:rsidR="008E2F77" w:rsidRPr="008E2F77" w:rsidRDefault="008E2F77" w:rsidP="008E2F77">
      <w:pPr>
        <w:spacing w:before="120" w:after="120"/>
        <w:rPr>
          <w:rFonts w:ascii="Arial" w:hAnsi="Arial" w:cs="Arial"/>
        </w:rPr>
      </w:pPr>
      <w:r w:rsidRPr="008E2F77">
        <w:rPr>
          <w:rFonts w:ascii="Arial" w:hAnsi="Arial" w:cs="Arial"/>
        </w:rPr>
        <w:t xml:space="preserve">Tai, L. (2007) </w:t>
      </w:r>
      <w:r w:rsidRPr="008E2F77">
        <w:rPr>
          <w:rFonts w:ascii="Arial" w:hAnsi="Arial" w:cs="Arial"/>
          <w:i/>
          <w:iCs/>
        </w:rPr>
        <w:t>Corporate e-learning : an inside view on how e-learning is created at IBM</w:t>
      </w:r>
      <w:r w:rsidRPr="008E2F77">
        <w:rPr>
          <w:rFonts w:ascii="Arial" w:hAnsi="Arial" w:cs="Arial"/>
        </w:rPr>
        <w:t>. Oxford University Press.</w:t>
      </w:r>
    </w:p>
    <w:p w14:paraId="6CB084E7" w14:textId="77777777" w:rsidR="008E2F77" w:rsidRPr="008E2F77" w:rsidRDefault="008E2F77" w:rsidP="008E2F77">
      <w:pPr>
        <w:spacing w:before="120" w:after="120"/>
        <w:rPr>
          <w:rFonts w:ascii="Arial" w:hAnsi="Arial" w:cs="Arial"/>
        </w:rPr>
      </w:pPr>
      <w:r w:rsidRPr="008E2F77">
        <w:rPr>
          <w:rFonts w:ascii="Arial" w:hAnsi="Arial" w:cs="Arial"/>
        </w:rPr>
        <w:t xml:space="preserve">Taylor, S. and Woodhams, C. (2022) </w:t>
      </w:r>
      <w:r w:rsidRPr="008E2F77">
        <w:rPr>
          <w:rFonts w:ascii="Arial" w:hAnsi="Arial" w:cs="Arial"/>
          <w:i/>
          <w:iCs/>
        </w:rPr>
        <w:t>Studying Human Resource Management a Guide to the Study, Context and Practice of HR</w:t>
      </w:r>
      <w:r w:rsidRPr="008E2F77">
        <w:rPr>
          <w:rFonts w:ascii="Arial" w:hAnsi="Arial" w:cs="Arial"/>
        </w:rPr>
        <w:t>. 3rd edn. Kogan Page.</w:t>
      </w:r>
    </w:p>
    <w:p w14:paraId="4AE7702D" w14:textId="77777777" w:rsidR="008E2F77" w:rsidRPr="008E2F77" w:rsidRDefault="008E2F77" w:rsidP="008E2F77">
      <w:pPr>
        <w:spacing w:before="120" w:after="120"/>
        <w:rPr>
          <w:rFonts w:ascii="Arial" w:hAnsi="Arial" w:cs="Arial"/>
        </w:rPr>
      </w:pPr>
      <w:r w:rsidRPr="008E2F77">
        <w:rPr>
          <w:rFonts w:ascii="Arial" w:hAnsi="Arial" w:cs="Arial"/>
        </w:rPr>
        <w:t xml:space="preserve">The De Bono Group (2019) </w:t>
      </w:r>
      <w:r w:rsidRPr="008E2F77">
        <w:rPr>
          <w:rFonts w:ascii="Arial" w:hAnsi="Arial" w:cs="Arial"/>
          <w:i/>
          <w:iCs/>
        </w:rPr>
        <w:t>Six thinking hats</w:t>
      </w:r>
      <w:r w:rsidRPr="008E2F77">
        <w:rPr>
          <w:rFonts w:ascii="Arial" w:hAnsi="Arial" w:cs="Arial"/>
        </w:rPr>
        <w:t xml:space="preserve">, </w:t>
      </w:r>
      <w:r w:rsidRPr="008E2F77">
        <w:rPr>
          <w:rFonts w:ascii="Arial" w:hAnsi="Arial" w:cs="Arial"/>
          <w:i/>
          <w:iCs/>
        </w:rPr>
        <w:t>The De Bono Group</w:t>
      </w:r>
      <w:r w:rsidRPr="008E2F77">
        <w:rPr>
          <w:rFonts w:ascii="Arial" w:hAnsi="Arial" w:cs="Arial"/>
        </w:rPr>
        <w:t>. The De Bono Group. Available at: https://www.debonogroup.com/services/core-programs/six-thinking-hats/.</w:t>
      </w:r>
    </w:p>
    <w:p w14:paraId="2BC75BAB" w14:textId="77777777" w:rsidR="008E2F77" w:rsidRPr="008E2F77" w:rsidRDefault="008E2F77" w:rsidP="008E2F77">
      <w:pPr>
        <w:spacing w:before="120" w:after="120"/>
        <w:rPr>
          <w:rFonts w:ascii="Arial" w:hAnsi="Arial" w:cs="Arial"/>
        </w:rPr>
      </w:pPr>
      <w:r w:rsidRPr="008E2F77">
        <w:rPr>
          <w:rFonts w:ascii="Arial" w:hAnsi="Arial" w:cs="Arial"/>
        </w:rPr>
        <w:t xml:space="preserve">Wienand, M., Wulfert, T. and Hoang, H. (2024) ‘Design principles for e-learning platforms featuring higher-education students’ enterprise systems end-user training’, </w:t>
      </w:r>
      <w:r w:rsidRPr="008E2F77">
        <w:rPr>
          <w:rFonts w:ascii="Arial" w:hAnsi="Arial" w:cs="Arial"/>
          <w:i/>
          <w:iCs/>
        </w:rPr>
        <w:t>Discover education</w:t>
      </w:r>
      <w:r w:rsidRPr="008E2F77">
        <w:rPr>
          <w:rFonts w:ascii="Arial" w:hAnsi="Arial" w:cs="Arial"/>
        </w:rPr>
        <w:t>, 3(1). Available at: https://doi.org/10.1007/s44217-024-00165-z.</w:t>
      </w:r>
    </w:p>
    <w:p w14:paraId="1B37531D" w14:textId="77777777" w:rsidR="008E2F77" w:rsidRPr="00D310D1" w:rsidRDefault="008E2F77">
      <w:pPr>
        <w:spacing w:before="120" w:after="120"/>
        <w:rPr>
          <w:rFonts w:ascii="Arial" w:hAnsi="Arial" w:cs="Arial"/>
        </w:rPr>
      </w:pPr>
    </w:p>
    <w:sectPr w:rsidR="008E2F77" w:rsidRPr="00D310D1">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E1A"/>
    <w:rsid w:val="00010999"/>
    <w:rsid w:val="00032E76"/>
    <w:rsid w:val="00052CEF"/>
    <w:rsid w:val="000575DC"/>
    <w:rsid w:val="0007229E"/>
    <w:rsid w:val="000C0DFA"/>
    <w:rsid w:val="000C6CAA"/>
    <w:rsid w:val="000D1F05"/>
    <w:rsid w:val="000F0B43"/>
    <w:rsid w:val="000F7FE0"/>
    <w:rsid w:val="001153C5"/>
    <w:rsid w:val="00116AA9"/>
    <w:rsid w:val="00130759"/>
    <w:rsid w:val="00133E36"/>
    <w:rsid w:val="00167F88"/>
    <w:rsid w:val="00177DE6"/>
    <w:rsid w:val="001847DC"/>
    <w:rsid w:val="001851C5"/>
    <w:rsid w:val="001927C5"/>
    <w:rsid w:val="00192807"/>
    <w:rsid w:val="001C0894"/>
    <w:rsid w:val="001E50BE"/>
    <w:rsid w:val="00201A87"/>
    <w:rsid w:val="00212AC5"/>
    <w:rsid w:val="00244005"/>
    <w:rsid w:val="00251E5B"/>
    <w:rsid w:val="0028031E"/>
    <w:rsid w:val="002A62FA"/>
    <w:rsid w:val="002F417E"/>
    <w:rsid w:val="002F539E"/>
    <w:rsid w:val="003174D4"/>
    <w:rsid w:val="003301AD"/>
    <w:rsid w:val="00335C9B"/>
    <w:rsid w:val="00392149"/>
    <w:rsid w:val="00397908"/>
    <w:rsid w:val="003C1F4F"/>
    <w:rsid w:val="003C2638"/>
    <w:rsid w:val="003E72C6"/>
    <w:rsid w:val="003E75A8"/>
    <w:rsid w:val="0041581A"/>
    <w:rsid w:val="00424061"/>
    <w:rsid w:val="0042747A"/>
    <w:rsid w:val="0048015D"/>
    <w:rsid w:val="00491D3B"/>
    <w:rsid w:val="004A42BA"/>
    <w:rsid w:val="004B3597"/>
    <w:rsid w:val="004B368D"/>
    <w:rsid w:val="004D2525"/>
    <w:rsid w:val="004D3071"/>
    <w:rsid w:val="004D5EA4"/>
    <w:rsid w:val="005429A2"/>
    <w:rsid w:val="0055574F"/>
    <w:rsid w:val="00560647"/>
    <w:rsid w:val="005638C0"/>
    <w:rsid w:val="00587F01"/>
    <w:rsid w:val="0059465E"/>
    <w:rsid w:val="005A2EDA"/>
    <w:rsid w:val="005C2CEE"/>
    <w:rsid w:val="005F1A3E"/>
    <w:rsid w:val="00602DAF"/>
    <w:rsid w:val="00610208"/>
    <w:rsid w:val="00610272"/>
    <w:rsid w:val="0062558F"/>
    <w:rsid w:val="00636E31"/>
    <w:rsid w:val="00640B93"/>
    <w:rsid w:val="006412AC"/>
    <w:rsid w:val="00672A7A"/>
    <w:rsid w:val="006760BE"/>
    <w:rsid w:val="006831EA"/>
    <w:rsid w:val="006A56CC"/>
    <w:rsid w:val="006B0F4E"/>
    <w:rsid w:val="006B53F5"/>
    <w:rsid w:val="006B5C49"/>
    <w:rsid w:val="006D638B"/>
    <w:rsid w:val="006D6438"/>
    <w:rsid w:val="006E3917"/>
    <w:rsid w:val="006E66ED"/>
    <w:rsid w:val="006F5B10"/>
    <w:rsid w:val="00701D95"/>
    <w:rsid w:val="00707E5C"/>
    <w:rsid w:val="0072490A"/>
    <w:rsid w:val="00724EC9"/>
    <w:rsid w:val="00725A02"/>
    <w:rsid w:val="0073376D"/>
    <w:rsid w:val="00735562"/>
    <w:rsid w:val="0076227E"/>
    <w:rsid w:val="00767789"/>
    <w:rsid w:val="0077103B"/>
    <w:rsid w:val="00796A89"/>
    <w:rsid w:val="007A2B66"/>
    <w:rsid w:val="007C15C4"/>
    <w:rsid w:val="007C79F5"/>
    <w:rsid w:val="00810A50"/>
    <w:rsid w:val="00815EFD"/>
    <w:rsid w:val="00852C83"/>
    <w:rsid w:val="008617E7"/>
    <w:rsid w:val="008737DE"/>
    <w:rsid w:val="00883C42"/>
    <w:rsid w:val="008E0FC0"/>
    <w:rsid w:val="008E2F77"/>
    <w:rsid w:val="008F54C2"/>
    <w:rsid w:val="00915DF2"/>
    <w:rsid w:val="00921294"/>
    <w:rsid w:val="00927200"/>
    <w:rsid w:val="00957255"/>
    <w:rsid w:val="00973D68"/>
    <w:rsid w:val="00976892"/>
    <w:rsid w:val="009B2DA3"/>
    <w:rsid w:val="009E05C6"/>
    <w:rsid w:val="00A04064"/>
    <w:rsid w:val="00A12F03"/>
    <w:rsid w:val="00A15F10"/>
    <w:rsid w:val="00A5231A"/>
    <w:rsid w:val="00A64E57"/>
    <w:rsid w:val="00A6542D"/>
    <w:rsid w:val="00A702AA"/>
    <w:rsid w:val="00AC5ADF"/>
    <w:rsid w:val="00AE3D70"/>
    <w:rsid w:val="00B01280"/>
    <w:rsid w:val="00B03A27"/>
    <w:rsid w:val="00B07648"/>
    <w:rsid w:val="00B1517D"/>
    <w:rsid w:val="00B24A1D"/>
    <w:rsid w:val="00B27C96"/>
    <w:rsid w:val="00B31C44"/>
    <w:rsid w:val="00B41AF3"/>
    <w:rsid w:val="00B47310"/>
    <w:rsid w:val="00B4744D"/>
    <w:rsid w:val="00B477D0"/>
    <w:rsid w:val="00B73728"/>
    <w:rsid w:val="00B9669B"/>
    <w:rsid w:val="00B97DF2"/>
    <w:rsid w:val="00BB299F"/>
    <w:rsid w:val="00BB52B0"/>
    <w:rsid w:val="00BE10E1"/>
    <w:rsid w:val="00BF29A2"/>
    <w:rsid w:val="00BF5413"/>
    <w:rsid w:val="00BF755B"/>
    <w:rsid w:val="00C14374"/>
    <w:rsid w:val="00C23D8E"/>
    <w:rsid w:val="00C25A98"/>
    <w:rsid w:val="00C34B40"/>
    <w:rsid w:val="00C62C3C"/>
    <w:rsid w:val="00C7070E"/>
    <w:rsid w:val="00C86A0D"/>
    <w:rsid w:val="00C920F4"/>
    <w:rsid w:val="00CA1D1B"/>
    <w:rsid w:val="00CB08AA"/>
    <w:rsid w:val="00CC5008"/>
    <w:rsid w:val="00D1628D"/>
    <w:rsid w:val="00D2049F"/>
    <w:rsid w:val="00D21A7F"/>
    <w:rsid w:val="00D22AC7"/>
    <w:rsid w:val="00D310D1"/>
    <w:rsid w:val="00D354EF"/>
    <w:rsid w:val="00D464E7"/>
    <w:rsid w:val="00D5307D"/>
    <w:rsid w:val="00D74E50"/>
    <w:rsid w:val="00D94798"/>
    <w:rsid w:val="00D95F12"/>
    <w:rsid w:val="00DB2ED4"/>
    <w:rsid w:val="00DB6CAA"/>
    <w:rsid w:val="00DC3021"/>
    <w:rsid w:val="00DE7408"/>
    <w:rsid w:val="00E130A6"/>
    <w:rsid w:val="00E3187D"/>
    <w:rsid w:val="00E45081"/>
    <w:rsid w:val="00E47E9C"/>
    <w:rsid w:val="00EB4CE6"/>
    <w:rsid w:val="00EC3F3E"/>
    <w:rsid w:val="00ED5E1A"/>
    <w:rsid w:val="00F22520"/>
    <w:rsid w:val="00F23869"/>
    <w:rsid w:val="00F41659"/>
    <w:rsid w:val="00F54277"/>
    <w:rsid w:val="00F67437"/>
    <w:rsid w:val="00F8432F"/>
    <w:rsid w:val="00F905B8"/>
    <w:rsid w:val="00F93BB8"/>
    <w:rsid w:val="00FD7C58"/>
    <w:rsid w:val="00FD7E86"/>
    <w:rsid w:val="00FE7997"/>
    <w:rsid w:val="00FF7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922BB"/>
  <w15:docId w15:val="{6FA454EE-C0B7-464C-8095-B9FEFA29F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lang w:val="en-GB"/>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A9FE4-22CE-4886-8E12-CEB8A341D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15</Pages>
  <Words>5220</Words>
  <Characters>30438</Characters>
  <Application>Microsoft Office Word</Application>
  <DocSecurity>0</DocSecurity>
  <Lines>524</Lines>
  <Paragraphs>155</Paragraphs>
  <ScaleCrop>false</ScaleCrop>
  <Company/>
  <LinksUpToDate>false</LinksUpToDate>
  <CharactersWithSpaces>35503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Evidance based practice 2</dc:title>
  <cp:lastModifiedBy>Meg Clarke</cp:lastModifiedBy>
  <cp:revision>180</cp:revision>
  <dcterms:created xsi:type="dcterms:W3CDTF">2026-02-01T18:34:00Z</dcterms:created>
  <dcterms:modified xsi:type="dcterms:W3CDTF">2026-02-02T17:44:00Z</dcterms:modified>
</cp:coreProperties>
</file>