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13" w:name="_GoBack"/>
      <w:bookmarkEnd w:id="13"/>
      <w:r>
        <w:rPr>
          <w:sz w:val="24"/>
        </w:rPr>
        <mc:AlternateContent>
          <mc:Choice Requires="wps">
            <w:drawing>
              <wp:anchor distT="0" distB="0" distL="114300" distR="114300" simplePos="0" relativeHeight="251663360" behindDoc="0" locked="0" layoutInCell="1" allowOverlap="1">
                <wp:simplePos x="0" y="0"/>
                <wp:positionH relativeFrom="column">
                  <wp:posOffset>-1798320</wp:posOffset>
                </wp:positionH>
                <wp:positionV relativeFrom="paragraph">
                  <wp:posOffset>623570</wp:posOffset>
                </wp:positionV>
                <wp:extent cx="5177155" cy="2252980"/>
                <wp:effectExtent l="4445" t="4445" r="9525" b="9525"/>
                <wp:wrapNone/>
                <wp:docPr id="3" name="文本框 3"/>
                <wp:cNvGraphicFramePr/>
                <a:graphic xmlns:a="http://schemas.openxmlformats.org/drawingml/2006/main">
                  <a:graphicData uri="http://schemas.microsoft.com/office/word/2010/wordprocessingShape">
                    <wps:wsp>
                      <wps:cNvSpPr txBox="1"/>
                      <wps:spPr>
                        <a:xfrm>
                          <a:off x="2319020" y="2135505"/>
                          <a:ext cx="5177155" cy="2252980"/>
                        </a:xfrm>
                        <a:prstGeom prst="rect">
                          <a:avLst/>
                        </a:prstGeom>
                        <a:solidFill>
                          <a:srgbClr val="FFFFFF"/>
                        </a:solidFill>
                        <a:ln w="6350">
                          <a:solidFill>
                            <a:srgbClr val="FFFFFF"/>
                          </a:solidFill>
                        </a:ln>
                        <a:effectLst/>
                      </wps:spPr>
                      <wps:txbx>
                        <w:txbxContent>
                          <w:p>
                            <w:pPr>
                              <w:rPr>
                                <w:rFonts w:hint="eastAsia"/>
                                <w:color w:val="4472C4"/>
                              </w:rPr>
                            </w:pPr>
                            <w:r>
                              <w:rPr>
                                <w:rFonts w:hint="eastAsia"/>
                                <w:color w:val="4472C4"/>
                              </w:rPr>
                              <w:t>Module Code: BMBM6008</w:t>
                            </w:r>
                          </w:p>
                          <w:p>
                            <w:pPr>
                              <w:rPr>
                                <w:rFonts w:hint="eastAsia"/>
                                <w:color w:val="4472C4"/>
                              </w:rPr>
                            </w:pPr>
                            <w:r>
                              <w:rPr>
                                <w:rFonts w:hint="eastAsia"/>
                                <w:color w:val="4472C4"/>
                              </w:rPr>
                              <w:t>Module Title: Global Ethics</w:t>
                            </w:r>
                          </w:p>
                          <w:p>
                            <w:pPr>
                              <w:rPr>
                                <w:rFonts w:hint="eastAsia"/>
                                <w:color w:val="4472C4"/>
                              </w:rPr>
                            </w:pPr>
                            <w:r>
                              <w:rPr>
                                <w:rFonts w:hint="eastAsia"/>
                                <w:color w:val="4472C4"/>
                              </w:rPr>
                              <w:t>Tutor: Mike Durke</w:t>
                            </w:r>
                          </w:p>
                          <w:p>
                            <w:pPr>
                              <w:rPr>
                                <w:rFonts w:hint="eastAsia"/>
                                <w:color w:val="4472C4"/>
                              </w:rPr>
                            </w:pPr>
                            <w:r>
                              <w:rPr>
                                <w:rFonts w:hint="eastAsia"/>
                                <w:color w:val="4472C4"/>
                              </w:rPr>
                              <w:t>Semester 1 2023</w:t>
                            </w:r>
                          </w:p>
                          <w:p>
                            <w:pPr>
                              <w:rPr>
                                <w:rFonts w:hint="eastAsia" w:eastAsia="宋体"/>
                                <w:color w:val="4472C4"/>
                                <w:lang w:val="en-US" w:eastAsia="zh-CN"/>
                              </w:rPr>
                            </w:pPr>
                            <w:r>
                              <w:rPr>
                                <w:rFonts w:hint="eastAsia" w:eastAsia="宋体"/>
                                <w:color w:val="4472C4"/>
                                <w:lang w:val="en-US" w:eastAsia="zh-CN"/>
                              </w:rPr>
                              <w:t>Name: Weizi Yan</w:t>
                            </w:r>
                          </w:p>
                          <w:p>
                            <w:pPr>
                              <w:rPr>
                                <w:rFonts w:hint="eastAsia" w:eastAsia="宋体"/>
                                <w:color w:val="4472C4"/>
                                <w:lang w:val="en-US" w:eastAsia="zh-CN"/>
                              </w:rPr>
                            </w:pPr>
                            <w:r>
                              <w:rPr>
                                <w:rFonts w:hint="eastAsia" w:eastAsia="宋体"/>
                                <w:color w:val="4472C4"/>
                                <w:lang w:val="en-US" w:eastAsia="zh-CN"/>
                              </w:rPr>
                              <w:t>Student number:2307034</w:t>
                            </w:r>
                          </w:p>
                          <w:p>
                            <w:pPr>
                              <w:rPr>
                                <w:rFonts w:hint="default" w:eastAsia="宋体"/>
                                <w:color w:val="4472C4"/>
                                <w:lang w:val="en-US" w:eastAsia="zh-CN"/>
                              </w:rPr>
                            </w:pPr>
                            <w:r>
                              <w:rPr>
                                <w:rFonts w:hint="eastAsia" w:eastAsia="宋体"/>
                                <w:color w:val="4472C4"/>
                                <w:lang w:val="en-US" w:eastAsia="zh-CN"/>
                              </w:rPr>
                              <w:t>Number:2619</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1.6pt;margin-top:49.1pt;height:177.4pt;width:407.65pt;z-index:251663360;mso-width-relative:page;mso-height-relative:page;" fillcolor="#FFFFFF" filled="t" stroked="t" coordsize="21600,21600" o:gfxdata="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">
                <v:fill on="t" focussize="0,0"/>
                <v:stroke weight="0.5pt" color="#FFFFFF" joinstyle="round"/>
                <v:imagedata o:title=""/>
                <o:lock v:ext="edit" aspectratio="f"/>
                <v:textbox>
                  <w:txbxContent>
                    <w:p>
                      <w:pPr>
                        <w:rPr>
                          <w:rFonts w:hint="eastAsia"/>
                          <w:color w:val="4472C4"/>
                        </w:rPr>
                      </w:pPr>
                      <w:r>
                        <w:rPr>
                          <w:rFonts w:hint="eastAsia"/>
                          <w:color w:val="4472C4"/>
                        </w:rPr>
                        <w:t>Module Code: BMBM6008</w:t>
                      </w:r>
                    </w:p>
                    <w:p>
                      <w:pPr>
                        <w:rPr>
                          <w:rFonts w:hint="eastAsia"/>
                          <w:color w:val="4472C4"/>
                        </w:rPr>
                      </w:pPr>
                      <w:r>
                        <w:rPr>
                          <w:rFonts w:hint="eastAsia"/>
                          <w:color w:val="4472C4"/>
                        </w:rPr>
                        <w:t>Module Title: Global Ethics</w:t>
                      </w:r>
                    </w:p>
                    <w:p>
                      <w:pPr>
                        <w:rPr>
                          <w:rFonts w:hint="eastAsia"/>
                          <w:color w:val="4472C4"/>
                        </w:rPr>
                      </w:pPr>
                      <w:r>
                        <w:rPr>
                          <w:rFonts w:hint="eastAsia"/>
                          <w:color w:val="4472C4"/>
                        </w:rPr>
                        <w:t>Tutor: Mike Durke</w:t>
                      </w:r>
                    </w:p>
                    <w:p>
                      <w:pPr>
                        <w:rPr>
                          <w:rFonts w:hint="eastAsia"/>
                          <w:color w:val="4472C4"/>
                        </w:rPr>
                      </w:pPr>
                      <w:r>
                        <w:rPr>
                          <w:rFonts w:hint="eastAsia"/>
                          <w:color w:val="4472C4"/>
                        </w:rPr>
                        <w:t>Semester 1 2023</w:t>
                      </w:r>
                    </w:p>
                    <w:p>
                      <w:pPr>
                        <w:rPr>
                          <w:rFonts w:hint="eastAsia" w:eastAsia="宋体"/>
                          <w:color w:val="4472C4"/>
                          <w:lang w:val="en-US" w:eastAsia="zh-CN"/>
                        </w:rPr>
                      </w:pPr>
                      <w:r>
                        <w:rPr>
                          <w:rFonts w:hint="eastAsia" w:eastAsia="宋体"/>
                          <w:color w:val="4472C4"/>
                          <w:lang w:val="en-US" w:eastAsia="zh-CN"/>
                        </w:rPr>
                        <w:t>Name: Weizi Yan</w:t>
                      </w:r>
                    </w:p>
                    <w:p>
                      <w:pPr>
                        <w:rPr>
                          <w:rFonts w:hint="eastAsia" w:eastAsia="宋体"/>
                          <w:color w:val="4472C4"/>
                          <w:lang w:val="en-US" w:eastAsia="zh-CN"/>
                        </w:rPr>
                      </w:pPr>
                      <w:r>
                        <w:rPr>
                          <w:rFonts w:hint="eastAsia" w:eastAsia="宋体"/>
                          <w:color w:val="4472C4"/>
                          <w:lang w:val="en-US" w:eastAsia="zh-CN"/>
                        </w:rPr>
                        <w:t>Student number:2307034</w:t>
                      </w:r>
                    </w:p>
                    <w:p>
                      <w:pPr>
                        <w:rPr>
                          <w:rFonts w:hint="default" w:eastAsia="宋体"/>
                          <w:color w:val="4472C4"/>
                          <w:lang w:val="en-US" w:eastAsia="zh-CN"/>
                        </w:rPr>
                      </w:pPr>
                      <w:r>
                        <w:rPr>
                          <w:rFonts w:hint="eastAsia" w:eastAsia="宋体"/>
                          <w:color w:val="4472C4"/>
                          <w:lang w:val="en-US" w:eastAsia="zh-CN"/>
                        </w:rPr>
                        <w:t>Number:2619</w:t>
                      </w:r>
                    </w:p>
                  </w:txbxContent>
                </v:textbox>
              </v:shape>
            </w:pict>
          </mc:Fallback>
        </mc:AlternateContent>
      </w:r>
      <w:r>
        <w:rPr>
          <w:rFonts w:ascii="Arial" w:hAnsi="Arial" w:cs="Arial"/>
        </w:rPr>
        <w:drawing>
          <wp:anchor distT="0" distB="0" distL="114300" distR="114300" simplePos="0" relativeHeight="251662336" behindDoc="0" locked="0" layoutInCell="1" allowOverlap="1">
            <wp:simplePos x="0" y="0"/>
            <wp:positionH relativeFrom="column">
              <wp:posOffset>-457200</wp:posOffset>
            </wp:positionH>
            <wp:positionV relativeFrom="paragraph">
              <wp:posOffset>-457200</wp:posOffset>
            </wp:positionV>
            <wp:extent cx="2196465" cy="84201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stretch>
                      <a:fillRect/>
                    </a:stretch>
                  </pic:blipFill>
                  <pic:spPr>
                    <a:xfrm>
                      <a:off x="0" y="0"/>
                      <a:ext cx="2196465" cy="842010"/>
                    </a:xfrm>
                    <a:prstGeom prst="rect">
                      <a:avLst/>
                    </a:prstGeom>
                    <a:noFill/>
                    <a:ln>
                      <a:noFill/>
                    </a:ln>
                  </pic:spPr>
                </pic:pic>
              </a:graphicData>
            </a:graphic>
          </wp:anchor>
        </w:drawing>
      </w:r>
      <w:r>
        <mc:AlternateContent>
          <mc:Choice Requires="wpg">
            <w:drawing>
              <wp:anchor distT="0" distB="0" distL="114300" distR="114300" simplePos="0" relativeHeight="251661312" behindDoc="0" locked="0" layoutInCell="1" allowOverlap="1">
                <wp:simplePos x="0" y="0"/>
                <wp:positionH relativeFrom="page">
                  <wp:posOffset>222885</wp:posOffset>
                </wp:positionH>
                <wp:positionV relativeFrom="page">
                  <wp:posOffset>245745</wp:posOffset>
                </wp:positionV>
                <wp:extent cx="7113905" cy="1292860"/>
                <wp:effectExtent l="0" t="0" r="1270" b="2540"/>
                <wp:wrapNone/>
                <wp:docPr id="149" name="Group 149"/>
                <wp:cNvGraphicFramePr/>
                <a:graphic xmlns:a="http://schemas.openxmlformats.org/drawingml/2006/main">
                  <a:graphicData uri="http://schemas.microsoft.com/office/word/2010/wordprocessingGroup">
                    <wpg:wgp>
                      <wpg:cNvGrpSpPr/>
                      <wpg:grpSpPr>
                        <a:xfrm>
                          <a:off x="0" y="0"/>
                          <a:ext cx="7113905" cy="1292860"/>
                          <a:chOff x="0" y="-1"/>
                          <a:chExt cx="7315200" cy="1216153"/>
                        </a:xfrm>
                        <a:effectLst/>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3"/>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101.8pt;width:560.15pt;mso-position-horizontal-relative:page;mso-position-vertical-relative:page;z-index:251661312;mso-width-relative:page;mso-height-relative:page;mso-width-percent:941;mso-height-percent:121;" coordorigin="0,-1" coordsize="7315200,1216153" o:gfxdata="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">
                <o:lock v:ext="edit" aspectratio="f"/>
                <v:shape id="Rectangle 51" o:spid="_x0000_s1026" o:spt="100" style="position:absolute;left:0;top:-1;height:1130373;width:7315200;v-text-anchor:middle;" fillcolor="#4472C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alt=""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3"/>
                  <v:stroke on="f" weight="1pt" miterlimit="8" joinstyle="miter"/>
                  <v:imagedata o:title=""/>
                  <o:lock v:ext="edit" aspectratio="f"/>
                </v:rect>
              </v:group>
            </w:pict>
          </mc:Fallback>
        </mc:AlternateContent>
      </w:r>
      <w:r>
        <mc:AlternateContent>
          <mc:Choice Requires="wps">
            <w:drawing>
              <wp:anchor distT="0" distB="0" distL="114300" distR="114300" simplePos="0" relativeHeight="251660288" behindDoc="0" locked="0" layoutInCell="1" allowOverlap="1">
                <wp:simplePos x="0" y="0"/>
                <wp:positionH relativeFrom="page">
                  <wp:posOffset>222885</wp:posOffset>
                </wp:positionH>
                <wp:positionV relativeFrom="page">
                  <wp:posOffset>8745855</wp:posOffset>
                </wp:positionV>
                <wp:extent cx="7113905" cy="98298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p>
                            <w:pPr>
                              <w:pStyle w:val="16"/>
                              <w:jc w:val="right"/>
                              <w:rPr>
                                <w:rFonts w:ascii="Arial" w:hAnsi="Arial" w:cs="Arial"/>
                                <w:color w:val="595959"/>
                                <w:sz w:val="28"/>
                                <w:szCs w:val="28"/>
                              </w:rPr>
                            </w:pPr>
                            <w:r>
                              <w:rPr>
                                <w:rFonts w:hint="eastAsia" w:ascii="Arial" w:hAnsi="Arial" w:cs="Arial"/>
                                <w:color w:val="595959"/>
                                <w:sz w:val="28"/>
                                <w:szCs w:val="28"/>
                                <w:lang w:val="en-US" w:eastAsia="zh-CN"/>
                              </w:rPr>
                              <w:t>Weizi Yan 2307034</w:t>
                            </w:r>
                          </w:p>
                          <w:p>
                            <w:pPr>
                              <w:pStyle w:val="16"/>
                              <w:jc w:val="right"/>
                              <w:rPr>
                                <w:rFonts w:ascii="Arial" w:hAnsi="Arial" w:cs="Arial"/>
                                <w:color w:val="595959"/>
                                <w:sz w:val="24"/>
                                <w:szCs w:val="24"/>
                              </w:rPr>
                            </w:pPr>
                            <w:r>
                              <w:rPr>
                                <w:rFonts w:hint="eastAsia" w:ascii="Arial" w:hAnsi="Arial" w:cs="Arial"/>
                                <w:color w:val="595959"/>
                                <w:sz w:val="24"/>
                                <w:szCs w:val="24"/>
                                <w:lang w:val="en-US" w:eastAsia="zh-CN"/>
                              </w:rPr>
                              <w:t>BMBM6008 Global Ethics</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6" o:spt="202" type="#_x0000_t202" style="position:absolute;left:0pt;margin-left:17.55pt;margin-top:688.65pt;height:77.4pt;width:560.15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BKgIND3AAAAA0BAAAPAAAAAAAAAAEAIAAAACIAAABkcnMvZG93bnJl&#10;di54bWxQSwECFAAUAAAACACHTuJA3mT+xzICAAByBAAADgAAAAAAAAABACAAAAArAQAAZHJzL2Uy&#10;b0RvYy54bWxQSwUGAAAAAAYABgBZAQAAzwUAAAAA&#10;">
                <v:fill on="f" focussize="0,0"/>
                <v:stroke on="f" weight="0.5pt"/>
                <v:imagedata o:title=""/>
                <o:lock v:ext="edit" aspectratio="f"/>
                <v:textbox inset="44.45mm,0mm,19.05mm,0mm">
                  <w:txbxContent>
                    <w:p>
                      <w:pPr>
                        <w:pStyle w:val="16"/>
                        <w:jc w:val="right"/>
                        <w:rPr>
                          <w:rFonts w:ascii="Arial" w:hAnsi="Arial" w:cs="Arial"/>
                          <w:color w:val="595959"/>
                          <w:sz w:val="28"/>
                          <w:szCs w:val="28"/>
                        </w:rPr>
                      </w:pPr>
                      <w:r>
                        <w:rPr>
                          <w:rFonts w:hint="eastAsia" w:ascii="Arial" w:hAnsi="Arial" w:cs="Arial"/>
                          <w:color w:val="595959"/>
                          <w:sz w:val="28"/>
                          <w:szCs w:val="28"/>
                          <w:lang w:val="en-US" w:eastAsia="zh-CN"/>
                        </w:rPr>
                        <w:t>Weizi Yan 2307034</w:t>
                      </w:r>
                    </w:p>
                    <w:p>
                      <w:pPr>
                        <w:pStyle w:val="16"/>
                        <w:jc w:val="right"/>
                        <w:rPr>
                          <w:rFonts w:ascii="Arial" w:hAnsi="Arial" w:cs="Arial"/>
                          <w:color w:val="595959"/>
                          <w:sz w:val="24"/>
                          <w:szCs w:val="24"/>
                        </w:rPr>
                      </w:pPr>
                      <w:r>
                        <w:rPr>
                          <w:rFonts w:hint="eastAsia" w:ascii="Arial" w:hAnsi="Arial" w:cs="Arial"/>
                          <w:color w:val="595959"/>
                          <w:sz w:val="24"/>
                          <w:szCs w:val="24"/>
                          <w:lang w:val="en-US" w:eastAsia="zh-CN"/>
                        </w:rPr>
                        <w:t>BMBM6008 Global Ethics</w:t>
                      </w:r>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page">
                  <wp:posOffset>222885</wp:posOffset>
                </wp:positionH>
                <wp:positionV relativeFrom="page">
                  <wp:posOffset>3207385</wp:posOffset>
                </wp:positionV>
                <wp:extent cx="7113905" cy="388048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txbx>
                        <w:txbxContent>
                          <w:p>
                            <w:pPr>
                              <w:jc w:val="right"/>
                              <w:rPr>
                                <w:color w:val="4472C4"/>
                                <w:sz w:val="64"/>
                                <w:szCs w:val="64"/>
                              </w:rPr>
                            </w:pPr>
                            <w:r>
                              <w:rPr>
                                <w:rFonts w:hint="eastAsia"/>
                                <w:caps/>
                                <w:color w:val="4472C4"/>
                                <w:sz w:val="64"/>
                                <w:szCs w:val="64"/>
                              </w:rPr>
                              <w:t>Exploring Cultural Differences in Business Ethics</w:t>
                            </w:r>
                          </w:p>
                          <w:p>
                            <w:pPr>
                              <w:jc w:val="right"/>
                              <w:rPr>
                                <w:smallCaps/>
                                <w:color w:val="3F3F3F"/>
                                <w:sz w:val="36"/>
                                <w:szCs w:val="36"/>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6" o:spt="202" type="#_x0000_t202" style="position:absolute;left:0pt;margin-left:17.55pt;margin-top:252.55pt;height:305.55pt;width:560.15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1uEqP2gAAAAwBAAAPAAAAAAAAAAEAIAAAACIAAABkcnMvZG93bnJl&#10;di54bWxQSwECFAAUAAAACACHTuJAvFmcRDQCAABzBAAADgAAAAAAAAABACAAAAApAQAAZHJzL2Uy&#10;b0RvYy54bWxQSwUGAAAAAAYABgBZAQAAzwUAAAAA&#10;">
                <v:fill on="f" focussize="0,0"/>
                <v:stroke on="f" weight="0.5pt"/>
                <v:imagedata o:title=""/>
                <o:lock v:ext="edit" aspectratio="f"/>
                <v:textbox inset="44.45mm,0mm,19.05mm,0mm">
                  <w:txbxContent>
                    <w:p>
                      <w:pPr>
                        <w:jc w:val="right"/>
                        <w:rPr>
                          <w:color w:val="4472C4"/>
                          <w:sz w:val="64"/>
                          <w:szCs w:val="64"/>
                        </w:rPr>
                      </w:pPr>
                      <w:r>
                        <w:rPr>
                          <w:rFonts w:hint="eastAsia"/>
                          <w:caps/>
                          <w:color w:val="4472C4"/>
                          <w:sz w:val="64"/>
                          <w:szCs w:val="64"/>
                        </w:rPr>
                        <w:t>Exploring Cultural Differences in Business Ethics</w:t>
                      </w:r>
                    </w:p>
                    <w:p>
                      <w:pPr>
                        <w:jc w:val="right"/>
                        <w:rPr>
                          <w:smallCaps/>
                          <w:color w:val="3F3F3F"/>
                          <w:sz w:val="36"/>
                          <w:szCs w:val="36"/>
                        </w:rPr>
                      </w:pPr>
                    </w:p>
                  </w:txbxContent>
                </v:textbox>
                <w10:wrap type="square"/>
              </v:shape>
            </w:pict>
          </mc:Fallback>
        </mc:AlternateContent>
      </w:r>
      <w:r>
        <w:br w:type="page"/>
      </w:r>
    </w:p>
    <w:p>
      <w:pPr>
        <w:pStyle w:val="2"/>
        <w:bidi w:val="0"/>
        <w:rPr>
          <w:sz w:val="28"/>
          <w:szCs w:val="28"/>
        </w:rPr>
      </w:pPr>
      <w:bookmarkStart w:id="0" w:name="_Toc5374"/>
      <w:r>
        <w:rPr>
          <w:sz w:val="28"/>
          <w:szCs w:val="28"/>
        </w:rPr>
        <w:t>Executive Summary</w:t>
      </w:r>
      <w:bookmarkEnd w:id="0"/>
    </w:p>
    <w:p>
      <w:r>
        <w:rPr>
          <w:rFonts w:hint="eastAsia"/>
        </w:rPr>
        <w:t>This paper explores ethical differences in global business, and its associated theories and challenges. It focuses on Hofstede's theory of cultural dimensions, cultural conflict theory, and moral relativism, and explores the ethical responsibilities that firms face in global business activities. The article emphasises the importance of cultural differences in transnational negotiations and communication, and the complexity of ethical challenges for businesses in the global marketplace</w:t>
      </w:r>
      <w:r>
        <w:br w:type="page"/>
      </w:r>
    </w:p>
    <w:p>
      <w:pPr>
        <w:pStyle w:val="18"/>
        <w:rPr>
          <w:b/>
          <w:bCs/>
          <w:color w:val="auto"/>
        </w:rPr>
      </w:pPr>
      <w:r>
        <w:rPr>
          <w:b/>
          <w:bCs/>
          <w:color w:val="auto"/>
        </w:rPr>
        <w:t>Contents</w:t>
      </w:r>
    </w:p>
    <w:p>
      <w:pPr>
        <w:pStyle w:val="6"/>
        <w:tabs>
          <w:tab w:val="right" w:leader="dot" w:pos="9026"/>
        </w:tabs>
      </w:pPr>
      <w:r>
        <w:fldChar w:fldCharType="begin"/>
      </w:r>
      <w:r>
        <w:instrText xml:space="preserve"> TOC \o "1-3" \h \z \u </w:instrText>
      </w:r>
      <w:r>
        <w:fldChar w:fldCharType="separate"/>
      </w:r>
      <w:r>
        <w:fldChar w:fldCharType="begin"/>
      </w:r>
      <w:r>
        <w:instrText xml:space="preserve"> HYPERLINK \l _Toc5374 </w:instrText>
      </w:r>
      <w:r>
        <w:fldChar w:fldCharType="separate"/>
      </w:r>
      <w:r>
        <w:rPr>
          <w:szCs w:val="28"/>
        </w:rPr>
        <w:t>Executive Summary</w:t>
      </w:r>
      <w:r>
        <w:tab/>
      </w:r>
      <w:r>
        <w:fldChar w:fldCharType="begin"/>
      </w:r>
      <w:r>
        <w:instrText xml:space="preserve"> PAGEREF _Toc5374 \h </w:instrText>
      </w:r>
      <w:r>
        <w:fldChar w:fldCharType="separate"/>
      </w:r>
      <w:r>
        <w:t>1</w:t>
      </w:r>
      <w:r>
        <w:fldChar w:fldCharType="end"/>
      </w:r>
      <w:r>
        <w:fldChar w:fldCharType="end"/>
      </w:r>
    </w:p>
    <w:p>
      <w:pPr>
        <w:pStyle w:val="6"/>
        <w:tabs>
          <w:tab w:val="right" w:leader="dot" w:pos="9026"/>
        </w:tabs>
      </w:pPr>
      <w:r>
        <w:rPr>
          <w:bCs/>
        </w:rPr>
        <w:fldChar w:fldCharType="begin"/>
      </w:r>
      <w:r>
        <w:rPr>
          <w:bCs/>
        </w:rPr>
        <w:instrText xml:space="preserve"> HYPERLINK \l _Toc11399 </w:instrText>
      </w:r>
      <w:r>
        <w:rPr>
          <w:bCs/>
        </w:rPr>
        <w:fldChar w:fldCharType="separate"/>
      </w:r>
      <w:r>
        <w:rPr>
          <w:rFonts w:hint="eastAsia" w:cs="Arial"/>
          <w:bCs/>
          <w:szCs w:val="28"/>
          <w:lang w:val="en-US" w:eastAsia="zh-CN"/>
        </w:rPr>
        <w:t xml:space="preserve">1.0 </w:t>
      </w:r>
      <w:r>
        <w:rPr>
          <w:rFonts w:hint="default" w:ascii="Arial" w:hAnsi="Arial" w:cs="Arial"/>
          <w:bCs/>
          <w:szCs w:val="28"/>
        </w:rPr>
        <w:t>Introduction</w:t>
      </w:r>
      <w:r>
        <w:tab/>
      </w:r>
      <w:r>
        <w:fldChar w:fldCharType="begin"/>
      </w:r>
      <w:r>
        <w:instrText xml:space="preserve"> PAGEREF _Toc11399 \h </w:instrText>
      </w:r>
      <w:r>
        <w:fldChar w:fldCharType="separate"/>
      </w:r>
      <w:r>
        <w:t>1</w:t>
      </w:r>
      <w:r>
        <w:fldChar w:fldCharType="end"/>
      </w:r>
      <w:r>
        <w:rPr>
          <w:bCs/>
        </w:rPr>
        <w:fldChar w:fldCharType="end"/>
      </w:r>
    </w:p>
    <w:p>
      <w:pPr>
        <w:pStyle w:val="6"/>
        <w:tabs>
          <w:tab w:val="right" w:leader="dot" w:pos="9026"/>
        </w:tabs>
      </w:pPr>
      <w:r>
        <w:rPr>
          <w:bCs/>
        </w:rPr>
        <w:fldChar w:fldCharType="begin"/>
      </w:r>
      <w:r>
        <w:rPr>
          <w:bCs/>
        </w:rPr>
        <w:instrText xml:space="preserve"> HYPERLINK \l _Toc10788 </w:instrText>
      </w:r>
      <w:r>
        <w:rPr>
          <w:bCs/>
        </w:rPr>
        <w:fldChar w:fldCharType="separate"/>
      </w:r>
      <w:r>
        <w:rPr>
          <w:rFonts w:hint="eastAsia" w:cs="Arial"/>
          <w:bCs/>
          <w:szCs w:val="28"/>
          <w:lang w:val="en-US" w:eastAsia="zh-CN"/>
        </w:rPr>
        <w:t>2.0 Core values of ethical differences</w:t>
      </w:r>
      <w:r>
        <w:tab/>
      </w:r>
      <w:r>
        <w:fldChar w:fldCharType="begin"/>
      </w:r>
      <w:r>
        <w:instrText xml:space="preserve"> PAGEREF _Toc10788 \h </w:instrText>
      </w:r>
      <w:r>
        <w:fldChar w:fldCharType="separate"/>
      </w:r>
      <w:r>
        <w:t>1</w:t>
      </w:r>
      <w:r>
        <w:fldChar w:fldCharType="end"/>
      </w:r>
      <w:r>
        <w:rPr>
          <w:bCs/>
        </w:rPr>
        <w:fldChar w:fldCharType="end"/>
      </w:r>
    </w:p>
    <w:p>
      <w:pPr>
        <w:pStyle w:val="7"/>
        <w:tabs>
          <w:tab w:val="right" w:leader="dot" w:pos="9026"/>
        </w:tabs>
      </w:pPr>
      <w:r>
        <w:rPr>
          <w:bCs/>
        </w:rPr>
        <w:fldChar w:fldCharType="begin"/>
      </w:r>
      <w:r>
        <w:rPr>
          <w:bCs/>
        </w:rPr>
        <w:instrText xml:space="preserve"> HYPERLINK \l _Toc16914 </w:instrText>
      </w:r>
      <w:r>
        <w:rPr>
          <w:bCs/>
        </w:rPr>
        <w:fldChar w:fldCharType="separate"/>
      </w:r>
      <w:r>
        <w:rPr>
          <w:rFonts w:hint="eastAsia" w:cs="Arial"/>
          <w:bCs/>
          <w:szCs w:val="24"/>
          <w:lang w:val="en-US" w:eastAsia="zh-CN"/>
        </w:rPr>
        <w:t>2.1 Cultural dimensions theory</w:t>
      </w:r>
      <w:r>
        <w:tab/>
      </w:r>
      <w:r>
        <w:fldChar w:fldCharType="begin"/>
      </w:r>
      <w:r>
        <w:instrText xml:space="preserve"> PAGEREF _Toc16914 \h </w:instrText>
      </w:r>
      <w:r>
        <w:fldChar w:fldCharType="separate"/>
      </w:r>
      <w:r>
        <w:t>1</w:t>
      </w:r>
      <w:r>
        <w:fldChar w:fldCharType="end"/>
      </w:r>
      <w:r>
        <w:rPr>
          <w:bCs/>
        </w:rPr>
        <w:fldChar w:fldCharType="end"/>
      </w:r>
    </w:p>
    <w:p>
      <w:pPr>
        <w:pStyle w:val="7"/>
        <w:tabs>
          <w:tab w:val="right" w:leader="dot" w:pos="9026"/>
        </w:tabs>
      </w:pPr>
      <w:r>
        <w:rPr>
          <w:bCs/>
        </w:rPr>
        <w:fldChar w:fldCharType="begin"/>
      </w:r>
      <w:r>
        <w:rPr>
          <w:bCs/>
        </w:rPr>
        <w:instrText xml:space="preserve"> HYPERLINK \l _Toc28581 </w:instrText>
      </w:r>
      <w:r>
        <w:rPr>
          <w:bCs/>
        </w:rPr>
        <w:fldChar w:fldCharType="separate"/>
      </w:r>
      <w:r>
        <w:rPr>
          <w:rFonts w:hint="default" w:ascii="Arial" w:hAnsi="Arial" w:cs="Arial"/>
          <w:bCs/>
          <w:szCs w:val="24"/>
        </w:rPr>
        <w:t>2.2 Culture clash theory</w:t>
      </w:r>
      <w:r>
        <w:tab/>
      </w:r>
      <w:r>
        <w:fldChar w:fldCharType="begin"/>
      </w:r>
      <w:r>
        <w:instrText xml:space="preserve"> PAGEREF _Toc28581 \h </w:instrText>
      </w:r>
      <w:r>
        <w:fldChar w:fldCharType="separate"/>
      </w:r>
      <w:r>
        <w:t>2</w:t>
      </w:r>
      <w:r>
        <w:fldChar w:fldCharType="end"/>
      </w:r>
      <w:r>
        <w:rPr>
          <w:bCs/>
        </w:rPr>
        <w:fldChar w:fldCharType="end"/>
      </w:r>
    </w:p>
    <w:p>
      <w:pPr>
        <w:pStyle w:val="7"/>
        <w:tabs>
          <w:tab w:val="right" w:leader="dot" w:pos="9026"/>
        </w:tabs>
      </w:pPr>
      <w:r>
        <w:rPr>
          <w:bCs/>
        </w:rPr>
        <w:fldChar w:fldCharType="begin"/>
      </w:r>
      <w:r>
        <w:rPr>
          <w:bCs/>
        </w:rPr>
        <w:instrText xml:space="preserve"> HYPERLINK \l _Toc20421 </w:instrText>
      </w:r>
      <w:r>
        <w:rPr>
          <w:bCs/>
        </w:rPr>
        <w:fldChar w:fldCharType="separate"/>
      </w:r>
      <w:r>
        <w:rPr>
          <w:rFonts w:hint="default" w:ascii="Arial" w:hAnsi="Arial" w:cs="Arial"/>
          <w:bCs/>
          <w:szCs w:val="24"/>
        </w:rPr>
        <w:t>2.3 Moral relativism</w:t>
      </w:r>
      <w:r>
        <w:tab/>
      </w:r>
      <w:r>
        <w:fldChar w:fldCharType="begin"/>
      </w:r>
      <w:r>
        <w:instrText xml:space="preserve"> PAGEREF _Toc20421 \h </w:instrText>
      </w:r>
      <w:r>
        <w:fldChar w:fldCharType="separate"/>
      </w:r>
      <w:r>
        <w:t>3</w:t>
      </w:r>
      <w:r>
        <w:fldChar w:fldCharType="end"/>
      </w:r>
      <w:r>
        <w:rPr>
          <w:bCs/>
        </w:rPr>
        <w:fldChar w:fldCharType="end"/>
      </w:r>
    </w:p>
    <w:p>
      <w:pPr>
        <w:pStyle w:val="6"/>
        <w:tabs>
          <w:tab w:val="right" w:leader="dot" w:pos="9026"/>
        </w:tabs>
      </w:pPr>
      <w:r>
        <w:rPr>
          <w:bCs/>
        </w:rPr>
        <w:fldChar w:fldCharType="begin"/>
      </w:r>
      <w:r>
        <w:rPr>
          <w:bCs/>
        </w:rPr>
        <w:instrText xml:space="preserve"> HYPERLINK \l _Toc23053 </w:instrText>
      </w:r>
      <w:r>
        <w:rPr>
          <w:bCs/>
        </w:rPr>
        <w:fldChar w:fldCharType="separate"/>
      </w:r>
      <w:r>
        <w:rPr>
          <w:rFonts w:hint="default" w:ascii="Arial" w:hAnsi="Arial" w:cs="Arial"/>
          <w:bCs/>
          <w:szCs w:val="28"/>
        </w:rPr>
        <w:t>3.0 Ethical Responsibility of Businesses</w:t>
      </w:r>
      <w:r>
        <w:tab/>
      </w:r>
      <w:r>
        <w:fldChar w:fldCharType="begin"/>
      </w:r>
      <w:r>
        <w:instrText xml:space="preserve"> PAGEREF _Toc23053 \h </w:instrText>
      </w:r>
      <w:r>
        <w:fldChar w:fldCharType="separate"/>
      </w:r>
      <w:r>
        <w:t>5</w:t>
      </w:r>
      <w:r>
        <w:fldChar w:fldCharType="end"/>
      </w:r>
      <w:r>
        <w:rPr>
          <w:bCs/>
        </w:rPr>
        <w:fldChar w:fldCharType="end"/>
      </w:r>
    </w:p>
    <w:p>
      <w:pPr>
        <w:pStyle w:val="6"/>
        <w:tabs>
          <w:tab w:val="right" w:leader="dot" w:pos="9026"/>
        </w:tabs>
      </w:pPr>
      <w:r>
        <w:rPr>
          <w:bCs/>
        </w:rPr>
        <w:fldChar w:fldCharType="begin"/>
      </w:r>
      <w:r>
        <w:rPr>
          <w:bCs/>
        </w:rPr>
        <w:instrText xml:space="preserve"> HYPERLINK \l _Toc19370 </w:instrText>
      </w:r>
      <w:r>
        <w:rPr>
          <w:bCs/>
        </w:rPr>
        <w:fldChar w:fldCharType="separate"/>
      </w:r>
      <w:r>
        <w:rPr>
          <w:rFonts w:hint="default"/>
          <w:szCs w:val="28"/>
        </w:rPr>
        <w:t>4.0 Global ethical challenges</w:t>
      </w:r>
      <w:r>
        <w:tab/>
      </w:r>
      <w:r>
        <w:fldChar w:fldCharType="begin"/>
      </w:r>
      <w:r>
        <w:instrText xml:space="preserve"> PAGEREF _Toc19370 \h </w:instrText>
      </w:r>
      <w:r>
        <w:fldChar w:fldCharType="separate"/>
      </w:r>
      <w:r>
        <w:t>6</w:t>
      </w:r>
      <w:r>
        <w:fldChar w:fldCharType="end"/>
      </w:r>
      <w:r>
        <w:rPr>
          <w:bCs/>
        </w:rPr>
        <w:fldChar w:fldCharType="end"/>
      </w:r>
    </w:p>
    <w:p>
      <w:pPr>
        <w:pStyle w:val="6"/>
        <w:tabs>
          <w:tab w:val="right" w:leader="dot" w:pos="9026"/>
        </w:tabs>
      </w:pPr>
      <w:r>
        <w:rPr>
          <w:bCs/>
        </w:rPr>
        <w:fldChar w:fldCharType="begin"/>
      </w:r>
      <w:r>
        <w:rPr>
          <w:bCs/>
        </w:rPr>
        <w:instrText xml:space="preserve"> HYPERLINK \l _Toc21544 </w:instrText>
      </w:r>
      <w:r>
        <w:rPr>
          <w:bCs/>
        </w:rPr>
        <w:fldChar w:fldCharType="separate"/>
      </w:r>
      <w:r>
        <w:rPr>
          <w:rFonts w:hint="default" w:ascii="Arial" w:hAnsi="Arial" w:cs="Arial"/>
          <w:bCs/>
          <w:szCs w:val="28"/>
        </w:rPr>
        <w:t>Conclusion</w:t>
      </w:r>
      <w:r>
        <w:tab/>
      </w:r>
      <w:r>
        <w:fldChar w:fldCharType="begin"/>
      </w:r>
      <w:r>
        <w:instrText xml:space="preserve"> PAGEREF _Toc21544 \h </w:instrText>
      </w:r>
      <w:r>
        <w:fldChar w:fldCharType="separate"/>
      </w:r>
      <w:r>
        <w:t>7</w:t>
      </w:r>
      <w:r>
        <w:fldChar w:fldCharType="end"/>
      </w:r>
      <w:r>
        <w:rPr>
          <w:bCs/>
        </w:rPr>
        <w:fldChar w:fldCharType="end"/>
      </w:r>
    </w:p>
    <w:p>
      <w:pPr>
        <w:pStyle w:val="6"/>
        <w:tabs>
          <w:tab w:val="right" w:leader="dot" w:pos="9026"/>
        </w:tabs>
      </w:pPr>
      <w:r>
        <w:rPr>
          <w:bCs/>
        </w:rPr>
        <w:fldChar w:fldCharType="begin"/>
      </w:r>
      <w:r>
        <w:rPr>
          <w:bCs/>
        </w:rPr>
        <w:instrText xml:space="preserve"> HYPERLINK \l _Toc13983 </w:instrText>
      </w:r>
      <w:r>
        <w:rPr>
          <w:bCs/>
        </w:rPr>
        <w:fldChar w:fldCharType="separate"/>
      </w:r>
      <w:r>
        <w:rPr>
          <w:rFonts w:hint="default" w:ascii="Arial" w:hAnsi="Arial" w:cs="Arial"/>
          <w:bCs/>
          <w:szCs w:val="28"/>
        </w:rPr>
        <w:t>References</w:t>
      </w:r>
      <w:r>
        <w:tab/>
      </w:r>
      <w:r>
        <w:fldChar w:fldCharType="begin"/>
      </w:r>
      <w:r>
        <w:instrText xml:space="preserve"> PAGEREF _Toc13983 \h </w:instrText>
      </w:r>
      <w:r>
        <w:fldChar w:fldCharType="separate"/>
      </w:r>
      <w:r>
        <w:t>8</w:t>
      </w:r>
      <w:r>
        <w:fldChar w:fldCharType="end"/>
      </w:r>
      <w:r>
        <w:rPr>
          <w:bCs/>
        </w:rPr>
        <w:fldChar w:fldCharType="end"/>
      </w:r>
    </w:p>
    <w:p>
      <w:r>
        <w:rPr>
          <w:bCs/>
        </w:rPr>
        <w:fldChar w:fldCharType="end"/>
      </w:r>
    </w:p>
    <w:p>
      <w:pPr>
        <w:pStyle w:val="2"/>
        <w:bidi w:val="0"/>
        <w:rPr>
          <w:rFonts w:hint="default" w:ascii="Arial" w:hAnsi="Arial" w:cs="Arial"/>
          <w:b/>
          <w:bCs/>
          <w:sz w:val="24"/>
          <w:szCs w:val="24"/>
        </w:rPr>
        <w:sectPr>
          <w:footerReference r:id="rId6" w:type="default"/>
          <w:headerReference r:id="rId5" w:type="even"/>
          <w:footerReference r:id="rId7" w:type="even"/>
          <w:pgSz w:w="11906" w:h="16838"/>
          <w:pgMar w:top="1440" w:right="1440" w:bottom="1440" w:left="1440" w:header="708" w:footer="708" w:gutter="0"/>
          <w:pgNumType w:start="0"/>
          <w:cols w:space="720" w:num="1"/>
          <w:titlePg/>
          <w:docGrid w:linePitch="360" w:charSpace="0"/>
        </w:sectPr>
      </w:pPr>
    </w:p>
    <w:p>
      <w:pPr>
        <w:pStyle w:val="2"/>
        <w:bidi w:val="0"/>
        <w:rPr>
          <w:rFonts w:hint="default" w:ascii="Arial" w:hAnsi="Arial" w:cs="Arial"/>
          <w:b/>
          <w:bCs/>
          <w:sz w:val="28"/>
          <w:szCs w:val="28"/>
        </w:rPr>
      </w:pPr>
      <w:bookmarkStart w:id="1" w:name="_Toc11399"/>
      <w:r>
        <w:rPr>
          <w:rFonts w:hint="eastAsia" w:cs="Arial"/>
          <w:b/>
          <w:bCs/>
          <w:sz w:val="28"/>
          <w:szCs w:val="28"/>
          <w:lang w:val="en-US" w:eastAsia="zh-CN"/>
        </w:rPr>
        <w:t xml:space="preserve">1.0 </w:t>
      </w:r>
      <w:r>
        <w:rPr>
          <w:rFonts w:hint="default" w:ascii="Arial" w:hAnsi="Arial" w:cs="Arial"/>
          <w:b/>
          <w:bCs/>
          <w:sz w:val="28"/>
          <w:szCs w:val="28"/>
        </w:rPr>
        <w:t>Introduction</w:t>
      </w:r>
      <w:bookmarkEnd w:id="1"/>
    </w:p>
    <w:p>
      <w:pPr>
        <w:rPr>
          <w:rFonts w:hint="default" w:ascii="Arial" w:hAnsi="Arial" w:cs="Arial"/>
          <w:b w:val="0"/>
          <w:bCs w:val="0"/>
          <w:sz w:val="24"/>
          <w:szCs w:val="24"/>
        </w:rPr>
      </w:pPr>
      <w:r>
        <w:rPr>
          <w:rFonts w:hint="default" w:ascii="Arial" w:hAnsi="Arial" w:cs="Arial"/>
          <w:b w:val="0"/>
          <w:bCs w:val="0"/>
          <w:sz w:val="24"/>
          <w:szCs w:val="24"/>
        </w:rPr>
        <w:t>As the process of globalisation continues to accelerate, enterprises must understand and respond to the ethical challenges posed by various cultural differences in transnational business. The purpose of this paper is to provide an in-depth discussion of the phenomenon of ethical differences in global business and its theoretical underpinnings, as well as the responsibilities and challenges of enterprises in this context.</w:t>
      </w:r>
    </w:p>
    <w:p>
      <w:pPr>
        <w:rPr>
          <w:rFonts w:hint="default" w:ascii="Arial" w:hAnsi="Arial" w:cs="Arial"/>
          <w:b w:val="0"/>
          <w:bCs w:val="0"/>
          <w:sz w:val="24"/>
          <w:szCs w:val="24"/>
        </w:rPr>
      </w:pPr>
    </w:p>
    <w:p>
      <w:pPr>
        <w:pStyle w:val="2"/>
        <w:bidi w:val="0"/>
        <w:rPr>
          <w:rFonts w:hint="eastAsia" w:ascii="Arial" w:hAnsi="Arial" w:eastAsia="等线 Light" w:cs="Arial"/>
          <w:b/>
          <w:bCs/>
          <w:sz w:val="28"/>
          <w:szCs w:val="28"/>
          <w:lang w:val="en-US" w:eastAsia="zh-CN"/>
        </w:rPr>
      </w:pPr>
      <w:bookmarkStart w:id="2" w:name="_Toc10788"/>
      <w:bookmarkStart w:id="3" w:name="OLE_LINK4"/>
      <w:bookmarkStart w:id="4" w:name="OLE_LINK3"/>
      <w:r>
        <w:rPr>
          <w:rFonts w:hint="eastAsia" w:cs="Arial"/>
          <w:b/>
          <w:bCs/>
          <w:sz w:val="28"/>
          <w:szCs w:val="28"/>
          <w:lang w:val="en-US" w:eastAsia="zh-CN"/>
        </w:rPr>
        <w:t>2.0 Core values of ethical differences</w:t>
      </w:r>
      <w:bookmarkEnd w:id="2"/>
    </w:p>
    <w:bookmarkEnd w:id="3"/>
    <w:bookmarkEnd w:id="4"/>
    <w:p>
      <w:pPr>
        <w:rPr>
          <w:rFonts w:hint="default" w:ascii="Arial" w:hAnsi="Arial" w:cs="Arial"/>
          <w:b w:val="0"/>
          <w:bCs w:val="0"/>
          <w:sz w:val="24"/>
          <w:szCs w:val="24"/>
        </w:rPr>
      </w:pPr>
      <w:r>
        <w:rPr>
          <w:rFonts w:hint="default" w:ascii="Arial" w:hAnsi="Arial" w:cs="Arial"/>
          <w:b w:val="0"/>
          <w:bCs w:val="0"/>
          <w:sz w:val="24"/>
          <w:szCs w:val="24"/>
        </w:rPr>
        <w:t>The core values of various ethical tensions need to be considered when conducting business between different countries. For example, in some countries, business negotiations may place greater emphasis on interpersonal relationships, while in others the focus may be more on contractual terms. And such differences may lead to different ways of communicating and transacting, with far-reaching implications for global business activities. The possibility of trading in the global market without compromising ethical principles can be analysed through cultural dimensions theory, cultural conflict theory, and moral relativism.</w:t>
      </w:r>
    </w:p>
    <w:p>
      <w:pPr>
        <w:rPr>
          <w:rFonts w:hint="default" w:ascii="Arial" w:hAnsi="Arial" w:cs="Arial"/>
          <w:b w:val="0"/>
          <w:bCs w:val="0"/>
          <w:sz w:val="24"/>
          <w:szCs w:val="24"/>
        </w:rPr>
      </w:pPr>
    </w:p>
    <w:p>
      <w:pPr>
        <w:pStyle w:val="3"/>
        <w:bidi w:val="0"/>
        <w:rPr>
          <w:rFonts w:hint="eastAsia" w:cs="Arial"/>
          <w:b/>
          <w:bCs/>
          <w:sz w:val="24"/>
          <w:szCs w:val="24"/>
          <w:lang w:val="en-US" w:eastAsia="zh-CN"/>
        </w:rPr>
      </w:pPr>
      <w:bookmarkStart w:id="5" w:name="_Toc16914"/>
      <w:bookmarkStart w:id="6" w:name="OLE_LINK6"/>
      <w:r>
        <w:rPr>
          <w:rFonts w:hint="eastAsia" w:cs="Arial"/>
          <w:b/>
          <w:bCs/>
          <w:sz w:val="24"/>
          <w:szCs w:val="24"/>
          <w:lang w:val="en-US" w:eastAsia="zh-CN"/>
        </w:rPr>
        <w:t>2.1 Cultural dimensions theory</w:t>
      </w:r>
      <w:bookmarkEnd w:id="5"/>
    </w:p>
    <w:p>
      <w:pPr>
        <w:rPr>
          <w:rFonts w:hint="eastAsia"/>
          <w:lang w:val="en-US" w:eastAsia="zh-CN"/>
        </w:rPr>
      </w:pPr>
      <w:r>
        <w:rPr>
          <w:rFonts w:hint="eastAsia"/>
          <w:lang w:val="en-US" w:eastAsia="zh-CN"/>
        </w:rPr>
        <w:t>For the cultural dimensions theory, the Dutch psychologist Hofstede proposed the cultural dimensions theory, which by comparing and analysing cultures in different countries, summarises cultural differences into six dimensions: power distance, uncertainty avoidance, individualism versus collectivism, male versus female gender roles, long term versus short term orientation, and indulgence versus restraint (Tomei, Lawrence 2014) . These dimensions reveal the differences in values, work styles, and communication styles in different countries, which influence the ethical perceptions of business activities.</w:t>
      </w:r>
    </w:p>
    <w:p>
      <w:pPr>
        <w:rPr>
          <w:rFonts w:hint="eastAsia"/>
          <w:lang w:val="en-US" w:eastAsia="zh-CN"/>
        </w:rPr>
      </w:pPr>
    </w:p>
    <w:p>
      <w:pPr>
        <w:rPr>
          <w:rFonts w:hint="eastAsia"/>
          <w:lang w:val="en-US" w:eastAsia="zh-CN"/>
        </w:rPr>
      </w:pPr>
      <w:r>
        <w:rPr>
          <w:rFonts w:hint="eastAsia"/>
          <w:lang w:val="en-US" w:eastAsia="zh-CN"/>
        </w:rPr>
        <w:t>For power distance, it refers to the level of power distribution and acceptance among members in a society. Higher power distance represents respect for authority and hierarchy, while lower power distance reflects a more egalitarian and open social structure. For example, Japan is a culture that places a high value on power distance, while Sweden is a relatively egalitarian culture.</w:t>
      </w:r>
    </w:p>
    <w:p>
      <w:pPr>
        <w:rPr>
          <w:rFonts w:hint="eastAsia"/>
          <w:lang w:val="en-US" w:eastAsia="zh-CN"/>
        </w:rPr>
      </w:pPr>
    </w:p>
    <w:p>
      <w:pPr>
        <w:rPr>
          <w:rFonts w:hint="eastAsia"/>
          <w:lang w:val="en-US" w:eastAsia="zh-CN"/>
        </w:rPr>
      </w:pPr>
      <w:r>
        <w:rPr>
          <w:rFonts w:hint="eastAsia"/>
          <w:lang w:val="en-US" w:eastAsia="zh-CN"/>
        </w:rPr>
        <w:t>For uncertainty avoidance, it reflects attitudes towards the future and uncertainty. Higher uncertainty avoidance implies avoidance and anxiety about risk and uncertainty, while lower uncertainty avoidance shows greater flexibility and adaptability. For example, Japan is a strongly uncertainty-averse culture, whereas Sweden is a weakly uncertainty-averse culture....</w:t>
      </w:r>
    </w:p>
    <w:p>
      <w:pPr>
        <w:rPr>
          <w:rFonts w:hint="eastAsia"/>
          <w:lang w:val="en-US" w:eastAsia="zh-CN"/>
        </w:rPr>
      </w:pPr>
    </w:p>
    <w:p>
      <w:pPr>
        <w:rPr>
          <w:rFonts w:hint="eastAsia"/>
          <w:lang w:val="en-US" w:eastAsia="zh-CN"/>
        </w:rPr>
      </w:pPr>
      <w:r>
        <w:rPr>
          <w:rFonts w:hint="eastAsia"/>
          <w:lang w:val="en-US" w:eastAsia="zh-CN"/>
        </w:rPr>
        <w:t>For individualism versus collectivism, characterises the closeness of the relationship between the individual and the collective in a society. Individualism emphasises individual freedom, independence and self-fulfilment, while collectivism stresses teamwork, shared responsibility and the collective good. For example, Sweden is an individualistic culture, while Japan is a collectivistic culture.</w:t>
      </w:r>
    </w:p>
    <w:p>
      <w:pPr>
        <w:rPr>
          <w:rFonts w:hint="eastAsia"/>
          <w:lang w:val="en-US" w:eastAsia="zh-CN"/>
        </w:rPr>
      </w:pPr>
    </w:p>
    <w:p>
      <w:pPr>
        <w:rPr>
          <w:rFonts w:hint="eastAsia"/>
          <w:lang w:val="en-US" w:eastAsia="zh-CN"/>
        </w:rPr>
      </w:pPr>
      <w:r>
        <w:rPr>
          <w:rFonts w:hint="eastAsia"/>
          <w:lang w:val="en-US" w:eastAsia="zh-CN"/>
        </w:rPr>
        <w:t>Gender roles for males and females reflect preferences for masculine and feminine traits in society. Masculinity emphasises competition, success and achievement, while femininity emphasises caring, cooperation and quality of life. For example, Japan is a masculine culture, while Sweden is a feminine culture.</w:t>
      </w:r>
    </w:p>
    <w:p>
      <w:pPr>
        <w:rPr>
          <w:rFonts w:hint="eastAsia"/>
          <w:lang w:val="en-US" w:eastAsia="zh-CN"/>
        </w:rPr>
      </w:pPr>
    </w:p>
    <w:p>
      <w:pPr>
        <w:rPr>
          <w:rFonts w:hint="eastAsia"/>
          <w:lang w:val="en-US" w:eastAsia="zh-CN"/>
        </w:rPr>
      </w:pPr>
      <w:r>
        <w:rPr>
          <w:rFonts w:hint="eastAsia"/>
          <w:lang w:val="en-US" w:eastAsia="zh-CN"/>
        </w:rPr>
        <w:t>For long-term orientation versus short-term orientation describes the goals and values that a culture pursues. Long-term orientation emphasises tenacity, endurance and long-term investment, while short-term orientation focuses on immediate gains and quick achievement of goals. For example, Japan is a long-term orientated culture, while Sweden is a short-term orientated culture.</w:t>
      </w:r>
    </w:p>
    <w:p>
      <w:pPr>
        <w:rPr>
          <w:rFonts w:hint="eastAsia"/>
          <w:lang w:val="en-US" w:eastAsia="zh-CN"/>
        </w:rPr>
      </w:pPr>
    </w:p>
    <w:p>
      <w:pPr>
        <w:rPr>
          <w:rFonts w:hint="eastAsia"/>
          <w:lang w:val="en-US" w:eastAsia="zh-CN"/>
        </w:rPr>
      </w:pPr>
      <w:r>
        <w:rPr>
          <w:rFonts w:hint="eastAsia"/>
          <w:lang w:val="en-US" w:eastAsia="zh-CN"/>
        </w:rPr>
        <w:t>Indulgence versus restraint is indicative of the level of respect a society has for freedom of speech and individual expression. Higher freedom of individual expression represents a wider range of free speech and exchange of ideas, whereas lower freedom of individual expression may imply a certain degree of restriction and restraint. Sweden, for example, is a culture of indulgence, while Japan is a culture of relative restraint (Country Comparison Tool, n.d.).</w:t>
      </w:r>
    </w:p>
    <w:p>
      <w:pPr>
        <w:rPr>
          <w:rFonts w:hint="eastAsia"/>
          <w:lang w:val="en-US" w:eastAsia="zh-CN"/>
        </w:rPr>
      </w:pPr>
      <w:r>
        <w:drawing>
          <wp:inline distT="0" distB="0" distL="114300" distR="114300">
            <wp:extent cx="3451225" cy="1922780"/>
            <wp:effectExtent l="0" t="0" r="6350" b="1270"/>
            <wp:docPr id="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6"/>
                    <pic:cNvPicPr>
                      <a:picLocks noChangeAspect="1"/>
                    </pic:cNvPicPr>
                  </pic:nvPicPr>
                  <pic:blipFill>
                    <a:blip r:embed="rId14"/>
                    <a:stretch>
                      <a:fillRect/>
                    </a:stretch>
                  </pic:blipFill>
                  <pic:spPr>
                    <a:xfrm>
                      <a:off x="0" y="0"/>
                      <a:ext cx="3451225" cy="1922780"/>
                    </a:xfrm>
                    <a:prstGeom prst="rect">
                      <a:avLst/>
                    </a:prstGeom>
                    <a:noFill/>
                    <a:ln>
                      <a:noFill/>
                    </a:ln>
                  </pic:spPr>
                </pic:pic>
              </a:graphicData>
            </a:graphic>
          </wp:inline>
        </w:drawing>
      </w:r>
    </w:p>
    <w:bookmarkEnd w:id="6"/>
    <w:p>
      <w:pPr>
        <w:pStyle w:val="3"/>
        <w:bidi w:val="0"/>
        <w:rPr>
          <w:rFonts w:hint="default" w:ascii="Arial" w:hAnsi="Arial" w:cs="Arial"/>
          <w:b/>
          <w:bCs/>
          <w:sz w:val="24"/>
          <w:szCs w:val="24"/>
        </w:rPr>
      </w:pPr>
      <w:bookmarkStart w:id="7" w:name="_Toc28581"/>
      <w:r>
        <w:rPr>
          <w:rFonts w:hint="default" w:ascii="Arial" w:hAnsi="Arial" w:cs="Arial"/>
          <w:b/>
          <w:bCs/>
          <w:sz w:val="24"/>
          <w:szCs w:val="24"/>
        </w:rPr>
        <w:t>2.2 Culture clash theory</w:t>
      </w:r>
      <w:bookmarkEnd w:id="7"/>
    </w:p>
    <w:p>
      <w:pPr>
        <w:rPr>
          <w:rFonts w:hint="default" w:ascii="Arial" w:hAnsi="Arial" w:cs="Arial"/>
          <w:b w:val="0"/>
          <w:bCs w:val="0"/>
          <w:sz w:val="24"/>
          <w:szCs w:val="24"/>
        </w:rPr>
      </w:pPr>
      <w:r>
        <w:rPr>
          <w:rFonts w:hint="default" w:ascii="Arial" w:hAnsi="Arial" w:cs="Arial"/>
          <w:b w:val="0"/>
          <w:bCs w:val="0"/>
          <w:sz w:val="24"/>
          <w:szCs w:val="24"/>
        </w:rPr>
        <w:t xml:space="preserve">For culture clash theory, culture clash theory refers to the theoretical framework that is used when friction, conflicts and clashes arise between different cultures. This theory focuses on the conflict between different cultures and their values and the various social, political and economic problems that arise from it (Sharer &amp; Sharer, 2023). This conflict is caused by differences in values, beliefs and practices. It can arise from encounters with people from other cultures or when two different cultures come into contact with each other. When MNEs enter the market of other countries, they may face challenges from the local culture, such as conflicts in communication styles in business negotiations, business etiquette, and so on. </w:t>
      </w:r>
    </w:p>
    <w:p>
      <w:pPr>
        <w:rPr>
          <w:rFonts w:hint="default" w:ascii="Arial" w:hAnsi="Arial" w:cs="Arial"/>
          <w:b w:val="0"/>
          <w:bCs w:val="0"/>
          <w:sz w:val="24"/>
          <w:szCs w:val="24"/>
        </w:rPr>
      </w:pPr>
    </w:p>
    <w:p>
      <w:pPr>
        <w:rPr>
          <w:rFonts w:hint="default" w:ascii="Arial" w:hAnsi="Arial" w:cs="Arial"/>
          <w:b w:val="0"/>
          <w:bCs w:val="0"/>
          <w:sz w:val="24"/>
          <w:szCs w:val="24"/>
        </w:rPr>
      </w:pPr>
      <w:r>
        <w:rPr>
          <w:rFonts w:hint="default" w:ascii="Arial" w:hAnsi="Arial" w:cs="Arial"/>
          <w:b w:val="0"/>
          <w:bCs w:val="0"/>
          <w:sz w:val="24"/>
          <w:szCs w:val="24"/>
        </w:rPr>
        <w:t>Culture clashes can arise from the following areas: Beliefs and values: Different cultures have differences in morals, ethics and religion that can lead to conflicts and misunderstandings. Social structures and organisations: Different cultures have different understandings and practices of the family, social organisation, distribution of power, etc., which can also lead to conflict. Visualisation and identity: Cultural contexts determine an individual's identity and self-positioning, which may be difficult to reconcile between cultures, resulting in conflict. Language and communication: language barriers and differences in cultural contexts may lead to difficulties in transmitting information, which in turn may lead to conflicts and misunderstandings (Wang, 2015).</w:t>
      </w:r>
    </w:p>
    <w:p>
      <w:pPr>
        <w:rPr>
          <w:rFonts w:hint="default" w:ascii="Arial" w:hAnsi="Arial" w:cs="Arial"/>
          <w:b w:val="0"/>
          <w:bCs w:val="0"/>
          <w:sz w:val="24"/>
          <w:szCs w:val="24"/>
        </w:rPr>
      </w:pPr>
    </w:p>
    <w:p>
      <w:pPr>
        <w:rPr>
          <w:rFonts w:hint="default" w:ascii="Arial" w:hAnsi="Arial" w:cs="Arial"/>
          <w:b w:val="0"/>
          <w:bCs w:val="0"/>
          <w:sz w:val="24"/>
          <w:szCs w:val="24"/>
        </w:rPr>
      </w:pPr>
      <w:r>
        <w:rPr>
          <w:rFonts w:hint="default" w:ascii="Arial" w:hAnsi="Arial" w:cs="Arial"/>
          <w:b w:val="0"/>
          <w:bCs w:val="0"/>
          <w:sz w:val="24"/>
          <w:szCs w:val="24"/>
        </w:rPr>
        <w:t>In a particular multicultural country, such as Canada, cultural conflicts resulting from various ethical differences may arise due to the presence of immigrants and different ethnic groups (Government of Canada, 2023). For example, an ethical issue involving medical care may place more emphasis on the patient's right to individual decision-making and privacy protection in Western cultures (Jpiersol, 2023), whereas in some Eastern cultures, the family's opinion and collective decision-making may be more important (Bejanyan et al., 2015). Such differences may lead to conflicts between the healthcare team and the patient or family, which need to be managed appropriately by understanding and respecting the ethical concepts of different cultures.</w:t>
      </w:r>
    </w:p>
    <w:p>
      <w:pPr>
        <w:rPr>
          <w:rFonts w:hint="default" w:ascii="Arial" w:hAnsi="Arial" w:cs="Arial"/>
          <w:b w:val="0"/>
          <w:bCs w:val="0"/>
          <w:sz w:val="24"/>
          <w:szCs w:val="24"/>
        </w:rPr>
      </w:pPr>
    </w:p>
    <w:p>
      <w:pPr>
        <w:rPr>
          <w:rFonts w:hint="default" w:ascii="Arial" w:hAnsi="Arial" w:cs="Arial"/>
          <w:b w:val="0"/>
          <w:bCs w:val="0"/>
          <w:sz w:val="24"/>
          <w:szCs w:val="24"/>
        </w:rPr>
      </w:pPr>
      <w:r>
        <w:rPr>
          <w:rFonts w:hint="default" w:ascii="Arial" w:hAnsi="Arial" w:cs="Arial"/>
          <w:b w:val="0"/>
          <w:bCs w:val="0"/>
          <w:sz w:val="24"/>
          <w:szCs w:val="24"/>
        </w:rPr>
        <w:t xml:space="preserve">In addition, business ethics on a global scale may also cause conflicts due to cultural differences. For example, in multinational corporations, employees from different countries may have different expectations and understandings of leadership styles, professional ethics, and so on, which may create management challenges and communication barriers. And certain countries may have requirements for the type and quality of imported goods because of their unique cultural traditions and values. This may differ from the standards and regulations governing the production of goods in other countries. Such differences may complicate trade negotiations and consultations and even lead to trade disputes. In addition, certain countries may hold prejudices against particular goods or services due to their cultural traditions, which may lead to market access restrictions for TNCs or export blockages. </w:t>
      </w:r>
    </w:p>
    <w:p>
      <w:pPr>
        <w:rPr>
          <w:rFonts w:hint="default" w:ascii="Arial" w:hAnsi="Arial" w:cs="Arial"/>
          <w:b w:val="0"/>
          <w:bCs w:val="0"/>
          <w:sz w:val="24"/>
          <w:szCs w:val="24"/>
        </w:rPr>
      </w:pPr>
    </w:p>
    <w:p>
      <w:pPr>
        <w:pStyle w:val="3"/>
        <w:bidi w:val="0"/>
        <w:rPr>
          <w:rFonts w:hint="default" w:ascii="Arial" w:hAnsi="Arial" w:cs="Arial"/>
          <w:b/>
          <w:bCs/>
          <w:sz w:val="24"/>
          <w:szCs w:val="24"/>
        </w:rPr>
      </w:pPr>
      <w:bookmarkStart w:id="8" w:name="_Toc20421"/>
      <w:r>
        <w:rPr>
          <w:rFonts w:hint="default" w:ascii="Arial" w:hAnsi="Arial" w:cs="Arial"/>
          <w:b/>
          <w:bCs/>
          <w:sz w:val="24"/>
          <w:szCs w:val="24"/>
        </w:rPr>
        <w:t>2.3 Moral relativism</w:t>
      </w:r>
      <w:bookmarkEnd w:id="8"/>
    </w:p>
    <w:p>
      <w:pPr>
        <w:rPr>
          <w:rFonts w:hint="default"/>
        </w:rPr>
      </w:pPr>
      <w:r>
        <w:rPr>
          <w:rFonts w:hint="default"/>
        </w:rPr>
        <w:t>Moral relativism is a philosophical view that moral standards and values are relative to culture, historical context, or personal beliefs. According to moral relativism, there is no universally applicable moral standard and different cultures and individuals can have different moral concepts that are all equal (Wikipedia contributors, 2023). This view has sparked much controversy. While some believe that moral relativism helps to respect and understand differences between cultures, others believe that excessive moral relativism can lead to moral confusion and social instability (Gowans, Chris (2019).</w:t>
      </w:r>
    </w:p>
    <w:p>
      <w:pPr>
        <w:rPr>
          <w:rFonts w:hint="default"/>
        </w:rPr>
      </w:pPr>
    </w:p>
    <w:p>
      <w:pPr>
        <w:rPr>
          <w:rFonts w:hint="default"/>
        </w:rPr>
      </w:pPr>
      <w:r>
        <w:rPr>
          <w:rFonts w:hint="default"/>
        </w:rPr>
        <w:t xml:space="preserve">Moral values and codes of behaviour may vary in different cultures and societies. For example, in some cultures, people may consider certain behaviours to be moral, while in other cultures, these behaviours may be considered immoral (Hong, 2023). This difference may be due to a variety of factors such as cultural, historical, social, religious, political, and economic. For example, some cultures may emphasise individualism and freedom, while others may emphasise collectivism and responsibility (Zhou et al., 2023). Therefore, moral relativists argue that moral values and codes of conduct are only applicable within the boundaries of a particular culture, or before and after individual choices . </w:t>
      </w:r>
    </w:p>
    <w:p>
      <w:pPr>
        <w:rPr>
          <w:rFonts w:hint="default"/>
        </w:rPr>
      </w:pPr>
    </w:p>
    <w:p>
      <w:pPr>
        <w:rPr>
          <w:rFonts w:hint="default"/>
        </w:rPr>
      </w:pPr>
      <w:r>
        <w:rPr>
          <w:rFonts w:hint="default"/>
        </w:rPr>
        <w:t>In the context of global trade, ethical values and codes of conduct may vary from country to country and region to region. For example, certain countries may emphasize environmental protection and labour rights, while others may focus more on economic efficiency and free trade. Such differences may be due to a variety of cultural, historical, social, religious, political, economic and other factors. For example, some countries may impose embargoes or restrictions on certain goods or services, while others may allow free trade in those goods or services. Such differences may lead to ethical issues, such as whether business practices that are considered unethical in some countries or regions should be supported, or whether measures should be taken to protect labour rights that are considered unethical in some countries or regions.By analysing ethical issues in global trade, we can better understand the ethical values and codes of conduct of different countries and regions, and thus better promote the development of international trade and mutual understanding.</w:t>
      </w:r>
    </w:p>
    <w:p>
      <w:pPr>
        <w:rPr>
          <w:rFonts w:hint="default"/>
        </w:rPr>
      </w:pPr>
    </w:p>
    <w:p>
      <w:pPr>
        <w:rPr>
          <w:rFonts w:hint="default"/>
        </w:rPr>
      </w:pPr>
      <w:r>
        <w:rPr>
          <w:rFonts w:hint="default"/>
        </w:rPr>
        <w:t>In global trade, it is important to understand and respect the differences between cultures. By fostering cross-cultural understanding and promoting cultural exchanges, trade problems caused by cultural conflicts can be reduced. At the same time, the establishment of inclusive trade policies and regulations can also help alleviate trade pressures caused by cultural conflicts and promote global economic cooperation and development.</w:t>
      </w:r>
    </w:p>
    <w:p>
      <w:pPr>
        <w:rPr>
          <w:rFonts w:hint="default"/>
        </w:rPr>
      </w:pPr>
    </w:p>
    <w:p>
      <w:pPr>
        <w:rPr>
          <w:rFonts w:hint="default"/>
        </w:rPr>
      </w:pPr>
      <w:r>
        <w:rPr>
          <w:rFonts w:hint="default"/>
        </w:rPr>
        <w:t>It is possible to transact in global markets without compromising ethical principles, but it requires active endeavours and a number of challenges for businesses. Compliance with local laws and ethics: Businesses should have an in-depth understanding of the laws, cultures and ethics of each country and region, and ensure that their behaviour is in line with local legal and ethical standards. And by practising CSR, companies can avoid compromising ethical principles by focusing on the interests of society, the environment and stakeholders while participating in global market transactions. Businesses can also develop clear ethical guidelines and codes of business conduct and promote these globally to ensure that business activities are ethical. It is important for multinational organisations to provide employees with cultural sensitivity training and ethical decision-making guidelines to help better understand and respect ethical concepts in different cultural contexts. Finally enterprises should put in place effective review and monitoring mechanisms to ensure that business activities comply with ethical principles in the global marketplace and that possible problems are identified and corrected in a timely manner.</w:t>
      </w:r>
    </w:p>
    <w:p>
      <w:pPr>
        <w:pStyle w:val="2"/>
        <w:bidi w:val="0"/>
        <w:rPr>
          <w:rFonts w:hint="default" w:ascii="Arial" w:hAnsi="Arial" w:cs="Arial"/>
          <w:b/>
          <w:bCs/>
          <w:sz w:val="28"/>
          <w:szCs w:val="28"/>
        </w:rPr>
      </w:pPr>
      <w:bookmarkStart w:id="9" w:name="_Toc23053"/>
      <w:r>
        <w:rPr>
          <w:rFonts w:hint="default" w:ascii="Arial" w:hAnsi="Arial" w:cs="Arial"/>
          <w:b/>
          <w:bCs/>
          <w:sz w:val="28"/>
          <w:szCs w:val="28"/>
        </w:rPr>
        <w:t>3.0 Ethical Responsibility of Businesses</w:t>
      </w:r>
      <w:bookmarkEnd w:id="9"/>
    </w:p>
    <w:p>
      <w:pPr>
        <w:bidi w:val="0"/>
        <w:rPr>
          <w:rFonts w:hint="default"/>
        </w:rPr>
      </w:pPr>
      <w:r>
        <w:rPr>
          <w:rFonts w:hint="default"/>
        </w:rPr>
        <w:t>Corporate social responsibility (CSR) is one of the most important theoretical frameworks for analysing corporate moral responsibility and global ethics (Corporate Social Responsibility, 2020). These include social responsibility, environmental responsibility, economic responsibility, stakeholder management as well as transparency and ethical business.</w:t>
      </w:r>
    </w:p>
    <w:p>
      <w:pPr>
        <w:bidi w:val="0"/>
        <w:rPr>
          <w:rFonts w:hint="default"/>
        </w:rPr>
      </w:pPr>
      <w:r>
        <w:rPr>
          <w:rFonts w:hint="default"/>
        </w:rPr>
        <w:t>For social responsibility, companies have to focus on employee welfare, human rights, and community development in terms of social responsibility. Many multinational corporations set up production sites or processing plants in developing countries. These companies need to fulfil their social responsibilities in these countries by safeguarding the rights and interests of local employees. For example, MNCs should ensure that workers receive fair wages, reasonable working hours and a safe working environment (Mares, 2022).</w:t>
      </w:r>
    </w:p>
    <w:p>
      <w:pPr>
        <w:bidi w:val="0"/>
        <w:rPr>
          <w:rFonts w:hint="default"/>
        </w:rPr>
      </w:pPr>
      <w:r>
        <w:rPr>
          <w:rFonts w:hint="default"/>
        </w:rPr>
        <w:t>For environmental responsibility, the responsibility of enterprises to the environment includes the efficiency of resource use, energy consumption, and waste disposal. MNCs adopt cleaner production technologies globally to reduce pollution to the environment and comply with environmental regulations in various countries. They can also fulfil their environmental responsibilities by undertaking environmental protection projects, supporting the development of renewable energy and advocating energy conservation and emission reduction. For example, Nike, a globally recognised manufacturer of sports shoes and sportswear, actively promotes environmental responsibility in its supply chain management. For example, the company has worked with its suppliers on projects such as water conservation, energy saving and waste minimisation to reduce the environmental impact of the production process. In addition, Nike promotes environmental goals through the use of sustainable materials and product design, such as recycling plastic bottles into shoes and other innovative practices (Nike CSR and Sustainability, n.d.).</w:t>
      </w:r>
    </w:p>
    <w:p>
      <w:pPr>
        <w:bidi w:val="0"/>
        <w:rPr>
          <w:rFonts w:hint="default"/>
        </w:rPr>
      </w:pPr>
      <w:r>
        <w:rPr>
          <w:rFonts w:hint="default"/>
        </w:rPr>
        <w:t>For economic responsibility, companies need to gain economic benefits and create value for shareholders through legal and compliant business activities.Enterprises uphold integrity, fair competition and legally compliant business practices globally. Multinational companies adhere to strict anti-corruption laws and business ethics standards globally. Starbucks, for example, views social responsibility as the core of its business model and embodies a global ethic by being financially responsible on a global scale. The company is committed to fair trade relationships with its suppliers and to ensuring that farmers and labourers in coffee bean-producing countries are fairly paid and well treated. Starbucks also advocates environmental sustainability by actively promoting the use of environmentally friendly materials, reducing packaging waste, and supporting renewable energy projects (Fairtrade America, 2022).</w:t>
      </w:r>
    </w:p>
    <w:p>
      <w:pPr>
        <w:bidi w:val="0"/>
        <w:rPr>
          <w:rFonts w:hint="default"/>
        </w:rPr>
      </w:pPr>
      <w:r>
        <w:rPr>
          <w:rFonts w:hint="default"/>
        </w:rPr>
        <w:t>For stakeholder management, CSR emphasises the need for companies to balance the rights and interests of various stakeholders, including employees, customers, suppliers, communities, and governments. Building honest and transparent relationships with stakeholders is part of a company's ethical responsibility. Enterprises balance the rights and interests of various stakeholders globally to promote co-operation and win-win situation. Wal-Mart, for example, works globally with a wide range of stakeholders from different cultures and regions, including suppliers, employees, consumers and communities. The company promotes collaboration and win-win situations with its suppliers by advocating sustainable procurement, improving supply chain transparency, supporting small farmers and promoting energy conservation and emission reduction. Wal-Mart is also committed to improving employee well-being, meeting consumer needs, and contributing positively to society by taking an active interest in community responsibility (Meyer, 2023).</w:t>
      </w:r>
    </w:p>
    <w:p>
      <w:pPr>
        <w:bidi w:val="0"/>
        <w:rPr>
          <w:rFonts w:hint="default"/>
        </w:rPr>
      </w:pPr>
      <w:r>
        <w:rPr>
          <w:rFonts w:hint="default"/>
        </w:rPr>
        <w:t>For transparency and ethical experience, companies need to conduct open and transparent operations, comply with laws and regulations, and adhere to integrity and ethical principles. Enterprises conduct open and transparent operations globally and adhere to integrity and ethical principles. For example, Coca-Cola demonstrates its global transparency through open and transparent financial disclosure, information disclosure, and product quality and safety measures. The company is active in social responsibility, supporting community development projects and working to improve sustainability in the beverage industry. In addition, Coca-Cola is also committed to promoting healthy lifestyles and environmental awareness to promote public understanding of CSR (Financial Information, n.d.).</w:t>
      </w:r>
    </w:p>
    <w:p>
      <w:pPr>
        <w:bidi w:val="0"/>
        <w:rPr>
          <w:rFonts w:hint="default"/>
        </w:rPr>
      </w:pPr>
    </w:p>
    <w:p>
      <w:pPr>
        <w:pStyle w:val="2"/>
        <w:bidi w:val="0"/>
        <w:rPr>
          <w:rFonts w:hint="default"/>
          <w:sz w:val="28"/>
          <w:szCs w:val="28"/>
        </w:rPr>
      </w:pPr>
      <w:bookmarkStart w:id="10" w:name="_Toc19370"/>
      <w:r>
        <w:rPr>
          <w:rFonts w:hint="default"/>
          <w:sz w:val="28"/>
          <w:szCs w:val="28"/>
        </w:rPr>
        <w:t>4.0 Global ethical challenges</w:t>
      </w:r>
      <w:bookmarkEnd w:id="10"/>
    </w:p>
    <w:p>
      <w:pPr>
        <w:bidi w:val="0"/>
        <w:rPr>
          <w:rFonts w:hint="default"/>
        </w:rPr>
      </w:pPr>
      <w:r>
        <w:rPr>
          <w:rFonts w:hint="default"/>
        </w:rPr>
        <w:t>With regard to climate change, there are differences in the way climate change is tackled around the world, with some countries and regions committed to policies such as reducing greenhouse gas emissions, promoting renewable energy, and setting carbon emission limits, for example, Sweden is a proactive country in combating climate change and is committed to reducing greenhouse gas emissions and developing renewable energy sources (Drier, 2020). In contrast, some developing countries may be more concerned with adapting to climate change, such as improving agricultural irrigation systems to withstand droughts.</w:t>
      </w:r>
    </w:p>
    <w:p>
      <w:pPr>
        <w:bidi w:val="0"/>
        <w:rPr>
          <w:rFonts w:hint="default"/>
        </w:rPr>
      </w:pPr>
    </w:p>
    <w:p>
      <w:pPr>
        <w:bidi w:val="0"/>
        <w:rPr>
          <w:rFonts w:hint="default"/>
        </w:rPr>
      </w:pPr>
      <w:r>
        <w:rPr>
          <w:rFonts w:hint="default"/>
        </w:rPr>
        <w:t>For smoking, different countries have different legislation and policies when it comes to smoking. Some countries have adopted strict tobacco control policies, such as banning smoking in public places and raising tobacco taxes, for example, Australia is a country with a more stringent tobacco control policy, banning smoking in many public places and imposing high tobacco taxes (Tobacco Control in Australia , n.d.). In contrast, some Southeast Asian countries may have relatively lax enforcement of smoking control regulations (Iqbal et al. , 2022).</w:t>
      </w:r>
    </w:p>
    <w:p>
      <w:pPr>
        <w:bidi w:val="0"/>
        <w:rPr>
          <w:rFonts w:hint="default"/>
        </w:rPr>
      </w:pPr>
    </w:p>
    <w:p>
      <w:pPr>
        <w:bidi w:val="0"/>
        <w:rPr>
          <w:rFonts w:hint="default"/>
        </w:rPr>
      </w:pPr>
      <w:r>
        <w:rPr>
          <w:rFonts w:hint="default"/>
        </w:rPr>
        <w:t>With regard to gambling, there are also differences in attitudes towards and regulation of gambling across regions. Some countries have a complete no-gambling policy and even combat gambling activities through legal means, for example, Kuwait has a complete ban on gambling activities (Safeer, 1970). While other countries may encourage the development of legal gambling and ensure fairness and legality through regulation. For example, Macau and Singapore are two areas that have always been known for their legal gambling industries (Williams, 2019).</w:t>
      </w:r>
    </w:p>
    <w:p>
      <w:pPr>
        <w:bidi w:val="0"/>
        <w:rPr>
          <w:rFonts w:hint="default"/>
        </w:rPr>
      </w:pPr>
    </w:p>
    <w:p>
      <w:pPr>
        <w:bidi w:val="0"/>
        <w:rPr>
          <w:rFonts w:hint="default"/>
        </w:rPr>
      </w:pPr>
      <w:r>
        <w:rPr>
          <w:rFonts w:hint="default"/>
        </w:rPr>
        <w:t>For Healthy Eating and Exercise, with regards to healthy eating and exercise, there are differences in the way health is defined and promoted in countries with different cultural backgrounds. Some countries focus on education and advocacy to promote healthy eating and active lifestyles, while others may focus more on government intervention and regulation, such as mandating food labelling and introducing fitness programmes.</w:t>
      </w:r>
    </w:p>
    <w:p>
      <w:pPr>
        <w:pStyle w:val="2"/>
        <w:bidi w:val="0"/>
        <w:rPr>
          <w:rFonts w:hint="default" w:ascii="Arial" w:hAnsi="Arial" w:cs="Arial"/>
          <w:b/>
          <w:bCs/>
          <w:sz w:val="28"/>
          <w:szCs w:val="28"/>
        </w:rPr>
      </w:pPr>
      <w:bookmarkStart w:id="11" w:name="_Toc21544"/>
      <w:r>
        <w:rPr>
          <w:rFonts w:hint="default" w:ascii="Arial" w:hAnsi="Arial" w:cs="Arial"/>
          <w:b/>
          <w:bCs/>
          <w:sz w:val="28"/>
          <w:szCs w:val="28"/>
        </w:rPr>
        <w:t>Conclusion</w:t>
      </w:r>
      <w:bookmarkEnd w:id="11"/>
    </w:p>
    <w:p>
      <w:pPr>
        <w:bidi w:val="0"/>
        <w:rPr>
          <w:rFonts w:hint="default"/>
        </w:rPr>
      </w:pPr>
      <w:r>
        <w:rPr>
          <w:rFonts w:hint="default"/>
        </w:rPr>
        <w:t>In the global business environment, theories such as cultural dimensions, cultural conflict and moral relativism have a profound impact on corporate decision-making and behaviour. In addition to fulfilling their social responsibilities, businesses need to recognise the diversity of ethical challenges in the global context and take proactive measures to address them. Ultimately, through cultural sensitivity training and effective compliance monitoring mechanisms, businesses are better able to follow ethical principles in different cultural contexts.</w:t>
      </w:r>
    </w:p>
    <w:p>
      <w:pPr>
        <w:pStyle w:val="2"/>
        <w:bidi w:val="0"/>
        <w:rPr>
          <w:rFonts w:hint="default" w:ascii="Arial" w:hAnsi="Arial" w:cs="Arial"/>
          <w:b/>
          <w:bCs/>
          <w:sz w:val="28"/>
          <w:szCs w:val="28"/>
        </w:rPr>
      </w:pPr>
    </w:p>
    <w:p>
      <w:pPr>
        <w:pStyle w:val="2"/>
        <w:bidi w:val="0"/>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rPr>
          <w:rFonts w:hint="default" w:ascii="Arial" w:hAnsi="Arial" w:cs="Arial"/>
          <w:b/>
          <w:bCs/>
          <w:sz w:val="28"/>
          <w:szCs w:val="28"/>
        </w:rPr>
      </w:pPr>
    </w:p>
    <w:p>
      <w:pPr>
        <w:pStyle w:val="2"/>
        <w:bidi w:val="0"/>
        <w:rPr>
          <w:rFonts w:hint="default" w:ascii="Arial" w:hAnsi="Arial" w:cs="Arial"/>
          <w:b/>
          <w:bCs/>
          <w:sz w:val="28"/>
          <w:szCs w:val="28"/>
        </w:rPr>
      </w:pPr>
      <w:bookmarkStart w:id="12" w:name="_Toc13983"/>
      <w:r>
        <w:rPr>
          <w:rFonts w:hint="default" w:ascii="Arial" w:hAnsi="Arial" w:cs="Arial"/>
          <w:b/>
          <w:bCs/>
          <w:sz w:val="28"/>
          <w:szCs w:val="28"/>
        </w:rPr>
        <w:t>References</w:t>
      </w:r>
      <w:bookmarkEnd w:id="12"/>
    </w:p>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 Adeoye, Blessing; Tomei, Lawrence (2014). Effects of information capitalism and globalisation on teaching and learning. Pennsylvania: Information Science Reference. p. 6. ISBN 978-1-4666-6163-9.</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Bejanyan K, Marshall TC, Ferenczi N. Associations of collectivism with relationship commitment, passion, and mate preferences: opposing roles of parental influence and family allocentrism. PLoS One. 2015 Feb 26;10(2):e0117374. doi: 10.1371/journal.pone.0117374. PMID: 25719563; PMCID: PMC4342036.</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"Moral Relativism". Ethics Unwrapped. Retrieved 2020-05-27.</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AUTHOR=Zhou Song, Liu Gaoyu, Huang Yingming, Huang Tingyu, Lin Shiya, Lan Jie, Yang Huaqi, Lin Rongmao</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ab/>
      </w:r>
      <w:r>
        <w:rPr>
          <w:rFonts w:hint="default" w:ascii="Times New Roman" w:hAnsi="Times New Roman" w:cs="Times New Roman"/>
          <w:sz w:val="24"/>
          <w:szCs w:val="24"/>
        </w:rPr>
        <w:t xml:space="preserv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TITLE=The contribution of cultural identity to subjective well-being in collectivist countries: a study in the context of contemporary Chinese culture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ab/>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JOURNAL=Frontiers in Psychology</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2023</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 xml:space="preserve">URL=https://www.frontiersin.org/articles/10.3389/fpsyg.2023.1170669     DOI=10.3389/fpsyg.2023.1170669    ISSN=1664-1078   </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Bejanyan, K., Marshall, T. C., &amp; Ferenczi, N. (2015). Associations of Collectivism with Relationship Commitment, Passion, and Mate Preferences: Opposing Roles of Parental Influence and Family Allocentrism. </w:t>
      </w:r>
      <w:r>
        <w:rPr>
          <w:rFonts w:hint="default" w:ascii="Times New Roman" w:hAnsi="Times New Roman" w:cs="Times New Roman"/>
          <w:i/>
          <w:iCs/>
          <w:sz w:val="24"/>
          <w:szCs w:val="24"/>
        </w:rPr>
        <w:t>PLOS ONE</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10</w:t>
      </w:r>
      <w:r>
        <w:rPr>
          <w:rFonts w:hint="default" w:ascii="Times New Roman" w:hAnsi="Times New Roman" w:cs="Times New Roman"/>
          <w:sz w:val="24"/>
          <w:szCs w:val="24"/>
        </w:rPr>
        <w:t xml:space="preserve">(2), e0117374.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"https://doi.org/10.1371/journal.pone.0117374"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https://doi.org/10.1371/journal.pone.0117374</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Corporate Social Responsibility</w:t>
      </w:r>
      <w:r>
        <w:rPr>
          <w:rFonts w:hint="default" w:ascii="Times New Roman" w:hAnsi="Times New Roman" w:cs="Times New Roman"/>
          <w:sz w:val="24"/>
          <w:szCs w:val="24"/>
        </w:rPr>
        <w:t xml:space="preserve">. (2020).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"https://doi.org/10.1093/acrefore/9780190224851.013.12"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https://doi.org/10.1093/acrefore/9780190224851.013.12</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Country comparison tool</w:t>
      </w:r>
      <w:r>
        <w:rPr>
          <w:rFonts w:hint="default" w:ascii="Times New Roman" w:hAnsi="Times New Roman" w:cs="Times New Roman"/>
          <w:sz w:val="24"/>
          <w:szCs w:val="24"/>
        </w:rPr>
        <w:t xml:space="preserve">. (n.d.).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"https://www.hofstede-insights.com/country-comparison-tool?countries=japan%2Csweden"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https://www.hofstede-insights.com/country-comparison-tool?countries=japan%2Csweden</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Drier, K. (2020, September 26). </w:t>
      </w:r>
      <w:r>
        <w:rPr>
          <w:rFonts w:hint="default" w:ascii="Times New Roman" w:hAnsi="Times New Roman" w:cs="Times New Roman"/>
          <w:i/>
          <w:iCs/>
          <w:sz w:val="24"/>
          <w:szCs w:val="24"/>
        </w:rPr>
        <w:t>Countries doing the most to combat climate change</w:t>
      </w:r>
      <w:r>
        <w:rPr>
          <w:rFonts w:hint="default" w:ascii="Times New Roman" w:hAnsi="Times New Roman" w:cs="Times New Roman"/>
          <w:sz w:val="24"/>
          <w:szCs w:val="24"/>
        </w:rPr>
        <w:t xml:space="preserve">. WorldAtlas.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"https://www.worldatlas.com/articles/countries-doing-the-most-to-combat-climate-change.html"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https://www.worldatlas.com/articles/countries-doing-the-most-to-combat-climate-change.html</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Fairtrade America. (2022, January 31). </w:t>
      </w:r>
      <w:r>
        <w:rPr>
          <w:rFonts w:hint="default" w:ascii="Times New Roman" w:hAnsi="Times New Roman" w:cs="Times New Roman"/>
          <w:i/>
          <w:iCs/>
          <w:sz w:val="24"/>
          <w:szCs w:val="24"/>
        </w:rPr>
        <w:t>Starbucks – Fairtrade America</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"https://www.fairtradeamerica.org/why-fairtrade/global-impact/impact-stories/starbucks/#:~:text=Starbucks%20has%20been%20working%20with%20Fairtrade%20globally%20since,farmers%20to%20manage%20risk%20and%20strengthen%20their%20businesses."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https://www.fairtradeamerica.org/why-fairtrade/global-impact/impact-stories/starbucks/#:~:text=Starbucks%20has%20been%20working%20with%20Fairtrade%20globally%20since,farmers%20to%20manage%20risk%20and%20strengthen%20their%20businesses.</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Financial information</w:t>
      </w:r>
      <w:r>
        <w:rPr>
          <w:rFonts w:hint="default" w:ascii="Times New Roman" w:hAnsi="Times New Roman" w:cs="Times New Roman"/>
          <w:sz w:val="24"/>
          <w:szCs w:val="24"/>
        </w:rPr>
        <w:t>. (n.d.). The Coca-Cola Company. https://investors.coca-colacompany.com/financial-information</w:t>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Government of Canada, Statistics Canada. (2023, November 22). </w:t>
      </w:r>
      <w:r>
        <w:rPr>
          <w:rFonts w:hint="default" w:ascii="Times New Roman" w:hAnsi="Times New Roman" w:cs="Times New Roman"/>
          <w:i/>
          <w:iCs/>
          <w:sz w:val="24"/>
          <w:szCs w:val="24"/>
        </w:rPr>
        <w:t>Immigration and ethnocultural diversity statistics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"https://www.statcan.gc.ca/en/subjects-start/immigration_and_ethnocultural_diversity"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https://www.statcan.gc.ca/en/subjects-start/immigration_and_ethnocultural_diversity</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Hong, H. (2023). Cultural differences in moral judgement. </w:t>
      </w:r>
      <w:r>
        <w:rPr>
          <w:rFonts w:hint="default" w:ascii="Times New Roman" w:hAnsi="Times New Roman" w:cs="Times New Roman"/>
          <w:i/>
          <w:iCs/>
          <w:sz w:val="24"/>
          <w:szCs w:val="24"/>
        </w:rPr>
        <w:t>Journal of Education Humanities and Social Sciences</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10</w:t>
      </w:r>
      <w:r>
        <w:rPr>
          <w:rFonts w:hint="default" w:ascii="Times New Roman" w:hAnsi="Times New Roman" w:cs="Times New Roman"/>
          <w:sz w:val="24"/>
          <w:szCs w:val="24"/>
        </w:rPr>
        <w:t xml:space="preserve">, 146–151.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"https://doi.org/10.54097/ehss.v10i.6905"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https://doi.org/10.54097/ehss.v10i.6905</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Iqbal, S., Barolia, R., Petrucka, P., Ladak, L. A., Rehmani, R., &amp; Kabir, A. (2022). Smoking cessation interventions in South Asian Region: a systematic scoping review. </w:t>
      </w:r>
      <w:r>
        <w:rPr>
          <w:rFonts w:hint="default" w:ascii="Times New Roman" w:hAnsi="Times New Roman" w:cs="Times New Roman"/>
          <w:i/>
          <w:iCs/>
          <w:sz w:val="24"/>
          <w:szCs w:val="24"/>
        </w:rPr>
        <w:t>BMC Public Health</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22</w:t>
      </w:r>
      <w:r>
        <w:rPr>
          <w:rFonts w:hint="default" w:ascii="Times New Roman" w:hAnsi="Times New Roman" w:cs="Times New Roman"/>
          <w:sz w:val="24"/>
          <w:szCs w:val="24"/>
        </w:rPr>
        <w:t xml:space="preserve">(1).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"https://doi.org/10.1186/s12889-022-13443-y"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https://doi.org/10.1186/s12889-022-13443-y</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Jpiersol. (2023, January 23). Ethics in Health Care: Improving patient outcomes. </w:t>
      </w:r>
      <w:r>
        <w:rPr>
          <w:rFonts w:hint="default" w:ascii="Times New Roman" w:hAnsi="Times New Roman" w:cs="Times New Roman"/>
          <w:i/>
          <w:iCs/>
          <w:sz w:val="24"/>
          <w:szCs w:val="24"/>
        </w:rPr>
        <w:t>School of Public Health</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"https://publichealth.tulane.edu/blog/ethics-in-healthcare/#:~:text=In%20healthcare%20ethics%2C%20autonomy%20is%20a%20practice%20that,enable%20them%20to%20make%20decisions%20for%20the%20patient."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https://publichealth.tulane.edu/blog/ethics-in-healthcare/#:~:text=In%20healthcare%20ethics%2C%20autonomy%20is%20a%20practice%20that,enable%20them%20to%20make%20decisions%20for%20the%20patient.</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Mares, R. (2022). Regulating transnational corporations at the United Nations – the negotiations of a treaty on business and human rights. </w:t>
      </w:r>
      <w:r>
        <w:rPr>
          <w:rFonts w:hint="default" w:ascii="Times New Roman" w:hAnsi="Times New Roman" w:cs="Times New Roman"/>
          <w:i/>
          <w:iCs/>
          <w:sz w:val="24"/>
          <w:szCs w:val="24"/>
        </w:rPr>
        <w:t>The International Journal of Human Rights</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26</w:t>
      </w:r>
      <w:r>
        <w:rPr>
          <w:rFonts w:hint="default" w:ascii="Times New Roman" w:hAnsi="Times New Roman" w:cs="Times New Roman"/>
          <w:sz w:val="24"/>
          <w:szCs w:val="24"/>
        </w:rPr>
        <w:t xml:space="preserve">(9), 1522–1546.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"https://doi.org/10.1080/13642987.2022.2036133"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https://doi.org/10.1080/13642987.2022.2036133</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Meyer, P. (2023, July 22). </w:t>
      </w:r>
      <w:r>
        <w:rPr>
          <w:rFonts w:hint="default" w:ascii="Times New Roman" w:hAnsi="Times New Roman" w:cs="Times New Roman"/>
          <w:i/>
          <w:iCs/>
          <w:sz w:val="24"/>
          <w:szCs w:val="24"/>
        </w:rPr>
        <w:t>Walmart’s Stakeholders &amp; Corporate Social Responsibility</w:t>
      </w:r>
      <w:r>
        <w:rPr>
          <w:rFonts w:hint="default" w:ascii="Times New Roman" w:hAnsi="Times New Roman" w:cs="Times New Roman"/>
          <w:sz w:val="24"/>
          <w:szCs w:val="24"/>
        </w:rPr>
        <w:t xml:space="preserve">. Panmore Institute.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"https://panmore.com/walmart-stakeholders-analysis-recommendations"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https://panmore.com/walmart-stakeholders-analysis-recommendations</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Nike Corporate Social Responsibility (CSR) and sustainability</w:t>
      </w:r>
      <w:r>
        <w:rPr>
          <w:rFonts w:hint="default" w:ascii="Times New Roman" w:hAnsi="Times New Roman" w:cs="Times New Roman"/>
          <w:sz w:val="24"/>
          <w:szCs w:val="24"/>
        </w:rPr>
        <w:t xml:space="preserve">. (n.d.).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"https://www.thomasnet.com/articles/other/nike-csr/"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https://www.thomasnet.com/articles/other/nike-csr/</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Safeer. (1970, January 1). Authorities tackle problem of underground gambling in Kuwait | kuwaittimes. </w:t>
      </w:r>
      <w:r>
        <w:rPr>
          <w:rFonts w:hint="default" w:ascii="Times New Roman" w:hAnsi="Times New Roman" w:cs="Times New Roman"/>
          <w:i/>
          <w:iCs/>
          <w:sz w:val="24"/>
          <w:szCs w:val="24"/>
        </w:rPr>
        <w:t>Kuwaittimes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"https://kuwaittimes.com/authorities-tackle-problem-of-underground-gambling-in-kuwait/#:~:text=Gambling%20in%20Kuwait%20is%20strictly%20prohibited%20and%20any,or%20numbers%20betting%20and%20betting%20on%20sporting%20matches."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https://kuwaittimes.com/authorities-tackle-problem-of-underground-gambling-in-kuwait/#:~:text=Gambling%20in%20Kuwait%20is%20strictly%20prohibited%20and%20any,or%20numbers%20betting%20and%20betting%20on%20sporting%20matches.</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Sharer, H., &amp; Sharer, H. (2023, January 18). Exploring What is Culture Clash: Causes, Effects and Solutions - The Enlightened Mindset. </w:t>
      </w:r>
      <w:r>
        <w:rPr>
          <w:rFonts w:hint="default" w:ascii="Times New Roman" w:hAnsi="Times New Roman" w:cs="Times New Roman"/>
          <w:i/>
          <w:iCs/>
          <w:sz w:val="24"/>
          <w:szCs w:val="24"/>
        </w:rPr>
        <w:t>The Enlightened Mindset - Exploring the World of Knowledge and Understanding</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"https://www.tffn.net/what-is-culture-clash/#:~:text=Culture%20clash%20is%20defined%20as%20a%20conflict%20between,distinct%20cultures%20come%20into%20contact%20with%20one%20another."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https://www.tffn.net/what-is-culture-clash/#:~:text=Culture%20clash%20is%20defined%20as%20a%20conflict%20between,distinct%20cultures%20come%20into%20contact%20with%20one%20another.</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i/>
          <w:iCs/>
          <w:sz w:val="24"/>
          <w:szCs w:val="24"/>
        </w:rPr>
        <w:t>Tobacco control in Australia | Australian Council on Smoking &amp; Health</w:t>
      </w:r>
      <w:r>
        <w:rPr>
          <w:rFonts w:hint="default" w:ascii="Times New Roman" w:hAnsi="Times New Roman" w:cs="Times New Roman"/>
          <w:sz w:val="24"/>
          <w:szCs w:val="24"/>
        </w:rPr>
        <w:t xml:space="preserve">. (n.d.).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"https://www.acosh.org/tobacco-control-australia/"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https://www.acosh.org/tobacco-control-australia/</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Wang, W. Y., Yinghua. (2015, March 17). </w:t>
      </w:r>
      <w:r>
        <w:rPr>
          <w:rFonts w:hint="default" w:ascii="Times New Roman" w:hAnsi="Times New Roman" w:cs="Times New Roman"/>
          <w:i/>
          <w:iCs/>
          <w:sz w:val="24"/>
          <w:szCs w:val="24"/>
        </w:rPr>
        <w:t>Ethical Conflicts and Theoretical Explorations Brought about by Intercultural Communication</w:t>
      </w:r>
      <w:r>
        <w:rPr>
          <w:rFonts w:hint="default" w:ascii="Times New Roman" w:hAnsi="Times New Roman" w:cs="Times New Roman"/>
          <w:sz w:val="24"/>
          <w:szCs w:val="24"/>
        </w:rPr>
        <w:t xml:space="preserve">. People’s Daily Online.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"http://media.people.com.cn/n/2015/0317/c394802-26706441-3.html"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http://media.people.com.cn/n/2015/0317/c394802-26706441-3.html</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Wikipedia contributors. (2023, October 16). </w:t>
      </w:r>
      <w:r>
        <w:rPr>
          <w:rFonts w:hint="default" w:ascii="Times New Roman" w:hAnsi="Times New Roman" w:cs="Times New Roman"/>
          <w:i/>
          <w:iCs/>
          <w:sz w:val="24"/>
          <w:szCs w:val="24"/>
        </w:rPr>
        <w:t>Moral relativism</w:t>
      </w:r>
      <w:r>
        <w:rPr>
          <w:rFonts w:hint="default" w:ascii="Times New Roman" w:hAnsi="Times New Roman" w:cs="Times New Roman"/>
          <w:sz w:val="24"/>
          <w:szCs w:val="24"/>
        </w:rPr>
        <w:t xml:space="preserve">. Wikipedia.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"https://en.wikipedia.org/wiki/Moral_relativism"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https://en.wikipedia.org/wiki/Moral_relativism</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Wikipedia contributors. (2024, January 9). </w:t>
      </w:r>
      <w:r>
        <w:rPr>
          <w:rFonts w:hint="default" w:ascii="Times New Roman" w:hAnsi="Times New Roman" w:cs="Times New Roman"/>
          <w:i/>
          <w:iCs/>
          <w:sz w:val="24"/>
          <w:szCs w:val="24"/>
        </w:rPr>
        <w:t>Hofstede’s cultural dimensions theory</w:t>
      </w:r>
      <w:r>
        <w:rPr>
          <w:rFonts w:hint="default" w:ascii="Times New Roman" w:hAnsi="Times New Roman" w:cs="Times New Roman"/>
          <w:sz w:val="24"/>
          <w:szCs w:val="24"/>
        </w:rPr>
        <w:t xml:space="preserve">. Wikipedia.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"https://en.wikipedia.org/wiki/Hofstede%27s_cultural_dimensions_theory#cite_note-1"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https://en.wikipedia.org/wiki/Hofstede%27s_cultural_dimensions_theory#cite_note-1</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Williams, B. S. (2019, December 20). Macau: China’s other “one country, two systems” region. </w:t>
      </w:r>
      <w:r>
        <w:rPr>
          <w:rFonts w:hint="default" w:ascii="Times New Roman" w:hAnsi="Times New Roman" w:cs="Times New Roman"/>
          <w:i/>
          <w:iCs/>
          <w:sz w:val="24"/>
          <w:szCs w:val="24"/>
        </w:rPr>
        <w:t>BBC News</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"https://www.bbc.co.uk/news/world-asia-china-50832919"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https://www.bbc.co.uk/news/world-asia-china-50832919</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r>
        <w:rPr>
          <w:rFonts w:hint="default" w:ascii="Times New Roman" w:hAnsi="Times New Roman" w:cs="Times New Roman"/>
          <w:sz w:val="24"/>
          <w:szCs w:val="24"/>
        </w:rPr>
        <w:t xml:space="preserve">Zhou, S., Liu, G., Huang, Y., Huang, T. Y., Lin, S. Z., Lan, J., Yang, H., &amp; Lin, R. (2023). The contribution of cultural identity to subjective well-being in collectivist countries: a study in the context of contemporary Chinese culture. </w:t>
      </w:r>
      <w:r>
        <w:rPr>
          <w:rFonts w:hint="default" w:ascii="Times New Roman" w:hAnsi="Times New Roman" w:cs="Times New Roman"/>
          <w:i/>
          <w:iCs/>
          <w:sz w:val="24"/>
          <w:szCs w:val="24"/>
        </w:rPr>
        <w:t>Frontiers in Psychology</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14</w:t>
      </w:r>
      <w:r>
        <w:rPr>
          <w:rFonts w:hint="default" w:ascii="Times New Roman" w:hAnsi="Times New Roman" w:cs="Times New Roman"/>
          <w:sz w:val="24"/>
          <w:szCs w:val="24"/>
        </w:rPr>
        <w:t xml:space="preserv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"https://doi.org/10.3389/fpsyg.2023.1170669"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https://doi.org/10.3389/fpsyg.2023.1170669</w:t>
      </w:r>
      <w:r>
        <w:rPr>
          <w:rFonts w:hint="default" w:ascii="Times New Roman" w:hAnsi="Times New Roman" w:cs="Times New Roman"/>
          <w:sz w:val="24"/>
          <w:szCs w:val="24"/>
        </w:rPr>
        <w:fldChar w:fldCharType="end"/>
      </w:r>
    </w:p>
    <w:p>
      <w:pPr>
        <w:pStyle w:val="8"/>
        <w:keepNext w:val="0"/>
        <w:keepLines w:val="0"/>
        <w:widowControl/>
        <w:suppressLineNumbers w:val="0"/>
        <w:spacing w:before="0" w:beforeAutospacing="0" w:after="0" w:afterAutospacing="0" w:line="480" w:lineRule="auto"/>
        <w:ind w:left="0" w:hanging="720"/>
        <w:rPr>
          <w:rFonts w:hint="default" w:ascii="Times New Roman" w:hAnsi="Times New Roman" w:cs="Times New Roman"/>
          <w:sz w:val="24"/>
          <w:szCs w:val="24"/>
        </w:rPr>
      </w:pPr>
    </w:p>
    <w:p/>
    <w:sectPr>
      <w:footerReference r:id="rId9" w:type="first"/>
      <w:footerReference r:id="rId8" w:type="default"/>
      <w:pgSz w:w="11906" w:h="16838"/>
      <w:pgMar w:top="1440" w:right="1440" w:bottom="1440" w:left="1440" w:header="708" w:footer="708" w:gutter="0"/>
      <w:pgNumType w:start="1"/>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r>
      <w:fldChar w:fldCharType="begin"/>
    </w:r>
    <w:r>
      <w:instrText xml:space="preserve"> PAGE   \* MERGEFORMAT </w:instrText>
    </w:r>
    <w:r>
      <w:fldChar w:fldCharType="separate"/>
    </w:r>
    <w:r>
      <w:t>2</w:t>
    </w:r>
    <w:r>
      <w:fldChar w:fldCharType="end"/>
    </w: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right"/>
    </w:pPr>
    <w:r>
      <w:fldChar w:fldCharType="begin"/>
    </w:r>
    <w:r>
      <w:instrText xml:space="preserve"> PAGE   \* MERGEFORMAT </w:instrText>
    </w:r>
    <w:r>
      <w:fldChar w:fldCharType="separate"/>
    </w:r>
    <w:r>
      <w:t>2</w:t>
    </w:r>
    <w:r>
      <w:fldChar w:fldCharType="end"/>
    </w:r>
  </w:p>
  <w:p>
    <w:pPr>
      <w:pStyle w:val="4"/>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720"/>
  <w:hyphenationZone w:val="360"/>
  <w:displayHorizontalDrawingGridEvery w:val="1"/>
  <w:displayVerticalDrawingGridEvery w:val="1"/>
  <w:noPunctuationKerning w:val="1"/>
  <w:characterSpacingControl w:val="doNotCompress"/>
  <w:footnotePr>
    <w:footnote w:id="0"/>
    <w:footnote w:id="1"/>
  </w:footnotePr>
  <w:endnotePr>
    <w:endnote w:id="0"/>
    <w:endnote w:id="1"/>
  </w:endnotePr>
  <w:compat>
    <w:doNotLeaveBackslashAlone/>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Q2YjFkNjdmMjRkMmRiMTAzZjNmOTA0ZTVlMjJiNTAifQ=="/>
  </w:docVars>
  <w:rsids>
    <w:rsidRoot w:val="00291944"/>
    <w:rsid w:val="00012476"/>
    <w:rsid w:val="0001453D"/>
    <w:rsid w:val="00040D9C"/>
    <w:rsid w:val="000566C5"/>
    <w:rsid w:val="000A7C32"/>
    <w:rsid w:val="001262C4"/>
    <w:rsid w:val="001F286F"/>
    <w:rsid w:val="002625BC"/>
    <w:rsid w:val="00291944"/>
    <w:rsid w:val="002B6B57"/>
    <w:rsid w:val="004C5647"/>
    <w:rsid w:val="005146E3"/>
    <w:rsid w:val="00681208"/>
    <w:rsid w:val="006E1E9A"/>
    <w:rsid w:val="0097226F"/>
    <w:rsid w:val="00A56539"/>
    <w:rsid w:val="00A71DAD"/>
    <w:rsid w:val="00B21E01"/>
    <w:rsid w:val="00B638B9"/>
    <w:rsid w:val="00D136B9"/>
    <w:rsid w:val="00D460E5"/>
    <w:rsid w:val="00DA6A9F"/>
    <w:rsid w:val="00DF20D9"/>
    <w:rsid w:val="00E67C18"/>
    <w:rsid w:val="00F51F88"/>
    <w:rsid w:val="07182E78"/>
    <w:rsid w:val="151A11AA"/>
    <w:rsid w:val="5DD670CA"/>
    <w:rsid w:val="79655303"/>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Arial" w:hAnsi="Arial" w:eastAsia="Calibri" w:cs="Times New Roman"/>
      <w:sz w:val="24"/>
      <w:szCs w:val="22"/>
      <w:lang w:val="en-GB" w:eastAsia="en-US" w:bidi="ar-SA"/>
    </w:rPr>
  </w:style>
  <w:style w:type="paragraph" w:styleId="2">
    <w:name w:val="heading 1"/>
    <w:basedOn w:val="1"/>
    <w:next w:val="1"/>
    <w:link w:val="12"/>
    <w:qFormat/>
    <w:uiPriority w:val="9"/>
    <w:pPr>
      <w:keepNext/>
      <w:keepLines/>
      <w:spacing w:before="240" w:after="0"/>
      <w:outlineLvl w:val="0"/>
    </w:pPr>
    <w:rPr>
      <w:rFonts w:eastAsia="等线 Light" w:cs="Times New Roman"/>
      <w:color w:val="2F5496"/>
      <w:sz w:val="32"/>
      <w:szCs w:val="32"/>
    </w:rPr>
  </w:style>
  <w:style w:type="paragraph" w:styleId="3">
    <w:name w:val="heading 2"/>
    <w:basedOn w:val="1"/>
    <w:next w:val="1"/>
    <w:link w:val="13"/>
    <w:unhideWhenUsed/>
    <w:qFormat/>
    <w:uiPriority w:val="9"/>
    <w:pPr>
      <w:keepNext/>
      <w:keepLines/>
      <w:spacing w:before="40" w:after="0"/>
      <w:outlineLvl w:val="1"/>
    </w:pPr>
    <w:rPr>
      <w:rFonts w:eastAsia="等线 Light" w:cs="Times New Roman"/>
      <w:color w:val="2F5496"/>
      <w:szCs w:val="26"/>
    </w:rPr>
  </w:style>
  <w:style w:type="character" w:default="1" w:styleId="10">
    <w:name w:val="Default Paragraph Font"/>
    <w:unhideWhenUsed/>
    <w:uiPriority w:val="1"/>
  </w:style>
  <w:style w:type="table" w:default="1" w:styleId="9">
    <w:name w:val="Normal Table"/>
    <w:unhideWhenUsed/>
    <w:qFormat/>
    <w:uiPriority w:val="99"/>
    <w:tblPr>
      <w:tblStyle w:val="9"/>
      <w:tblCellMar>
        <w:top w:w="0" w:type="dxa"/>
        <w:left w:w="108" w:type="dxa"/>
        <w:bottom w:w="0" w:type="dxa"/>
        <w:right w:w="108" w:type="dxa"/>
      </w:tblCellMar>
    </w:tblPr>
  </w:style>
  <w:style w:type="paragraph" w:styleId="4">
    <w:name w:val="footer"/>
    <w:basedOn w:val="1"/>
    <w:link w:val="14"/>
    <w:unhideWhenUsed/>
    <w:uiPriority w:val="99"/>
    <w:pPr>
      <w:tabs>
        <w:tab w:val="center" w:pos="4513"/>
        <w:tab w:val="right" w:pos="9026"/>
      </w:tabs>
      <w:spacing w:after="0" w:line="240" w:lineRule="auto"/>
    </w:pPr>
  </w:style>
  <w:style w:type="paragraph" w:styleId="5">
    <w:name w:val="header"/>
    <w:basedOn w:val="1"/>
    <w:link w:val="15"/>
    <w:unhideWhenUsed/>
    <w:qFormat/>
    <w:uiPriority w:val="99"/>
    <w:pPr>
      <w:tabs>
        <w:tab w:val="center" w:pos="4513"/>
        <w:tab w:val="right" w:pos="9026"/>
      </w:tabs>
      <w:spacing w:after="0" w:line="240" w:lineRule="auto"/>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40"/>
    </w:pPr>
  </w:style>
  <w:style w:type="paragraph" w:styleId="8">
    <w:name w:val="Normal (Web)"/>
    <w:basedOn w:val="1"/>
    <w:unhideWhenUsed/>
    <w:uiPriority w:val="99"/>
    <w:pPr>
      <w:spacing w:before="100" w:beforeAutospacing="1" w:after="100" w:afterAutospacing="1"/>
      <w:ind w:left="0" w:right="0"/>
      <w:jc w:val="left"/>
    </w:pPr>
    <w:rPr>
      <w:kern w:val="0"/>
      <w:sz w:val="24"/>
      <w:lang w:val="en-US" w:eastAsia="zh-CN" w:bidi="ar"/>
    </w:rPr>
  </w:style>
  <w:style w:type="character" w:styleId="11">
    <w:name w:val="Hyperlink"/>
    <w:basedOn w:val="10"/>
    <w:unhideWhenUsed/>
    <w:uiPriority w:val="99"/>
    <w:rPr>
      <w:color w:val="0563C1"/>
      <w:u w:val="single"/>
    </w:rPr>
  </w:style>
  <w:style w:type="character" w:customStyle="1" w:styleId="12">
    <w:name w:val="Heading 1 Char"/>
    <w:basedOn w:val="10"/>
    <w:link w:val="2"/>
    <w:uiPriority w:val="9"/>
    <w:rPr>
      <w:rFonts w:ascii="Arial" w:hAnsi="Arial" w:eastAsia="等线 Light" w:cs="Times New Roman"/>
      <w:color w:val="2F5496"/>
      <w:sz w:val="32"/>
      <w:szCs w:val="32"/>
    </w:rPr>
  </w:style>
  <w:style w:type="character" w:customStyle="1" w:styleId="13">
    <w:name w:val="Heading 2 Char"/>
    <w:basedOn w:val="10"/>
    <w:link w:val="3"/>
    <w:uiPriority w:val="9"/>
    <w:rPr>
      <w:rFonts w:ascii="Arial" w:hAnsi="Arial" w:eastAsia="等线 Light" w:cs="Times New Roman"/>
      <w:color w:val="2F5496"/>
      <w:sz w:val="24"/>
      <w:szCs w:val="26"/>
    </w:rPr>
  </w:style>
  <w:style w:type="character" w:customStyle="1" w:styleId="14">
    <w:name w:val="Footer Char"/>
    <w:basedOn w:val="10"/>
    <w:link w:val="4"/>
    <w:qFormat/>
    <w:uiPriority w:val="99"/>
    <w:rPr>
      <w:rFonts w:ascii="Arial" w:hAnsi="Arial"/>
      <w:sz w:val="24"/>
    </w:rPr>
  </w:style>
  <w:style w:type="character" w:customStyle="1" w:styleId="15">
    <w:name w:val="Header Char"/>
    <w:basedOn w:val="10"/>
    <w:link w:val="5"/>
    <w:uiPriority w:val="99"/>
    <w:rPr>
      <w:rFonts w:ascii="Arial" w:hAnsi="Arial"/>
      <w:sz w:val="24"/>
    </w:rPr>
  </w:style>
  <w:style w:type="paragraph" w:styleId="16">
    <w:name w:val="No Spacing"/>
    <w:link w:val="17"/>
    <w:qFormat/>
    <w:uiPriority w:val="1"/>
    <w:pPr>
      <w:spacing w:after="0" w:line="240" w:lineRule="auto"/>
    </w:pPr>
    <w:rPr>
      <w:rFonts w:ascii="Calibri" w:hAnsi="Calibri" w:eastAsia="等线" w:cs="Times New Roman"/>
      <w:sz w:val="22"/>
      <w:szCs w:val="22"/>
      <w:lang w:val="en-US" w:eastAsia="en-US" w:bidi="ar-SA"/>
    </w:rPr>
  </w:style>
  <w:style w:type="character" w:customStyle="1" w:styleId="17">
    <w:name w:val="No Spacing Char"/>
    <w:basedOn w:val="10"/>
    <w:link w:val="16"/>
    <w:uiPriority w:val="1"/>
    <w:rPr>
      <w:rFonts w:eastAsia="等线"/>
      <w:lang w:val="en-US"/>
    </w:rPr>
  </w:style>
  <w:style w:type="paragraph" w:customStyle="1" w:styleId="18">
    <w:name w:val="TOC Heading"/>
    <w:basedOn w:val="2"/>
    <w:next w:val="1"/>
    <w:unhideWhenUsed/>
    <w:qFormat/>
    <w:uiPriority w:val="39"/>
    <w:pPr>
      <w:outlineLvl w:val="9"/>
    </w:pPr>
    <w:rPr>
      <w:lang w:val="en-US"/>
    </w:rPr>
  </w:style>
  <w:style w:type="paragraph" w:customStyle="1" w:styleId="19">
    <w:name w:val="Bibliography"/>
    <w:basedOn w:val="1"/>
    <w:qFormat/>
    <w:uiPriority w:val="0"/>
    <w:pPr>
      <w:ind w:left="720" w:hanging="720"/>
    </w:pPr>
  </w:style>
</w:styles>
</file>

<file path=word/_rels/document.xml.rels><?xml version="1.0" encoding="UTF-8" standalone="yes"?>
<Relationships xmlns="http://schemas.openxmlformats.org/package/2006/relationships"><Relationship Id="rId9" Type="http://schemas.openxmlformats.org/officeDocument/2006/relationships/footer" Target="footer4.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cid:image001.png@01D0EA4A.2BD679A0" TargetMode="External"/><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5</Pages>
  <Words>569</Words>
  <Characters>3248</Characters>
  <Lines>27</Lines>
  <Paragraphs>7</Paragraphs>
  <TotalTime>0</TotalTime>
  <ScaleCrop>false</ScaleCrop>
  <LinksUpToDate>false</LinksUpToDate>
  <CharactersWithSpaces>3810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2022-10-17T18:57:00Z</dcterms:created>
  <dc:creator>Weizi Yan 2307034</dc:creator>
  <cp:lastModifiedBy>WPS_1340919765</cp:lastModifiedBy>
  <dcterms:modified xsi:type="dcterms:W3CDTF">2024-01-12T18:11:35Z</dcterms:modified>
  <dc:subject>Your subheading</dc:subject>
  <dc:title>Is greed good? Should modern businesses be concerned about ethics?</dc:title>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2642EBD80895480CBDB6D17CC3E59BEE_13</vt:lpwstr>
  </property>
</Properties>
</file>