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59405" w14:textId="2952159F" w:rsidR="003865DD" w:rsidRPr="009754C6" w:rsidRDefault="00F042E6" w:rsidP="00F042E6">
      <w:pPr>
        <w:jc w:val="center"/>
        <w:rPr>
          <w:rFonts w:ascii="Arial" w:hAnsi="Arial" w:cs="Arial"/>
          <w:sz w:val="24"/>
          <w:szCs w:val="24"/>
          <w:lang w:val="en-US"/>
        </w:rPr>
      </w:pPr>
      <w:r w:rsidRPr="009754C6">
        <w:rPr>
          <w:rFonts w:ascii="Arial" w:hAnsi="Arial" w:cs="Arial"/>
          <w:sz w:val="24"/>
          <w:szCs w:val="24"/>
          <w:lang w:val="en-US"/>
        </w:rPr>
        <w:t>Referring to the case studies provided on moodle, critically examine one of these themes and consider the potential risk factors for Adverse Childhood Experiences and how the impact of these risks can be minimised.</w:t>
      </w:r>
    </w:p>
    <w:p w14:paraId="30EDE9AE" w14:textId="2F77FDD8" w:rsidR="00F042E6" w:rsidRPr="009754C6" w:rsidRDefault="00F042E6" w:rsidP="00F042E6">
      <w:pPr>
        <w:jc w:val="center"/>
        <w:rPr>
          <w:rFonts w:ascii="Arial" w:hAnsi="Arial" w:cs="Arial"/>
          <w:sz w:val="24"/>
          <w:szCs w:val="24"/>
          <w:lang w:val="en-US"/>
        </w:rPr>
      </w:pPr>
      <w:r w:rsidRPr="009754C6">
        <w:rPr>
          <w:rFonts w:ascii="Arial" w:hAnsi="Arial" w:cs="Arial"/>
          <w:sz w:val="24"/>
          <w:szCs w:val="24"/>
          <w:lang w:val="en-US"/>
        </w:rPr>
        <w:t>ECPS6004</w:t>
      </w:r>
    </w:p>
    <w:p w14:paraId="315140BD" w14:textId="77777777" w:rsidR="00F042E6" w:rsidRPr="009754C6" w:rsidRDefault="00F042E6" w:rsidP="00F042E6">
      <w:pPr>
        <w:jc w:val="center"/>
        <w:rPr>
          <w:rFonts w:ascii="Arial" w:hAnsi="Arial" w:cs="Arial"/>
          <w:sz w:val="24"/>
          <w:szCs w:val="24"/>
          <w:lang w:val="en-US"/>
        </w:rPr>
      </w:pPr>
    </w:p>
    <w:p w14:paraId="06F3BDDB" w14:textId="77777777" w:rsidR="00F042E6" w:rsidRPr="009754C6" w:rsidRDefault="00F042E6" w:rsidP="00F042E6">
      <w:pPr>
        <w:jc w:val="center"/>
        <w:rPr>
          <w:rFonts w:ascii="Arial" w:hAnsi="Arial" w:cs="Arial"/>
          <w:sz w:val="24"/>
          <w:szCs w:val="24"/>
          <w:lang w:val="en-US"/>
        </w:rPr>
      </w:pPr>
    </w:p>
    <w:p w14:paraId="00BCDFA4" w14:textId="370DC483" w:rsidR="00C615C9" w:rsidRPr="009754C6" w:rsidRDefault="00F042E6" w:rsidP="002F0EF7">
      <w:pPr>
        <w:spacing w:line="360" w:lineRule="auto"/>
        <w:ind w:firstLine="720"/>
        <w:rPr>
          <w:rFonts w:ascii="Arial" w:hAnsi="Arial" w:cs="Arial"/>
          <w:sz w:val="24"/>
          <w:szCs w:val="24"/>
          <w:lang w:val="en-US"/>
        </w:rPr>
      </w:pPr>
      <w:r w:rsidRPr="009754C6">
        <w:rPr>
          <w:rFonts w:ascii="Arial" w:hAnsi="Arial" w:cs="Arial"/>
          <w:sz w:val="24"/>
          <w:szCs w:val="24"/>
          <w:lang w:val="en-US"/>
        </w:rPr>
        <w:t>Adverse childhood experiences (ACEs) refers to</w:t>
      </w:r>
      <w:r w:rsidR="0019093B" w:rsidRPr="009754C6">
        <w:rPr>
          <w:rFonts w:ascii="Arial" w:hAnsi="Arial" w:cs="Arial"/>
          <w:sz w:val="24"/>
          <w:szCs w:val="24"/>
          <w:lang w:val="en-US"/>
        </w:rPr>
        <w:t xml:space="preserve"> the potential experience of traumatic events that can occur during </w:t>
      </w:r>
      <w:r w:rsidR="00907CA3" w:rsidRPr="009754C6">
        <w:rPr>
          <w:rFonts w:ascii="Arial" w:hAnsi="Arial" w:cs="Arial"/>
          <w:sz w:val="24"/>
          <w:szCs w:val="24"/>
          <w:lang w:val="en-US"/>
        </w:rPr>
        <w:t>childhood,</w:t>
      </w:r>
      <w:r w:rsidR="0019093B" w:rsidRPr="009754C6">
        <w:rPr>
          <w:rFonts w:ascii="Arial" w:hAnsi="Arial" w:cs="Arial"/>
          <w:sz w:val="24"/>
          <w:szCs w:val="24"/>
          <w:lang w:val="en-US"/>
        </w:rPr>
        <w:t xml:space="preserve"> usually before the age of 18 that can have a lasting negative impact on a child’s development and health</w:t>
      </w:r>
      <w:r w:rsidR="00604B70" w:rsidRPr="009754C6">
        <w:rPr>
          <w:rFonts w:ascii="Arial" w:hAnsi="Arial" w:cs="Arial"/>
          <w:sz w:val="24"/>
          <w:szCs w:val="24"/>
          <w:lang w:val="en-US"/>
        </w:rPr>
        <w:t xml:space="preserve"> (</w:t>
      </w:r>
      <w:r w:rsidR="00162607" w:rsidRPr="009754C6">
        <w:rPr>
          <w:rFonts w:ascii="Arial" w:hAnsi="Arial" w:cs="Arial"/>
          <w:sz w:val="24"/>
          <w:szCs w:val="24"/>
          <w:lang w:val="en-US"/>
        </w:rPr>
        <w:t>Boullier et al., 2018</w:t>
      </w:r>
      <w:r w:rsidR="00604B70" w:rsidRPr="009754C6">
        <w:rPr>
          <w:rFonts w:ascii="Arial" w:hAnsi="Arial" w:cs="Arial"/>
          <w:sz w:val="24"/>
          <w:szCs w:val="24"/>
          <w:lang w:val="en-US"/>
        </w:rPr>
        <w:t xml:space="preserve">). </w:t>
      </w:r>
      <w:r w:rsidR="00C615C9" w:rsidRPr="009754C6">
        <w:rPr>
          <w:rFonts w:ascii="Arial" w:hAnsi="Arial" w:cs="Arial"/>
          <w:sz w:val="24"/>
          <w:szCs w:val="24"/>
          <w:lang w:val="en-US"/>
        </w:rPr>
        <w:t xml:space="preserve">There are 10 original ACEs which can be categories into one of three </w:t>
      </w:r>
      <w:r w:rsidR="00524AEF" w:rsidRPr="009754C6">
        <w:rPr>
          <w:rFonts w:ascii="Arial" w:hAnsi="Arial" w:cs="Arial"/>
          <w:sz w:val="24"/>
          <w:szCs w:val="24"/>
          <w:lang w:val="en-US"/>
        </w:rPr>
        <w:t xml:space="preserve">broad categories </w:t>
      </w:r>
      <w:r w:rsidR="00C615C9" w:rsidRPr="009754C6">
        <w:rPr>
          <w:rFonts w:ascii="Arial" w:hAnsi="Arial" w:cs="Arial"/>
          <w:sz w:val="24"/>
          <w:szCs w:val="24"/>
          <w:lang w:val="en-US"/>
        </w:rPr>
        <w:t xml:space="preserve">which include: abuse, neglect, and household challenges. </w:t>
      </w:r>
      <w:r w:rsidR="002F0EF7">
        <w:rPr>
          <w:rFonts w:ascii="Arial" w:hAnsi="Arial" w:cs="Arial"/>
          <w:sz w:val="24"/>
          <w:szCs w:val="24"/>
          <w:lang w:val="en-US"/>
        </w:rPr>
        <w:t>Abuse includes emotional, sexual, and physical abuse. Neglect includes physical and emotional neglect</w:t>
      </w:r>
      <w:r w:rsidR="004209B0" w:rsidRPr="009754C6">
        <w:rPr>
          <w:rFonts w:ascii="Arial" w:hAnsi="Arial" w:cs="Arial"/>
          <w:sz w:val="24"/>
          <w:szCs w:val="24"/>
          <w:lang w:val="en-US"/>
        </w:rPr>
        <w:t>. Finally, household challenges include domestic violence,</w:t>
      </w:r>
      <w:r w:rsidR="002F0EF7">
        <w:rPr>
          <w:rFonts w:ascii="Arial" w:hAnsi="Arial" w:cs="Arial"/>
          <w:sz w:val="24"/>
          <w:szCs w:val="24"/>
          <w:lang w:val="en-US"/>
        </w:rPr>
        <w:t xml:space="preserve"> separation/ divorce, </w:t>
      </w:r>
      <w:r w:rsidR="005F33ED">
        <w:rPr>
          <w:rFonts w:ascii="Arial" w:hAnsi="Arial" w:cs="Arial"/>
          <w:sz w:val="24"/>
          <w:szCs w:val="24"/>
          <w:lang w:val="en-US"/>
        </w:rPr>
        <w:t>mental illness in household, criminal household member, and household substance abuse</w:t>
      </w:r>
      <w:r w:rsidR="004209B0" w:rsidRPr="009754C6">
        <w:rPr>
          <w:rFonts w:ascii="Arial" w:hAnsi="Arial" w:cs="Arial"/>
          <w:sz w:val="24"/>
          <w:szCs w:val="24"/>
          <w:lang w:val="en-US"/>
        </w:rPr>
        <w:t xml:space="preserve">. </w:t>
      </w:r>
      <w:r w:rsidR="00C615C9" w:rsidRPr="009754C6">
        <w:rPr>
          <w:rFonts w:ascii="Arial" w:hAnsi="Arial" w:cs="Arial"/>
          <w:sz w:val="24"/>
          <w:szCs w:val="24"/>
          <w:lang w:val="en-US"/>
        </w:rPr>
        <w:t>The</w:t>
      </w:r>
      <w:r w:rsidR="004209B0" w:rsidRPr="009754C6">
        <w:rPr>
          <w:rFonts w:ascii="Arial" w:hAnsi="Arial" w:cs="Arial"/>
          <w:sz w:val="24"/>
          <w:szCs w:val="24"/>
          <w:lang w:val="en-US"/>
        </w:rPr>
        <w:t>se</w:t>
      </w:r>
      <w:r w:rsidR="00C615C9" w:rsidRPr="009754C6">
        <w:rPr>
          <w:rFonts w:ascii="Arial" w:hAnsi="Arial" w:cs="Arial"/>
          <w:sz w:val="24"/>
          <w:szCs w:val="24"/>
          <w:lang w:val="en-US"/>
        </w:rPr>
        <w:t xml:space="preserve"> </w:t>
      </w:r>
      <w:r w:rsidR="00907CA3" w:rsidRPr="009754C6">
        <w:rPr>
          <w:rFonts w:ascii="Arial" w:hAnsi="Arial" w:cs="Arial"/>
          <w:sz w:val="24"/>
          <w:szCs w:val="24"/>
          <w:lang w:val="en-US"/>
        </w:rPr>
        <w:t>original definition</w:t>
      </w:r>
      <w:r w:rsidR="00162607" w:rsidRPr="009754C6">
        <w:rPr>
          <w:rFonts w:ascii="Arial" w:hAnsi="Arial" w:cs="Arial"/>
          <w:sz w:val="24"/>
          <w:szCs w:val="24"/>
          <w:lang w:val="en-US"/>
        </w:rPr>
        <w:t>s</w:t>
      </w:r>
      <w:r w:rsidR="00907CA3" w:rsidRPr="009754C6">
        <w:rPr>
          <w:rFonts w:ascii="Arial" w:hAnsi="Arial" w:cs="Arial"/>
          <w:sz w:val="24"/>
          <w:szCs w:val="24"/>
          <w:lang w:val="en-US"/>
        </w:rPr>
        <w:t xml:space="preserve"> of ACEs were conducted by CDC and Kaiser in the 199</w:t>
      </w:r>
      <w:r w:rsidR="00E24488" w:rsidRPr="009754C6">
        <w:rPr>
          <w:rFonts w:ascii="Arial" w:hAnsi="Arial" w:cs="Arial"/>
          <w:sz w:val="24"/>
          <w:szCs w:val="24"/>
          <w:lang w:val="en-US"/>
        </w:rPr>
        <w:t xml:space="preserve">8 </w:t>
      </w:r>
      <w:r w:rsidR="004209B0" w:rsidRPr="009754C6">
        <w:rPr>
          <w:rFonts w:ascii="Arial" w:hAnsi="Arial" w:cs="Arial"/>
          <w:sz w:val="24"/>
          <w:szCs w:val="24"/>
          <w:lang w:val="en-US"/>
        </w:rPr>
        <w:t>(Boullier et al., 2018)</w:t>
      </w:r>
      <w:r w:rsidR="00907CA3" w:rsidRPr="009754C6">
        <w:rPr>
          <w:rFonts w:ascii="Arial" w:hAnsi="Arial" w:cs="Arial"/>
          <w:sz w:val="24"/>
          <w:szCs w:val="24"/>
          <w:lang w:val="en-US"/>
        </w:rPr>
        <w:t>.</w:t>
      </w:r>
      <w:r w:rsidR="00E24488" w:rsidRPr="009754C6">
        <w:rPr>
          <w:rFonts w:ascii="Arial" w:hAnsi="Arial" w:cs="Arial"/>
          <w:sz w:val="24"/>
          <w:szCs w:val="24"/>
          <w:lang w:val="en-US"/>
        </w:rPr>
        <w:t xml:space="preserve"> </w:t>
      </w:r>
      <w:r w:rsidR="004209B0" w:rsidRPr="009754C6">
        <w:rPr>
          <w:rFonts w:ascii="Arial" w:hAnsi="Arial" w:cs="Arial"/>
          <w:sz w:val="24"/>
          <w:szCs w:val="24"/>
          <w:lang w:val="en-US"/>
        </w:rPr>
        <w:t xml:space="preserve"> </w:t>
      </w:r>
      <w:r w:rsidR="00907CA3" w:rsidRPr="009754C6">
        <w:rPr>
          <w:rFonts w:ascii="Arial" w:hAnsi="Arial" w:cs="Arial"/>
          <w:sz w:val="24"/>
          <w:szCs w:val="24"/>
          <w:lang w:val="en-US"/>
        </w:rPr>
        <w:t xml:space="preserve"> </w:t>
      </w:r>
    </w:p>
    <w:p w14:paraId="35F601DF" w14:textId="2A2B8DCA" w:rsidR="00D64734" w:rsidRPr="009754C6" w:rsidRDefault="00E24488" w:rsidP="00CE5647">
      <w:pPr>
        <w:spacing w:line="360" w:lineRule="auto"/>
        <w:ind w:firstLine="720"/>
        <w:rPr>
          <w:rFonts w:ascii="Arial" w:hAnsi="Arial" w:cs="Arial"/>
          <w:sz w:val="24"/>
          <w:szCs w:val="24"/>
          <w:lang w:val="en-US"/>
        </w:rPr>
      </w:pPr>
      <w:r w:rsidRPr="009754C6">
        <w:rPr>
          <w:rFonts w:ascii="Arial" w:hAnsi="Arial" w:cs="Arial"/>
          <w:sz w:val="24"/>
          <w:szCs w:val="24"/>
          <w:lang w:val="en-US"/>
        </w:rPr>
        <w:t xml:space="preserve">ACEs can be stressful and overwhelming for children, and repeated exposure to these experiences can affect </w:t>
      </w:r>
      <w:bookmarkStart w:id="0" w:name="_Hlk190449577"/>
      <w:r w:rsidRPr="009754C6">
        <w:rPr>
          <w:rFonts w:ascii="Arial" w:hAnsi="Arial" w:cs="Arial"/>
          <w:sz w:val="24"/>
          <w:szCs w:val="24"/>
          <w:lang w:val="en-US"/>
        </w:rPr>
        <w:t>brain development, coping mechanisms, and increase vulnerability to physical and mental health problems in later life</w:t>
      </w:r>
      <w:bookmarkEnd w:id="0"/>
      <w:r w:rsidRPr="009754C6">
        <w:rPr>
          <w:rFonts w:ascii="Arial" w:hAnsi="Arial" w:cs="Arial"/>
          <w:sz w:val="24"/>
          <w:szCs w:val="24"/>
          <w:lang w:val="en-US"/>
        </w:rPr>
        <w:t xml:space="preserve">, such as depression, anxiety, and substance abuse </w:t>
      </w:r>
      <w:bookmarkStart w:id="1" w:name="_Hlk190450094"/>
      <w:r w:rsidRPr="009754C6">
        <w:rPr>
          <w:rFonts w:ascii="Arial" w:hAnsi="Arial" w:cs="Arial"/>
          <w:sz w:val="24"/>
          <w:szCs w:val="24"/>
          <w:lang w:val="en-US"/>
        </w:rPr>
        <w:t>(</w:t>
      </w:r>
      <w:r w:rsidR="000B1A8F" w:rsidRPr="009754C6">
        <w:rPr>
          <w:rFonts w:ascii="Arial" w:hAnsi="Arial" w:cs="Arial"/>
          <w:sz w:val="24"/>
          <w:szCs w:val="24"/>
          <w:lang w:val="en-US"/>
        </w:rPr>
        <w:t>Gu et al., 2022</w:t>
      </w:r>
      <w:r w:rsidRPr="009754C6">
        <w:rPr>
          <w:rFonts w:ascii="Arial" w:hAnsi="Arial" w:cs="Arial"/>
          <w:sz w:val="24"/>
          <w:szCs w:val="24"/>
          <w:lang w:val="en-US"/>
        </w:rPr>
        <w:t>)</w:t>
      </w:r>
      <w:bookmarkEnd w:id="1"/>
      <w:r w:rsidRPr="009754C6">
        <w:rPr>
          <w:rFonts w:ascii="Arial" w:hAnsi="Arial" w:cs="Arial"/>
          <w:sz w:val="24"/>
          <w:szCs w:val="24"/>
          <w:lang w:val="en-US"/>
        </w:rPr>
        <w:t xml:space="preserve">. The ACEs </w:t>
      </w:r>
      <w:r w:rsidR="00A03F9E" w:rsidRPr="009754C6">
        <w:rPr>
          <w:rFonts w:ascii="Arial" w:hAnsi="Arial" w:cs="Arial"/>
          <w:sz w:val="24"/>
          <w:szCs w:val="24"/>
          <w:lang w:val="en-US"/>
        </w:rPr>
        <w:t>study</w:t>
      </w:r>
      <w:r w:rsidRPr="009754C6">
        <w:rPr>
          <w:rFonts w:ascii="Arial" w:hAnsi="Arial" w:cs="Arial"/>
          <w:sz w:val="24"/>
          <w:szCs w:val="24"/>
          <w:lang w:val="en-US"/>
        </w:rPr>
        <w:t xml:space="preserve"> highlighted the relationship between these early experiences and long-term health outcomes,</w:t>
      </w:r>
      <w:r w:rsidR="005C41D7">
        <w:rPr>
          <w:rFonts w:ascii="Arial" w:hAnsi="Arial" w:cs="Arial"/>
          <w:sz w:val="24"/>
          <w:szCs w:val="24"/>
          <w:lang w:val="en-US"/>
        </w:rPr>
        <w:t xml:space="preserve"> highlighting the significance of early support and intervention </w:t>
      </w:r>
      <w:r w:rsidRPr="009754C6">
        <w:rPr>
          <w:rFonts w:ascii="Arial" w:hAnsi="Arial" w:cs="Arial"/>
          <w:sz w:val="24"/>
          <w:szCs w:val="24"/>
          <w:lang w:val="en-US"/>
        </w:rPr>
        <w:t>for children facing adversity (</w:t>
      </w:r>
      <w:r w:rsidR="00524AEF" w:rsidRPr="009754C6">
        <w:rPr>
          <w:rFonts w:ascii="Arial" w:hAnsi="Arial" w:cs="Arial"/>
          <w:sz w:val="24"/>
          <w:szCs w:val="24"/>
          <w:lang w:val="en-US"/>
        </w:rPr>
        <w:t>Felitti et al., 1998</w:t>
      </w:r>
      <w:r w:rsidRPr="009754C6">
        <w:rPr>
          <w:rFonts w:ascii="Arial" w:hAnsi="Arial" w:cs="Arial"/>
          <w:sz w:val="24"/>
          <w:szCs w:val="24"/>
          <w:lang w:val="en-US"/>
        </w:rPr>
        <w:t>)</w:t>
      </w:r>
      <w:r w:rsidR="00A03F9E" w:rsidRPr="009754C6">
        <w:rPr>
          <w:rFonts w:ascii="Arial" w:hAnsi="Arial" w:cs="Arial"/>
          <w:sz w:val="24"/>
          <w:szCs w:val="24"/>
          <w:lang w:val="en-US"/>
        </w:rPr>
        <w:t>.</w:t>
      </w:r>
    </w:p>
    <w:p w14:paraId="623B8102" w14:textId="3DD36808" w:rsidR="00E556DF" w:rsidRPr="009754C6" w:rsidRDefault="00D3449A" w:rsidP="00CE5647">
      <w:pPr>
        <w:spacing w:line="360" w:lineRule="auto"/>
        <w:ind w:firstLine="720"/>
        <w:rPr>
          <w:rFonts w:ascii="Arial" w:hAnsi="Arial" w:cs="Arial"/>
          <w:sz w:val="24"/>
          <w:szCs w:val="24"/>
          <w:lang w:val="en-US"/>
        </w:rPr>
      </w:pPr>
      <w:r w:rsidRPr="009754C6">
        <w:rPr>
          <w:rFonts w:ascii="Arial" w:hAnsi="Arial" w:cs="Arial"/>
          <w:sz w:val="24"/>
          <w:szCs w:val="24"/>
          <w:lang w:val="en-US"/>
        </w:rPr>
        <w:t xml:space="preserve">An example </w:t>
      </w:r>
      <w:r w:rsidR="005C41D7">
        <w:rPr>
          <w:rFonts w:ascii="Arial" w:hAnsi="Arial" w:cs="Arial"/>
          <w:sz w:val="24"/>
          <w:szCs w:val="24"/>
          <w:lang w:val="en-US"/>
        </w:rPr>
        <w:t xml:space="preserve">of early intervention being significant for children </w:t>
      </w:r>
      <w:r w:rsidRPr="009754C6">
        <w:rPr>
          <w:rFonts w:ascii="Arial" w:hAnsi="Arial" w:cs="Arial"/>
          <w:sz w:val="24"/>
          <w:szCs w:val="24"/>
          <w:lang w:val="en-US"/>
        </w:rPr>
        <w:t>facing adversity can be seen though the case study of 15-year-old male Ben who</w:t>
      </w:r>
      <w:r w:rsidR="00E6123B" w:rsidRPr="009754C6">
        <w:rPr>
          <w:rFonts w:ascii="Arial" w:hAnsi="Arial" w:cs="Arial"/>
          <w:sz w:val="24"/>
          <w:szCs w:val="24"/>
          <w:lang w:val="en-US"/>
        </w:rPr>
        <w:t xml:space="preserve"> is</w:t>
      </w:r>
      <w:r w:rsidRPr="009754C6">
        <w:rPr>
          <w:rFonts w:ascii="Arial" w:hAnsi="Arial" w:cs="Arial"/>
          <w:sz w:val="24"/>
          <w:szCs w:val="24"/>
          <w:lang w:val="en-US"/>
        </w:rPr>
        <w:t xml:space="preserve"> suffering from </w:t>
      </w:r>
      <w:r w:rsidR="00047980" w:rsidRPr="009754C6">
        <w:rPr>
          <w:rFonts w:ascii="Arial" w:hAnsi="Arial" w:cs="Arial"/>
          <w:sz w:val="24"/>
          <w:szCs w:val="24"/>
          <w:lang w:val="en-US"/>
        </w:rPr>
        <w:t>extreme anxiety and panic, refusal to go to school, and self-harming. All of these have to potential to become a risk factor to Ben’s brain development, coping mechanisms, and increase vulnerability to physical and mental health problems in later life ultimately leading to the development of Ben’s adverse childhood experiences (ACEs)</w:t>
      </w:r>
      <w:r w:rsidR="00E6123B" w:rsidRPr="009754C6">
        <w:rPr>
          <w:rFonts w:ascii="Arial" w:hAnsi="Arial" w:cs="Arial"/>
          <w:sz w:val="24"/>
          <w:szCs w:val="24"/>
          <w:lang w:val="en-US"/>
        </w:rPr>
        <w:t xml:space="preserve"> (Gu et al., 2022)</w:t>
      </w:r>
      <w:r w:rsidR="00047980" w:rsidRPr="009754C6">
        <w:rPr>
          <w:rFonts w:ascii="Arial" w:hAnsi="Arial" w:cs="Arial"/>
          <w:sz w:val="24"/>
          <w:szCs w:val="24"/>
          <w:lang w:val="en-US"/>
        </w:rPr>
        <w:t xml:space="preserve">. The remainder of this essay will be focusing on critically examining these themes of anxiety and panic, refusal to go to school, and self-harming and </w:t>
      </w:r>
      <w:r w:rsidR="00A922C2" w:rsidRPr="009754C6">
        <w:rPr>
          <w:rFonts w:ascii="Arial" w:hAnsi="Arial" w:cs="Arial"/>
          <w:sz w:val="24"/>
          <w:szCs w:val="24"/>
          <w:lang w:val="en-US"/>
        </w:rPr>
        <w:t>considering</w:t>
      </w:r>
      <w:r w:rsidR="001030F6">
        <w:rPr>
          <w:rFonts w:ascii="Arial" w:hAnsi="Arial" w:cs="Arial"/>
          <w:sz w:val="24"/>
          <w:szCs w:val="24"/>
          <w:lang w:val="en-US"/>
        </w:rPr>
        <w:t xml:space="preserve"> the potential risk factors for ACEs and ways to reduce the effects of these risks.</w:t>
      </w:r>
    </w:p>
    <w:p w14:paraId="07335161" w14:textId="01DD1369" w:rsidR="00A922C2" w:rsidRPr="009754C6" w:rsidRDefault="003840BD" w:rsidP="00CE5647">
      <w:pPr>
        <w:spacing w:line="360" w:lineRule="auto"/>
        <w:ind w:firstLine="720"/>
        <w:rPr>
          <w:rFonts w:ascii="Arial" w:hAnsi="Arial" w:cs="Arial"/>
          <w:sz w:val="24"/>
          <w:szCs w:val="24"/>
          <w:lang w:val="en-US"/>
        </w:rPr>
      </w:pPr>
      <w:r w:rsidRPr="009754C6">
        <w:rPr>
          <w:rFonts w:ascii="Arial" w:hAnsi="Arial" w:cs="Arial"/>
          <w:sz w:val="24"/>
          <w:szCs w:val="24"/>
          <w:lang w:val="en-US"/>
        </w:rPr>
        <w:lastRenderedPageBreak/>
        <w:t xml:space="preserve">There are many assumptions that can be made in order to understand Ben’s behavior and well-being due to the lack of information of the case study. Overall, the themes gathered from the case study gives the assumption that Ben’s change in behavior </w:t>
      </w:r>
      <w:r w:rsidR="00AA389E" w:rsidRPr="009754C6">
        <w:rPr>
          <w:rFonts w:ascii="Arial" w:hAnsi="Arial" w:cs="Arial"/>
          <w:sz w:val="24"/>
          <w:szCs w:val="24"/>
          <w:lang w:val="en-US"/>
        </w:rPr>
        <w:t xml:space="preserve">such as refusal to go to school </w:t>
      </w:r>
      <w:r w:rsidRPr="009754C6">
        <w:rPr>
          <w:rFonts w:ascii="Arial" w:hAnsi="Arial" w:cs="Arial"/>
          <w:sz w:val="24"/>
          <w:szCs w:val="24"/>
          <w:lang w:val="en-US"/>
        </w:rPr>
        <w:t>and decrease in well-being resulting in anxiety, panic,</w:t>
      </w:r>
      <w:r w:rsidR="00AA389E" w:rsidRPr="009754C6">
        <w:rPr>
          <w:rFonts w:ascii="Arial" w:hAnsi="Arial" w:cs="Arial"/>
          <w:sz w:val="24"/>
          <w:szCs w:val="24"/>
          <w:lang w:val="en-US"/>
        </w:rPr>
        <w:t xml:space="preserve"> and </w:t>
      </w:r>
      <w:r w:rsidRPr="009754C6">
        <w:rPr>
          <w:rFonts w:ascii="Arial" w:hAnsi="Arial" w:cs="Arial"/>
          <w:sz w:val="24"/>
          <w:szCs w:val="24"/>
          <w:lang w:val="en-US"/>
        </w:rPr>
        <w:t xml:space="preserve">self-harming </w:t>
      </w:r>
      <w:r w:rsidR="00647082" w:rsidRPr="009754C6">
        <w:rPr>
          <w:rFonts w:ascii="Arial" w:hAnsi="Arial" w:cs="Arial"/>
          <w:sz w:val="24"/>
          <w:szCs w:val="24"/>
          <w:lang w:val="en-US"/>
        </w:rPr>
        <w:t>may be</w:t>
      </w:r>
      <w:r w:rsidRPr="009754C6">
        <w:rPr>
          <w:rFonts w:ascii="Arial" w:hAnsi="Arial" w:cs="Arial"/>
          <w:sz w:val="24"/>
          <w:szCs w:val="24"/>
          <w:lang w:val="en-US"/>
        </w:rPr>
        <w:t xml:space="preserve"> due to issues</w:t>
      </w:r>
      <w:r w:rsidR="00647082" w:rsidRPr="009754C6">
        <w:rPr>
          <w:rFonts w:ascii="Arial" w:hAnsi="Arial" w:cs="Arial"/>
          <w:sz w:val="24"/>
          <w:szCs w:val="24"/>
          <w:lang w:val="en-US"/>
        </w:rPr>
        <w:t xml:space="preserve"> in</w:t>
      </w:r>
      <w:r w:rsidRPr="009754C6">
        <w:rPr>
          <w:rFonts w:ascii="Arial" w:hAnsi="Arial" w:cs="Arial"/>
          <w:sz w:val="24"/>
          <w:szCs w:val="24"/>
          <w:lang w:val="en-US"/>
        </w:rPr>
        <w:t xml:space="preserve"> school. </w:t>
      </w:r>
      <w:r w:rsidR="00C916F1" w:rsidRPr="009754C6">
        <w:rPr>
          <w:rFonts w:ascii="Arial" w:hAnsi="Arial" w:cs="Arial"/>
          <w:sz w:val="24"/>
          <w:szCs w:val="24"/>
          <w:lang w:val="en-US"/>
        </w:rPr>
        <w:t>School-related incidents, such as bullying, social exclusion, and academic pressures, can play a critical role in the development of these themes that can be seen in Ben (</w:t>
      </w:r>
      <w:bookmarkStart w:id="2" w:name="_Hlk191660344"/>
      <w:r w:rsidR="00D9350C" w:rsidRPr="009754C6">
        <w:rPr>
          <w:rFonts w:ascii="Arial" w:hAnsi="Arial" w:cs="Arial"/>
          <w:sz w:val="24"/>
          <w:szCs w:val="24"/>
          <w:lang w:val="en-US"/>
        </w:rPr>
        <w:t>Wolke &amp; Lereya, 2015; Brandt et al., 2022</w:t>
      </w:r>
      <w:bookmarkEnd w:id="2"/>
      <w:r w:rsidR="00C916F1" w:rsidRPr="009754C6">
        <w:rPr>
          <w:rFonts w:ascii="Arial" w:hAnsi="Arial" w:cs="Arial"/>
          <w:sz w:val="24"/>
          <w:szCs w:val="24"/>
          <w:lang w:val="en-US"/>
        </w:rPr>
        <w:t>). ACEs also contribute to the development of these themes, with early trauma and stress influencing the neurological and emotional development of children (</w:t>
      </w:r>
      <w:r w:rsidR="00E3617C" w:rsidRPr="009754C6">
        <w:rPr>
          <w:rFonts w:ascii="Arial" w:hAnsi="Arial" w:cs="Arial"/>
          <w:sz w:val="24"/>
          <w:szCs w:val="24"/>
          <w:lang w:val="en-US"/>
        </w:rPr>
        <w:t>De Bellis &amp; Zisk, 2014</w:t>
      </w:r>
      <w:r w:rsidR="00C916F1" w:rsidRPr="009754C6">
        <w:rPr>
          <w:rFonts w:ascii="Arial" w:hAnsi="Arial" w:cs="Arial"/>
          <w:sz w:val="24"/>
          <w:szCs w:val="24"/>
          <w:lang w:val="en-US"/>
        </w:rPr>
        <w:t xml:space="preserve">). </w:t>
      </w:r>
      <w:r w:rsidR="00647082" w:rsidRPr="009754C6">
        <w:rPr>
          <w:rFonts w:ascii="Arial" w:hAnsi="Arial" w:cs="Arial"/>
          <w:sz w:val="24"/>
          <w:szCs w:val="24"/>
          <w:lang w:val="en-US"/>
        </w:rPr>
        <w:t>All three themes can be due to bullying or social exclusion</w:t>
      </w:r>
      <w:r w:rsidR="00B62887" w:rsidRPr="009754C6">
        <w:rPr>
          <w:rFonts w:ascii="Arial" w:hAnsi="Arial" w:cs="Arial"/>
          <w:sz w:val="24"/>
          <w:szCs w:val="24"/>
          <w:lang w:val="en-US"/>
        </w:rPr>
        <w:t xml:space="preserve"> (Wolke &amp; Lereya, 2015; Brandt et al., 2022)</w:t>
      </w:r>
      <w:r w:rsidR="00647082" w:rsidRPr="009754C6">
        <w:rPr>
          <w:rFonts w:ascii="Arial" w:hAnsi="Arial" w:cs="Arial"/>
          <w:sz w:val="24"/>
          <w:szCs w:val="24"/>
          <w:lang w:val="en-US"/>
        </w:rPr>
        <w:t>. Both physical and verbal bullying is one of the most potent stressors in childhood, with long lasting psychological effects</w:t>
      </w:r>
      <w:r w:rsidR="00C916F1" w:rsidRPr="009754C6">
        <w:rPr>
          <w:rFonts w:ascii="Arial" w:hAnsi="Arial" w:cs="Arial"/>
          <w:sz w:val="24"/>
          <w:szCs w:val="24"/>
          <w:lang w:val="en-US"/>
        </w:rPr>
        <w:t xml:space="preserve"> (</w:t>
      </w:r>
      <w:r w:rsidR="00B62887" w:rsidRPr="009754C6">
        <w:rPr>
          <w:rFonts w:ascii="Arial" w:hAnsi="Arial" w:cs="Arial"/>
          <w:sz w:val="24"/>
          <w:szCs w:val="24"/>
          <w:lang w:val="en-US"/>
        </w:rPr>
        <w:t>Ostberg et al., 2018</w:t>
      </w:r>
      <w:r w:rsidR="00C916F1" w:rsidRPr="009754C6">
        <w:rPr>
          <w:rFonts w:ascii="Arial" w:hAnsi="Arial" w:cs="Arial"/>
          <w:sz w:val="24"/>
          <w:szCs w:val="24"/>
          <w:lang w:val="en-US"/>
        </w:rPr>
        <w:t>)</w:t>
      </w:r>
      <w:r w:rsidR="00647082" w:rsidRPr="009754C6">
        <w:rPr>
          <w:rFonts w:ascii="Arial" w:hAnsi="Arial" w:cs="Arial"/>
          <w:sz w:val="24"/>
          <w:szCs w:val="24"/>
          <w:lang w:val="en-US"/>
        </w:rPr>
        <w:t xml:space="preserve">. </w:t>
      </w:r>
      <w:r w:rsidR="005F33ED">
        <w:rPr>
          <w:rFonts w:ascii="Arial" w:hAnsi="Arial" w:cs="Arial"/>
          <w:sz w:val="24"/>
          <w:szCs w:val="24"/>
          <w:lang w:val="en-US"/>
        </w:rPr>
        <w:t xml:space="preserve">Research suggest that children who experience bullying are more likely to develop mental health issues, including anxiety and panic disorders </w:t>
      </w:r>
      <w:r w:rsidR="00647082" w:rsidRPr="009754C6">
        <w:rPr>
          <w:rFonts w:ascii="Arial" w:hAnsi="Arial" w:cs="Arial"/>
          <w:sz w:val="24"/>
          <w:szCs w:val="24"/>
          <w:lang w:val="en-US"/>
        </w:rPr>
        <w:t>(</w:t>
      </w:r>
      <w:r w:rsidR="007C6BC6" w:rsidRPr="009754C6">
        <w:rPr>
          <w:rFonts w:ascii="Arial" w:hAnsi="Arial" w:cs="Arial"/>
          <w:sz w:val="24"/>
          <w:szCs w:val="24"/>
          <w:lang w:val="en-US"/>
        </w:rPr>
        <w:t>Arseneault, 2018</w:t>
      </w:r>
      <w:r w:rsidR="00647082" w:rsidRPr="009754C6">
        <w:rPr>
          <w:rFonts w:ascii="Arial" w:hAnsi="Arial" w:cs="Arial"/>
          <w:sz w:val="24"/>
          <w:szCs w:val="24"/>
          <w:lang w:val="en-US"/>
        </w:rPr>
        <w:t>). As well as leading to self-harming</w:t>
      </w:r>
      <w:r w:rsidR="000A49E2" w:rsidRPr="009754C6">
        <w:rPr>
          <w:rFonts w:ascii="Arial" w:hAnsi="Arial" w:cs="Arial"/>
          <w:sz w:val="24"/>
          <w:szCs w:val="24"/>
          <w:lang w:val="en-US"/>
        </w:rPr>
        <w:t xml:space="preserve"> and avoidance/ social avoidance </w:t>
      </w:r>
      <w:r w:rsidR="00647082" w:rsidRPr="009754C6">
        <w:rPr>
          <w:rFonts w:ascii="Arial" w:hAnsi="Arial" w:cs="Arial"/>
          <w:sz w:val="24"/>
          <w:szCs w:val="24"/>
          <w:lang w:val="en-US"/>
        </w:rPr>
        <w:t>which can then lead to agoraphobia (</w:t>
      </w:r>
      <w:r w:rsidR="000A49E2" w:rsidRPr="009754C6">
        <w:rPr>
          <w:rFonts w:ascii="Arial" w:hAnsi="Arial" w:cs="Arial"/>
          <w:sz w:val="24"/>
          <w:szCs w:val="24"/>
          <w:lang w:val="en-US"/>
        </w:rPr>
        <w:t xml:space="preserve">Hutzell &amp; Payne, 2018; </w:t>
      </w:r>
      <w:r w:rsidR="00101C6B" w:rsidRPr="009754C6">
        <w:rPr>
          <w:rFonts w:ascii="Arial" w:hAnsi="Arial" w:cs="Arial"/>
          <w:sz w:val="24"/>
          <w:szCs w:val="24"/>
          <w:lang w:val="en-US"/>
        </w:rPr>
        <w:t>Myklestad &amp; Straiton, 2021</w:t>
      </w:r>
      <w:r w:rsidR="00647082" w:rsidRPr="009754C6">
        <w:rPr>
          <w:rFonts w:ascii="Arial" w:hAnsi="Arial" w:cs="Arial"/>
          <w:sz w:val="24"/>
          <w:szCs w:val="24"/>
          <w:lang w:val="en-US"/>
        </w:rPr>
        <w:t xml:space="preserve">). </w:t>
      </w:r>
      <w:r w:rsidR="00662ECA" w:rsidRPr="009754C6">
        <w:rPr>
          <w:rFonts w:ascii="Arial" w:hAnsi="Arial" w:cs="Arial"/>
          <w:sz w:val="24"/>
          <w:szCs w:val="24"/>
          <w:lang w:val="en-US"/>
        </w:rPr>
        <w:t xml:space="preserve">Additionally, academic </w:t>
      </w:r>
      <w:r w:rsidR="00C916F1" w:rsidRPr="009754C6">
        <w:rPr>
          <w:rFonts w:ascii="Arial" w:hAnsi="Arial" w:cs="Arial"/>
          <w:sz w:val="24"/>
          <w:szCs w:val="24"/>
          <w:lang w:val="en-US"/>
        </w:rPr>
        <w:t xml:space="preserve">stressors or </w:t>
      </w:r>
      <w:r w:rsidR="00662ECA" w:rsidRPr="009754C6">
        <w:rPr>
          <w:rFonts w:ascii="Arial" w:hAnsi="Arial" w:cs="Arial"/>
          <w:sz w:val="24"/>
          <w:szCs w:val="24"/>
          <w:lang w:val="en-US"/>
        </w:rPr>
        <w:t xml:space="preserve">struggles can also explain Ben’s themes. Academic </w:t>
      </w:r>
      <w:r w:rsidR="00525C8B" w:rsidRPr="009754C6">
        <w:rPr>
          <w:rFonts w:ascii="Arial" w:hAnsi="Arial" w:cs="Arial"/>
          <w:sz w:val="24"/>
          <w:szCs w:val="24"/>
          <w:lang w:val="en-US"/>
        </w:rPr>
        <w:t>s</w:t>
      </w:r>
      <w:r w:rsidR="00C916F1" w:rsidRPr="009754C6">
        <w:rPr>
          <w:rFonts w:ascii="Arial" w:hAnsi="Arial" w:cs="Arial"/>
          <w:sz w:val="24"/>
          <w:szCs w:val="24"/>
          <w:lang w:val="en-US"/>
        </w:rPr>
        <w:t>tress</w:t>
      </w:r>
      <w:r w:rsidR="00525C8B" w:rsidRPr="009754C6">
        <w:rPr>
          <w:rFonts w:ascii="Arial" w:hAnsi="Arial" w:cs="Arial"/>
          <w:sz w:val="24"/>
          <w:szCs w:val="24"/>
          <w:lang w:val="en-US"/>
        </w:rPr>
        <w:t xml:space="preserve"> may cause anxiety which may lead to children refusing to go to school to reduce that feeling of anxiety </w:t>
      </w:r>
      <w:r w:rsidR="000E730B" w:rsidRPr="009754C6">
        <w:rPr>
          <w:rFonts w:ascii="Arial" w:hAnsi="Arial" w:cs="Arial"/>
          <w:sz w:val="24"/>
          <w:szCs w:val="24"/>
          <w:lang w:val="en-US"/>
        </w:rPr>
        <w:t xml:space="preserve">as well as a </w:t>
      </w:r>
      <w:r w:rsidR="00C916F1" w:rsidRPr="009754C6">
        <w:rPr>
          <w:rFonts w:ascii="Arial" w:hAnsi="Arial" w:cs="Arial"/>
          <w:sz w:val="24"/>
          <w:szCs w:val="24"/>
          <w:lang w:val="en-US"/>
        </w:rPr>
        <w:t>resulting in</w:t>
      </w:r>
      <w:r w:rsidR="000E730B" w:rsidRPr="009754C6">
        <w:rPr>
          <w:rFonts w:ascii="Arial" w:hAnsi="Arial" w:cs="Arial"/>
          <w:sz w:val="24"/>
          <w:szCs w:val="24"/>
          <w:lang w:val="en-US"/>
        </w:rPr>
        <w:t xml:space="preserve"> self-harming behaviours</w:t>
      </w:r>
      <w:r w:rsidR="00647082" w:rsidRPr="009754C6">
        <w:rPr>
          <w:rFonts w:ascii="Arial" w:hAnsi="Arial" w:cs="Arial"/>
          <w:sz w:val="24"/>
          <w:szCs w:val="24"/>
          <w:lang w:val="en-US"/>
        </w:rPr>
        <w:t xml:space="preserve"> </w:t>
      </w:r>
      <w:r w:rsidR="000E730B" w:rsidRPr="009754C6">
        <w:rPr>
          <w:rFonts w:ascii="Arial" w:hAnsi="Arial" w:cs="Arial"/>
          <w:sz w:val="24"/>
          <w:szCs w:val="24"/>
          <w:lang w:val="en-US"/>
        </w:rPr>
        <w:t>(</w:t>
      </w:r>
      <w:r w:rsidR="00071ABC" w:rsidRPr="009754C6">
        <w:rPr>
          <w:rFonts w:ascii="Arial" w:hAnsi="Arial" w:cs="Arial"/>
          <w:sz w:val="24"/>
          <w:szCs w:val="24"/>
          <w:lang w:val="en-US"/>
        </w:rPr>
        <w:t xml:space="preserve">Chen et al., 2023; </w:t>
      </w:r>
      <w:r w:rsidR="00AD4192" w:rsidRPr="009754C6">
        <w:rPr>
          <w:rFonts w:ascii="Arial" w:hAnsi="Arial" w:cs="Arial"/>
          <w:sz w:val="24"/>
          <w:szCs w:val="24"/>
          <w:lang w:val="en-US"/>
        </w:rPr>
        <w:t xml:space="preserve">Peeters et al., 2025; </w:t>
      </w:r>
      <w:r w:rsidR="00595C3F" w:rsidRPr="009754C6">
        <w:rPr>
          <w:rFonts w:ascii="Arial" w:hAnsi="Arial" w:cs="Arial"/>
          <w:sz w:val="24"/>
          <w:szCs w:val="24"/>
          <w:lang w:val="en-US"/>
        </w:rPr>
        <w:t>Zhang et al., 2022</w:t>
      </w:r>
      <w:r w:rsidR="000E730B" w:rsidRPr="009754C6">
        <w:rPr>
          <w:rFonts w:ascii="Arial" w:hAnsi="Arial" w:cs="Arial"/>
          <w:sz w:val="24"/>
          <w:szCs w:val="24"/>
          <w:lang w:val="en-US"/>
        </w:rPr>
        <w:t>).</w:t>
      </w:r>
    </w:p>
    <w:p w14:paraId="1476348C" w14:textId="3ACE816B" w:rsidR="00D94AA2" w:rsidRPr="009754C6" w:rsidRDefault="00140D17" w:rsidP="00CE5647">
      <w:pPr>
        <w:spacing w:line="360" w:lineRule="auto"/>
        <w:ind w:firstLine="720"/>
        <w:rPr>
          <w:rFonts w:ascii="Arial" w:hAnsi="Arial" w:cs="Arial"/>
          <w:sz w:val="24"/>
          <w:szCs w:val="24"/>
          <w:lang w:val="en-US"/>
        </w:rPr>
      </w:pPr>
      <w:r w:rsidRPr="009754C6">
        <w:rPr>
          <w:rFonts w:ascii="Arial" w:hAnsi="Arial" w:cs="Arial"/>
          <w:sz w:val="24"/>
          <w:szCs w:val="24"/>
          <w:lang w:val="en-US"/>
        </w:rPr>
        <w:t xml:space="preserve">There are many </w:t>
      </w:r>
      <w:r w:rsidR="00E72E7C" w:rsidRPr="009754C6">
        <w:rPr>
          <w:rFonts w:ascii="Arial" w:hAnsi="Arial" w:cs="Arial"/>
          <w:sz w:val="24"/>
          <w:szCs w:val="24"/>
          <w:lang w:val="en-US"/>
        </w:rPr>
        <w:t>long- and short-term</w:t>
      </w:r>
      <w:r w:rsidRPr="009754C6">
        <w:rPr>
          <w:rFonts w:ascii="Arial" w:hAnsi="Arial" w:cs="Arial"/>
          <w:sz w:val="24"/>
          <w:szCs w:val="24"/>
          <w:lang w:val="en-US"/>
        </w:rPr>
        <w:t xml:space="preserve"> risk factors that can develop due to the </w:t>
      </w:r>
      <w:r w:rsidR="00321B01" w:rsidRPr="009754C6">
        <w:rPr>
          <w:rFonts w:ascii="Arial" w:hAnsi="Arial" w:cs="Arial"/>
          <w:sz w:val="24"/>
          <w:szCs w:val="24"/>
          <w:lang w:val="en-US"/>
        </w:rPr>
        <w:t>themes than can be seen within Ben. One of</w:t>
      </w:r>
      <w:r w:rsidR="00404C1D" w:rsidRPr="009754C6">
        <w:rPr>
          <w:rFonts w:ascii="Arial" w:hAnsi="Arial" w:cs="Arial"/>
          <w:sz w:val="24"/>
          <w:szCs w:val="24"/>
          <w:lang w:val="en-US"/>
        </w:rPr>
        <w:t xml:space="preserve"> the risk factors is emotional dysregulation.</w:t>
      </w:r>
      <w:r w:rsidR="000331B6" w:rsidRPr="009754C6">
        <w:rPr>
          <w:rFonts w:ascii="Arial" w:hAnsi="Arial" w:cs="Arial"/>
          <w:sz w:val="24"/>
          <w:szCs w:val="24"/>
          <w:lang w:val="en-US"/>
        </w:rPr>
        <w:t xml:space="preserve"> Emotional dysregulation involves the inability to effectively manage, regulate, or control emotional reactions (</w:t>
      </w:r>
      <w:r w:rsidR="00AF1B2A" w:rsidRPr="009754C6">
        <w:rPr>
          <w:rFonts w:ascii="Arial" w:hAnsi="Arial" w:cs="Arial"/>
          <w:sz w:val="24"/>
          <w:szCs w:val="24"/>
          <w:lang w:val="en-US"/>
        </w:rPr>
        <w:t>Paulus et al., 2021</w:t>
      </w:r>
      <w:r w:rsidR="000331B6" w:rsidRPr="009754C6">
        <w:rPr>
          <w:rFonts w:ascii="Arial" w:hAnsi="Arial" w:cs="Arial"/>
          <w:sz w:val="24"/>
          <w:szCs w:val="24"/>
          <w:lang w:val="en-US"/>
        </w:rPr>
        <w:t>). Individuals may experience extreme fluctuation in their emotional state or struggle to return to a baseline emotional state after being upset (</w:t>
      </w:r>
      <w:r w:rsidR="006E42CA" w:rsidRPr="009754C6">
        <w:rPr>
          <w:rFonts w:ascii="Arial" w:hAnsi="Arial" w:cs="Arial"/>
          <w:sz w:val="24"/>
          <w:szCs w:val="24"/>
          <w:lang w:val="en-US"/>
        </w:rPr>
        <w:t>Paulus et al., 2021</w:t>
      </w:r>
      <w:r w:rsidR="000331B6" w:rsidRPr="009754C6">
        <w:rPr>
          <w:rFonts w:ascii="Arial" w:hAnsi="Arial" w:cs="Arial"/>
          <w:sz w:val="24"/>
          <w:szCs w:val="24"/>
          <w:lang w:val="en-US"/>
        </w:rPr>
        <w:t>). Emotional dysregulation also involves difficulties in tolerating distressing emotions, which may result in maladaptive coping mechanisms, such as avoidance, self-harming, or aggression which can been seen within Ben’s case study (</w:t>
      </w:r>
      <w:r w:rsidR="00CE5B90" w:rsidRPr="009754C6">
        <w:rPr>
          <w:rFonts w:ascii="Arial" w:hAnsi="Arial" w:cs="Arial"/>
          <w:sz w:val="24"/>
          <w:szCs w:val="24"/>
          <w:lang w:val="en-US"/>
        </w:rPr>
        <w:t xml:space="preserve">Brenning &amp; Braet, 2012; </w:t>
      </w:r>
      <w:r w:rsidR="0023535A" w:rsidRPr="009754C6">
        <w:rPr>
          <w:rFonts w:ascii="Arial" w:hAnsi="Arial" w:cs="Arial"/>
          <w:sz w:val="24"/>
          <w:szCs w:val="24"/>
          <w:lang w:val="en-US"/>
        </w:rPr>
        <w:t>Ong &amp; Thompson, 2019</w:t>
      </w:r>
      <w:r w:rsidR="000331B6" w:rsidRPr="009754C6">
        <w:rPr>
          <w:rFonts w:ascii="Arial" w:hAnsi="Arial" w:cs="Arial"/>
          <w:sz w:val="24"/>
          <w:szCs w:val="24"/>
          <w:lang w:val="en-US"/>
        </w:rPr>
        <w:t xml:space="preserve">). </w:t>
      </w:r>
      <w:r w:rsidR="009D7761" w:rsidRPr="009754C6">
        <w:rPr>
          <w:rFonts w:ascii="Arial" w:hAnsi="Arial" w:cs="Arial"/>
          <w:sz w:val="24"/>
          <w:szCs w:val="24"/>
          <w:lang w:val="en-US"/>
        </w:rPr>
        <w:t xml:space="preserve">There is a wide body of research </w:t>
      </w:r>
      <w:r w:rsidR="003D5396" w:rsidRPr="009754C6">
        <w:rPr>
          <w:rFonts w:ascii="Arial" w:hAnsi="Arial" w:cs="Arial"/>
          <w:sz w:val="24"/>
          <w:szCs w:val="24"/>
          <w:lang w:val="en-US"/>
        </w:rPr>
        <w:t xml:space="preserve">suggesting that </w:t>
      </w:r>
      <w:r w:rsidR="00D94AA2" w:rsidRPr="009754C6">
        <w:rPr>
          <w:rFonts w:ascii="Arial" w:hAnsi="Arial" w:cs="Arial"/>
          <w:sz w:val="24"/>
          <w:szCs w:val="24"/>
          <w:lang w:val="en-US"/>
        </w:rPr>
        <w:t>emotional dysregulation can lead to self-harming. This can be seen though research conducted by Warne et al., (202</w:t>
      </w:r>
      <w:r w:rsidR="00463480" w:rsidRPr="009754C6">
        <w:rPr>
          <w:rFonts w:ascii="Arial" w:hAnsi="Arial" w:cs="Arial"/>
          <w:sz w:val="24"/>
          <w:szCs w:val="24"/>
          <w:lang w:val="en-US"/>
        </w:rPr>
        <w:t>3</w:t>
      </w:r>
      <w:r w:rsidR="00D94AA2" w:rsidRPr="009754C6">
        <w:rPr>
          <w:rFonts w:ascii="Arial" w:hAnsi="Arial" w:cs="Arial"/>
          <w:sz w:val="24"/>
          <w:szCs w:val="24"/>
          <w:lang w:val="en-US"/>
        </w:rPr>
        <w:t xml:space="preserve">) who examined the </w:t>
      </w:r>
      <w:r w:rsidR="00262635" w:rsidRPr="009754C6">
        <w:rPr>
          <w:rFonts w:ascii="Arial" w:hAnsi="Arial" w:cs="Arial"/>
          <w:sz w:val="24"/>
          <w:szCs w:val="24"/>
          <w:lang w:val="en-US"/>
        </w:rPr>
        <w:t xml:space="preserve">relationship between the </w:t>
      </w:r>
      <w:r w:rsidR="00D94AA2" w:rsidRPr="009754C6">
        <w:rPr>
          <w:rFonts w:ascii="Arial" w:hAnsi="Arial" w:cs="Arial"/>
          <w:sz w:val="24"/>
          <w:szCs w:val="24"/>
          <w:lang w:val="en-US"/>
        </w:rPr>
        <w:t xml:space="preserve">risk </w:t>
      </w:r>
      <w:r w:rsidR="00D94AA2" w:rsidRPr="009754C6">
        <w:rPr>
          <w:rFonts w:ascii="Arial" w:hAnsi="Arial" w:cs="Arial"/>
          <w:sz w:val="24"/>
          <w:szCs w:val="24"/>
          <w:lang w:val="en-US"/>
        </w:rPr>
        <w:lastRenderedPageBreak/>
        <w:t>factor of emotional dysregulation for eating disorders and self-harming</w:t>
      </w:r>
      <w:r w:rsidR="00262635" w:rsidRPr="009754C6">
        <w:rPr>
          <w:rFonts w:ascii="Arial" w:hAnsi="Arial" w:cs="Arial"/>
          <w:sz w:val="24"/>
          <w:szCs w:val="24"/>
          <w:lang w:val="en-US"/>
        </w:rPr>
        <w:t xml:space="preserve"> using longitudinal study</w:t>
      </w:r>
      <w:r w:rsidR="00D94AA2" w:rsidRPr="009754C6">
        <w:rPr>
          <w:rFonts w:ascii="Arial" w:hAnsi="Arial" w:cs="Arial"/>
          <w:sz w:val="24"/>
          <w:szCs w:val="24"/>
          <w:lang w:val="en-US"/>
        </w:rPr>
        <w:t>. The re</w:t>
      </w:r>
      <w:r w:rsidR="00262635" w:rsidRPr="009754C6">
        <w:rPr>
          <w:rFonts w:ascii="Arial" w:hAnsi="Arial" w:cs="Arial"/>
          <w:sz w:val="24"/>
          <w:szCs w:val="24"/>
          <w:lang w:val="en-US"/>
        </w:rPr>
        <w:t xml:space="preserve">sults found that both eating disorders and self-harming was associated with emotional dysregulation. However, the finding from the study was </w:t>
      </w:r>
      <w:r w:rsidR="0050243D" w:rsidRPr="009754C6">
        <w:rPr>
          <w:rFonts w:ascii="Arial" w:hAnsi="Arial" w:cs="Arial"/>
          <w:sz w:val="24"/>
          <w:szCs w:val="24"/>
          <w:lang w:val="en-US"/>
        </w:rPr>
        <w:t xml:space="preserve">dominated by a mainly white sample therefore </w:t>
      </w:r>
      <w:r w:rsidR="00943FB6" w:rsidRPr="009754C6">
        <w:rPr>
          <w:rFonts w:ascii="Arial" w:hAnsi="Arial" w:cs="Arial"/>
          <w:sz w:val="24"/>
          <w:szCs w:val="24"/>
          <w:lang w:val="en-US"/>
        </w:rPr>
        <w:t xml:space="preserve">the results </w:t>
      </w:r>
      <w:r w:rsidR="00654147" w:rsidRPr="009754C6">
        <w:rPr>
          <w:rFonts w:ascii="Arial" w:hAnsi="Arial" w:cs="Arial"/>
          <w:sz w:val="24"/>
          <w:szCs w:val="24"/>
          <w:lang w:val="en-US"/>
        </w:rPr>
        <w:t xml:space="preserve">may not be able to be generalised to other socioeconomic or ethnic groups. </w:t>
      </w:r>
      <w:r w:rsidR="00262635" w:rsidRPr="009754C6">
        <w:rPr>
          <w:rFonts w:ascii="Arial" w:hAnsi="Arial" w:cs="Arial"/>
          <w:sz w:val="24"/>
          <w:szCs w:val="24"/>
          <w:lang w:val="en-US"/>
        </w:rPr>
        <w:t xml:space="preserve">  </w:t>
      </w:r>
    </w:p>
    <w:p w14:paraId="75293BE4" w14:textId="4568119F" w:rsidR="009D7761" w:rsidRPr="009754C6" w:rsidRDefault="004D7EA1" w:rsidP="00CE5647">
      <w:pPr>
        <w:spacing w:line="360" w:lineRule="auto"/>
        <w:ind w:firstLine="720"/>
        <w:rPr>
          <w:rFonts w:ascii="Arial" w:hAnsi="Arial" w:cs="Arial"/>
          <w:sz w:val="24"/>
          <w:szCs w:val="24"/>
          <w:lang w:val="en-US"/>
        </w:rPr>
      </w:pPr>
      <w:r w:rsidRPr="009754C6">
        <w:rPr>
          <w:rFonts w:ascii="Arial" w:hAnsi="Arial" w:cs="Arial"/>
          <w:sz w:val="24"/>
          <w:szCs w:val="24"/>
          <w:lang w:val="en-US"/>
        </w:rPr>
        <w:t>Furthermore, the emotion regulation model</w:t>
      </w:r>
      <w:r w:rsidR="009B03C0" w:rsidRPr="009754C6">
        <w:rPr>
          <w:rFonts w:ascii="Arial" w:hAnsi="Arial" w:cs="Arial"/>
          <w:sz w:val="24"/>
          <w:szCs w:val="24"/>
          <w:lang w:val="en-US"/>
        </w:rPr>
        <w:t xml:space="preserve"> which was developed by Gross (</w:t>
      </w:r>
      <w:r w:rsidR="00C9742B" w:rsidRPr="009754C6">
        <w:rPr>
          <w:rFonts w:ascii="Arial" w:hAnsi="Arial" w:cs="Arial"/>
          <w:sz w:val="24"/>
          <w:szCs w:val="24"/>
          <w:lang w:val="en-US"/>
        </w:rPr>
        <w:t>1998 as cited in Gross, 2002</w:t>
      </w:r>
      <w:r w:rsidR="009B03C0" w:rsidRPr="009754C6">
        <w:rPr>
          <w:rFonts w:ascii="Arial" w:hAnsi="Arial" w:cs="Arial"/>
          <w:sz w:val="24"/>
          <w:szCs w:val="24"/>
          <w:lang w:val="en-US"/>
        </w:rPr>
        <w:t>)</w:t>
      </w:r>
      <w:r w:rsidRPr="009754C6">
        <w:rPr>
          <w:rFonts w:ascii="Arial" w:hAnsi="Arial" w:cs="Arial"/>
          <w:sz w:val="24"/>
          <w:szCs w:val="24"/>
          <w:lang w:val="en-US"/>
        </w:rPr>
        <w:t xml:space="preserve"> </w:t>
      </w:r>
      <w:r w:rsidR="009B03C0" w:rsidRPr="009754C6">
        <w:rPr>
          <w:rFonts w:ascii="Arial" w:hAnsi="Arial" w:cs="Arial"/>
          <w:sz w:val="24"/>
          <w:szCs w:val="24"/>
          <w:lang w:val="en-US"/>
        </w:rPr>
        <w:t>has been widely praised for its clarity and suitability in understanding how people manage emotions in various situations. It is suggested that dysregulated emotional responses occur when an individual is unable to regulate emotions effectively leading to heightened emotional responses and distress (</w:t>
      </w:r>
      <w:r w:rsidR="006E42CA" w:rsidRPr="009754C6">
        <w:rPr>
          <w:rFonts w:ascii="Arial" w:hAnsi="Arial" w:cs="Arial"/>
          <w:sz w:val="24"/>
          <w:szCs w:val="24"/>
          <w:lang w:val="en-US"/>
        </w:rPr>
        <w:t>Thompson, 2019</w:t>
      </w:r>
      <w:r w:rsidR="009B03C0" w:rsidRPr="009754C6">
        <w:rPr>
          <w:rFonts w:ascii="Arial" w:hAnsi="Arial" w:cs="Arial"/>
          <w:sz w:val="24"/>
          <w:szCs w:val="24"/>
          <w:lang w:val="en-US"/>
        </w:rPr>
        <w:t xml:space="preserve">). However, while Gross’s model of emotional regulation provides clarity, it is often criticized for oversimplifying the complex and </w:t>
      </w:r>
      <w:r w:rsidR="007D5B8B" w:rsidRPr="009754C6">
        <w:rPr>
          <w:rFonts w:ascii="Arial" w:hAnsi="Arial" w:cs="Arial"/>
          <w:sz w:val="24"/>
          <w:szCs w:val="24"/>
          <w:lang w:val="en-US"/>
        </w:rPr>
        <w:t>versatility nature of emotional regulation.</w:t>
      </w:r>
      <w:r w:rsidRPr="009754C6">
        <w:rPr>
          <w:rFonts w:ascii="Arial" w:hAnsi="Arial" w:cs="Arial"/>
          <w:sz w:val="24"/>
          <w:szCs w:val="24"/>
          <w:lang w:val="en-US"/>
        </w:rPr>
        <w:t xml:space="preserve"> </w:t>
      </w:r>
      <w:r w:rsidR="007D5B8B" w:rsidRPr="009754C6">
        <w:rPr>
          <w:rFonts w:ascii="Arial" w:hAnsi="Arial" w:cs="Arial"/>
          <w:sz w:val="24"/>
          <w:szCs w:val="24"/>
          <w:lang w:val="en-US"/>
        </w:rPr>
        <w:t>Emotional regulation is not just about whether or not an individual suppresses or reinterprets their emotions (</w:t>
      </w:r>
      <w:r w:rsidR="00CE5B90" w:rsidRPr="009754C6">
        <w:rPr>
          <w:rFonts w:ascii="Arial" w:hAnsi="Arial" w:cs="Arial"/>
          <w:sz w:val="24"/>
          <w:szCs w:val="24"/>
          <w:lang w:val="en-US"/>
        </w:rPr>
        <w:t>Aldao et al., 2010</w:t>
      </w:r>
      <w:r w:rsidR="007D5B8B" w:rsidRPr="009754C6">
        <w:rPr>
          <w:rFonts w:ascii="Arial" w:hAnsi="Arial" w:cs="Arial"/>
          <w:sz w:val="24"/>
          <w:szCs w:val="24"/>
          <w:lang w:val="en-US"/>
        </w:rPr>
        <w:t>). Furthermore, another criticism of the concept of emotional regulation is cultural bias. The concept of emotional dysregulation may be culturally biased, as emotional expression and regulation norms vary across different cultures. What is considered dysregulated in one culture may be seen as normal or acceptable in another (</w:t>
      </w:r>
      <w:r w:rsidR="00FD65F4" w:rsidRPr="009754C6">
        <w:rPr>
          <w:rFonts w:ascii="Arial" w:hAnsi="Arial" w:cs="Arial"/>
          <w:sz w:val="24"/>
          <w:szCs w:val="24"/>
          <w:lang w:val="en-US"/>
        </w:rPr>
        <w:t xml:space="preserve">Jani et al., 2016; </w:t>
      </w:r>
      <w:r w:rsidR="009F7AD2" w:rsidRPr="009754C6">
        <w:rPr>
          <w:rFonts w:ascii="Arial" w:hAnsi="Arial" w:cs="Arial"/>
          <w:sz w:val="24"/>
          <w:szCs w:val="24"/>
          <w:lang w:val="en-US"/>
        </w:rPr>
        <w:t>Weiss et al., 2021</w:t>
      </w:r>
      <w:r w:rsidR="007D5B8B" w:rsidRPr="009754C6">
        <w:rPr>
          <w:rFonts w:ascii="Arial" w:hAnsi="Arial" w:cs="Arial"/>
          <w:sz w:val="24"/>
          <w:szCs w:val="24"/>
          <w:lang w:val="en-US"/>
        </w:rPr>
        <w:t>).</w:t>
      </w:r>
      <w:r w:rsidR="00C9742B" w:rsidRPr="009754C6">
        <w:rPr>
          <w:rFonts w:ascii="Arial" w:hAnsi="Arial" w:cs="Arial"/>
          <w:sz w:val="24"/>
          <w:szCs w:val="24"/>
          <w:lang w:val="en-US"/>
        </w:rPr>
        <w:t xml:space="preserve"> Due to not knowing Ben’s origins </w:t>
      </w:r>
      <w:r w:rsidR="00B822D0" w:rsidRPr="009754C6">
        <w:rPr>
          <w:rFonts w:ascii="Arial" w:hAnsi="Arial" w:cs="Arial"/>
          <w:sz w:val="24"/>
          <w:szCs w:val="24"/>
          <w:lang w:val="en-US"/>
        </w:rPr>
        <w:t>it’s</w:t>
      </w:r>
      <w:r w:rsidR="00C9742B" w:rsidRPr="009754C6">
        <w:rPr>
          <w:rFonts w:ascii="Arial" w:hAnsi="Arial" w:cs="Arial"/>
          <w:sz w:val="24"/>
          <w:szCs w:val="24"/>
          <w:lang w:val="en-US"/>
        </w:rPr>
        <w:t xml:space="preserve"> unclear to know the extent to which emotional dysregulation may affect him.</w:t>
      </w:r>
    </w:p>
    <w:p w14:paraId="093D9ACD" w14:textId="77777777" w:rsidR="00534233" w:rsidRPr="009754C6" w:rsidRDefault="00B822D0" w:rsidP="00CE5647">
      <w:pPr>
        <w:spacing w:line="360" w:lineRule="auto"/>
        <w:ind w:firstLine="720"/>
        <w:rPr>
          <w:rFonts w:ascii="Arial" w:hAnsi="Arial" w:cs="Arial"/>
          <w:sz w:val="24"/>
          <w:szCs w:val="24"/>
          <w:lang w:val="en-US"/>
        </w:rPr>
      </w:pPr>
      <w:r w:rsidRPr="009754C6">
        <w:rPr>
          <w:rFonts w:ascii="Arial" w:hAnsi="Arial" w:cs="Arial"/>
          <w:sz w:val="24"/>
          <w:szCs w:val="24"/>
          <w:lang w:val="en-US"/>
        </w:rPr>
        <w:t xml:space="preserve">Another potential risk factor is </w:t>
      </w:r>
      <w:r w:rsidR="00C73E58" w:rsidRPr="009754C6">
        <w:rPr>
          <w:rFonts w:ascii="Arial" w:hAnsi="Arial" w:cs="Arial"/>
          <w:sz w:val="24"/>
          <w:szCs w:val="24"/>
          <w:lang w:val="en-US"/>
        </w:rPr>
        <w:t xml:space="preserve">the effect of avoidant behaviour. </w:t>
      </w:r>
      <w:r w:rsidR="007A5436" w:rsidRPr="009754C6">
        <w:rPr>
          <w:rFonts w:ascii="Arial" w:hAnsi="Arial" w:cs="Arial"/>
          <w:sz w:val="24"/>
          <w:szCs w:val="24"/>
          <w:lang w:val="en-US"/>
        </w:rPr>
        <w:t>Children who experience adversity may develop maladaptive coping strategies, such as avoidance which can be seen with</w:t>
      </w:r>
      <w:r w:rsidR="00C75B33" w:rsidRPr="009754C6">
        <w:rPr>
          <w:rFonts w:ascii="Arial" w:hAnsi="Arial" w:cs="Arial"/>
          <w:sz w:val="24"/>
          <w:szCs w:val="24"/>
          <w:lang w:val="en-US"/>
        </w:rPr>
        <w:t>in</w:t>
      </w:r>
      <w:r w:rsidR="007A5436" w:rsidRPr="009754C6">
        <w:rPr>
          <w:rFonts w:ascii="Arial" w:hAnsi="Arial" w:cs="Arial"/>
          <w:sz w:val="24"/>
          <w:szCs w:val="24"/>
          <w:lang w:val="en-US"/>
        </w:rPr>
        <w:t xml:space="preserve"> the case study of B</w:t>
      </w:r>
      <w:r w:rsidR="00C73E58" w:rsidRPr="009754C6">
        <w:rPr>
          <w:rFonts w:ascii="Arial" w:hAnsi="Arial" w:cs="Arial"/>
          <w:sz w:val="24"/>
          <w:szCs w:val="24"/>
          <w:lang w:val="en-US"/>
        </w:rPr>
        <w:t>en’s refusal to go to school</w:t>
      </w:r>
      <w:r w:rsidR="007A5436" w:rsidRPr="009754C6">
        <w:rPr>
          <w:rFonts w:ascii="Arial" w:hAnsi="Arial" w:cs="Arial"/>
          <w:sz w:val="24"/>
          <w:szCs w:val="24"/>
          <w:lang w:val="en-US"/>
        </w:rPr>
        <w:t xml:space="preserve"> which</w:t>
      </w:r>
      <w:r w:rsidR="00C73E58" w:rsidRPr="009754C6">
        <w:rPr>
          <w:rFonts w:ascii="Arial" w:hAnsi="Arial" w:cs="Arial"/>
          <w:sz w:val="24"/>
          <w:szCs w:val="24"/>
          <w:lang w:val="en-US"/>
        </w:rPr>
        <w:t xml:space="preserve"> can lead to impaired social functioning. People who </w:t>
      </w:r>
      <w:r w:rsidR="008623B8" w:rsidRPr="009754C6">
        <w:rPr>
          <w:rFonts w:ascii="Arial" w:hAnsi="Arial" w:cs="Arial"/>
          <w:sz w:val="24"/>
          <w:szCs w:val="24"/>
          <w:lang w:val="en-US"/>
        </w:rPr>
        <w:t xml:space="preserve">avoid social situation or interpersonal interactions may experience isolation, which can lead to loneliness, depression, and increased </w:t>
      </w:r>
      <w:r w:rsidR="007A5436" w:rsidRPr="009754C6">
        <w:rPr>
          <w:rFonts w:ascii="Arial" w:hAnsi="Arial" w:cs="Arial"/>
          <w:sz w:val="24"/>
          <w:szCs w:val="24"/>
          <w:lang w:val="en-US"/>
        </w:rPr>
        <w:t xml:space="preserve">susceptibility to </w:t>
      </w:r>
      <w:r w:rsidR="008623B8" w:rsidRPr="009754C6">
        <w:rPr>
          <w:rFonts w:ascii="Arial" w:hAnsi="Arial" w:cs="Arial"/>
          <w:sz w:val="24"/>
          <w:szCs w:val="24"/>
          <w:lang w:val="en-US"/>
        </w:rPr>
        <w:t>anxiety over time (</w:t>
      </w:r>
      <w:r w:rsidR="0050686A" w:rsidRPr="009754C6">
        <w:rPr>
          <w:rFonts w:ascii="Arial" w:hAnsi="Arial" w:cs="Arial"/>
          <w:sz w:val="24"/>
          <w:szCs w:val="24"/>
          <w:lang w:val="en-US"/>
        </w:rPr>
        <w:t xml:space="preserve">Beckers &amp; Craske, 2017; </w:t>
      </w:r>
      <w:r w:rsidR="001A37D4" w:rsidRPr="009754C6">
        <w:rPr>
          <w:rFonts w:ascii="Arial" w:hAnsi="Arial" w:cs="Arial"/>
          <w:sz w:val="24"/>
          <w:szCs w:val="24"/>
          <w:lang w:val="en-US"/>
        </w:rPr>
        <w:t>Trew, 201</w:t>
      </w:r>
      <w:r w:rsidR="008623B8" w:rsidRPr="009754C6">
        <w:rPr>
          <w:rFonts w:ascii="Arial" w:hAnsi="Arial" w:cs="Arial"/>
          <w:sz w:val="24"/>
          <w:szCs w:val="24"/>
          <w:lang w:val="en-US"/>
        </w:rPr>
        <w:t xml:space="preserve">). Additionally, </w:t>
      </w:r>
      <w:r w:rsidR="00A92DD0" w:rsidRPr="009754C6">
        <w:rPr>
          <w:rFonts w:ascii="Arial" w:hAnsi="Arial" w:cs="Arial"/>
          <w:sz w:val="24"/>
          <w:szCs w:val="24"/>
          <w:lang w:val="en-US"/>
        </w:rPr>
        <w:t xml:space="preserve">avoiding </w:t>
      </w:r>
      <w:r w:rsidR="008623B8" w:rsidRPr="009754C6">
        <w:rPr>
          <w:rFonts w:ascii="Arial" w:hAnsi="Arial" w:cs="Arial"/>
          <w:sz w:val="24"/>
          <w:szCs w:val="24"/>
          <w:lang w:val="en-US"/>
        </w:rPr>
        <w:t>situations that challenge a person’s comfort zone prevents the development of coping skills and resilience. As a result, an individual may feel more helpless and incapable of handling stressful situations in the future, reinforcing fear by strengthening the belief that a given situation is too dangerous for them to face (</w:t>
      </w:r>
      <w:r w:rsidR="00B24F25" w:rsidRPr="009754C6">
        <w:rPr>
          <w:rFonts w:ascii="Arial" w:hAnsi="Arial" w:cs="Arial"/>
          <w:sz w:val="24"/>
          <w:szCs w:val="24"/>
          <w:lang w:val="en-US"/>
        </w:rPr>
        <w:t>Beckers &amp; Craske, 2017</w:t>
      </w:r>
      <w:r w:rsidR="008623B8" w:rsidRPr="009754C6">
        <w:rPr>
          <w:rFonts w:ascii="Arial" w:hAnsi="Arial" w:cs="Arial"/>
          <w:sz w:val="24"/>
          <w:szCs w:val="24"/>
          <w:lang w:val="en-US"/>
        </w:rPr>
        <w:t>).</w:t>
      </w:r>
      <w:r w:rsidR="00E11A44" w:rsidRPr="009754C6">
        <w:rPr>
          <w:rFonts w:ascii="Arial" w:hAnsi="Arial" w:cs="Arial"/>
          <w:sz w:val="24"/>
          <w:szCs w:val="24"/>
          <w:lang w:val="en-US"/>
        </w:rPr>
        <w:t xml:space="preserve"> However, not all social withdrawal is inherently negative. Some individuals may intentionally limit social interactions for reasons such as self-care or protecting their well-being, especially when they feel overwhelmed (</w:t>
      </w:r>
      <w:r w:rsidR="002910BD" w:rsidRPr="009754C6">
        <w:rPr>
          <w:rFonts w:ascii="Arial" w:hAnsi="Arial" w:cs="Arial"/>
          <w:sz w:val="24"/>
          <w:szCs w:val="24"/>
          <w:lang w:val="en-US"/>
        </w:rPr>
        <w:t xml:space="preserve">Hofmann </w:t>
      </w:r>
      <w:r w:rsidR="002910BD" w:rsidRPr="009754C6">
        <w:rPr>
          <w:rFonts w:ascii="Arial" w:hAnsi="Arial" w:cs="Arial"/>
          <w:sz w:val="24"/>
          <w:szCs w:val="24"/>
          <w:lang w:val="en-US"/>
        </w:rPr>
        <w:lastRenderedPageBreak/>
        <w:t>&amp; Hay, 2018</w:t>
      </w:r>
      <w:r w:rsidR="00E11A44" w:rsidRPr="009754C6">
        <w:rPr>
          <w:rFonts w:ascii="Arial" w:hAnsi="Arial" w:cs="Arial"/>
          <w:sz w:val="24"/>
          <w:szCs w:val="24"/>
          <w:lang w:val="en-US"/>
        </w:rPr>
        <w:t xml:space="preserve">). This point of view can be seen though Ben’s case study, as although Ben’s parents are worried </w:t>
      </w:r>
      <w:r w:rsidR="007D4E1D" w:rsidRPr="009754C6">
        <w:rPr>
          <w:rFonts w:ascii="Arial" w:hAnsi="Arial" w:cs="Arial"/>
          <w:sz w:val="24"/>
          <w:szCs w:val="24"/>
          <w:lang w:val="en-US"/>
        </w:rPr>
        <w:t>about</w:t>
      </w:r>
      <w:r w:rsidR="00E11A44" w:rsidRPr="009754C6">
        <w:rPr>
          <w:rFonts w:ascii="Arial" w:hAnsi="Arial" w:cs="Arial"/>
          <w:sz w:val="24"/>
          <w:szCs w:val="24"/>
          <w:lang w:val="en-US"/>
        </w:rPr>
        <w:t xml:space="preserve"> him it is assumed that due to school pressure his parents are still trying to make him attend </w:t>
      </w:r>
      <w:r w:rsidR="007D4E1D" w:rsidRPr="009754C6">
        <w:rPr>
          <w:rFonts w:ascii="Arial" w:hAnsi="Arial" w:cs="Arial"/>
          <w:sz w:val="24"/>
          <w:szCs w:val="24"/>
          <w:lang w:val="en-US"/>
        </w:rPr>
        <w:t>school,</w:t>
      </w:r>
      <w:r w:rsidR="00E11A44" w:rsidRPr="009754C6">
        <w:rPr>
          <w:rFonts w:ascii="Arial" w:hAnsi="Arial" w:cs="Arial"/>
          <w:sz w:val="24"/>
          <w:szCs w:val="24"/>
          <w:lang w:val="en-US"/>
        </w:rPr>
        <w:t xml:space="preserve"> which </w:t>
      </w:r>
      <w:r w:rsidR="007D4E1D" w:rsidRPr="009754C6">
        <w:rPr>
          <w:rFonts w:ascii="Arial" w:hAnsi="Arial" w:cs="Arial"/>
          <w:sz w:val="24"/>
          <w:szCs w:val="24"/>
          <w:lang w:val="en-US"/>
        </w:rPr>
        <w:t>in turn</w:t>
      </w:r>
      <w:r w:rsidR="00E11A44" w:rsidRPr="009754C6">
        <w:rPr>
          <w:rFonts w:ascii="Arial" w:hAnsi="Arial" w:cs="Arial"/>
          <w:sz w:val="24"/>
          <w:szCs w:val="24"/>
          <w:lang w:val="en-US"/>
        </w:rPr>
        <w:t xml:space="preserve"> forces </w:t>
      </w:r>
      <w:r w:rsidR="007D4E1D" w:rsidRPr="009754C6">
        <w:rPr>
          <w:rFonts w:ascii="Arial" w:hAnsi="Arial" w:cs="Arial"/>
          <w:sz w:val="24"/>
          <w:szCs w:val="24"/>
          <w:lang w:val="en-US"/>
        </w:rPr>
        <w:t>B</w:t>
      </w:r>
      <w:r w:rsidR="00E11A44" w:rsidRPr="009754C6">
        <w:rPr>
          <w:rFonts w:ascii="Arial" w:hAnsi="Arial" w:cs="Arial"/>
          <w:sz w:val="24"/>
          <w:szCs w:val="24"/>
          <w:lang w:val="en-US"/>
        </w:rPr>
        <w:t xml:space="preserve">en to </w:t>
      </w:r>
      <w:r w:rsidR="007D4E1D" w:rsidRPr="009754C6">
        <w:rPr>
          <w:rFonts w:ascii="Arial" w:hAnsi="Arial" w:cs="Arial"/>
          <w:sz w:val="24"/>
          <w:szCs w:val="24"/>
          <w:lang w:val="en-US"/>
        </w:rPr>
        <w:t>lock himself in his room to protect his well-being. However, if this continues long term there’s a possibility for impair</w:t>
      </w:r>
      <w:r w:rsidR="00395C8C" w:rsidRPr="009754C6">
        <w:rPr>
          <w:rFonts w:ascii="Arial" w:hAnsi="Arial" w:cs="Arial"/>
          <w:sz w:val="24"/>
          <w:szCs w:val="24"/>
          <w:lang w:val="en-US"/>
        </w:rPr>
        <w:t>ments</w:t>
      </w:r>
      <w:r w:rsidR="007D4E1D" w:rsidRPr="009754C6">
        <w:rPr>
          <w:rFonts w:ascii="Arial" w:hAnsi="Arial" w:cs="Arial"/>
          <w:sz w:val="24"/>
          <w:szCs w:val="24"/>
          <w:lang w:val="en-US"/>
        </w:rPr>
        <w:t xml:space="preserve"> in his social functioning (</w:t>
      </w:r>
      <w:r w:rsidR="00E53144" w:rsidRPr="009754C6">
        <w:rPr>
          <w:rFonts w:ascii="Arial" w:hAnsi="Arial" w:cs="Arial"/>
          <w:sz w:val="24"/>
          <w:szCs w:val="24"/>
          <w:lang w:val="en-US"/>
        </w:rPr>
        <w:t>Solomon &amp; Mikulincer, 2007</w:t>
      </w:r>
      <w:r w:rsidR="007D4E1D" w:rsidRPr="009754C6">
        <w:rPr>
          <w:rFonts w:ascii="Arial" w:hAnsi="Arial" w:cs="Arial"/>
          <w:sz w:val="24"/>
          <w:szCs w:val="24"/>
          <w:lang w:val="en-US"/>
        </w:rPr>
        <w:t>).</w:t>
      </w:r>
      <w:r w:rsidR="00232F79" w:rsidRPr="009754C6">
        <w:rPr>
          <w:rFonts w:ascii="Arial" w:hAnsi="Arial" w:cs="Arial"/>
          <w:sz w:val="24"/>
          <w:szCs w:val="24"/>
          <w:lang w:val="en-US"/>
        </w:rPr>
        <w:t xml:space="preserve"> </w:t>
      </w:r>
    </w:p>
    <w:p w14:paraId="78B5C2EF" w14:textId="3092C288" w:rsidR="004E0D9A" w:rsidRPr="009754C6" w:rsidRDefault="00395C8C" w:rsidP="00CE5647">
      <w:pPr>
        <w:spacing w:line="360" w:lineRule="auto"/>
        <w:ind w:firstLine="720"/>
        <w:rPr>
          <w:rFonts w:ascii="Arial" w:hAnsi="Arial" w:cs="Arial"/>
          <w:sz w:val="24"/>
          <w:szCs w:val="24"/>
          <w:lang w:val="en-US"/>
        </w:rPr>
      </w:pPr>
      <w:r w:rsidRPr="009754C6">
        <w:rPr>
          <w:rFonts w:ascii="Arial" w:hAnsi="Arial" w:cs="Arial"/>
          <w:sz w:val="24"/>
          <w:szCs w:val="24"/>
          <w:lang w:val="en-US"/>
        </w:rPr>
        <w:t xml:space="preserve">In relation to the potential link between bullying and Ben’s themes the effects of avoidance and anxiety can be seen though the longitudinal study which was conducted by Hamstra &amp; Fritzgerald (2022) to explore mental health problems such as anxiety and avoidance. The results found that there is a significant association between bullying and anxiety and poor social skills. </w:t>
      </w:r>
      <w:r w:rsidR="004B535A" w:rsidRPr="009754C6">
        <w:rPr>
          <w:rFonts w:ascii="Arial" w:hAnsi="Arial" w:cs="Arial"/>
          <w:sz w:val="24"/>
          <w:szCs w:val="24"/>
          <w:lang w:val="en-US"/>
        </w:rPr>
        <w:t xml:space="preserve">Therefore, suggesting that </w:t>
      </w:r>
      <w:r w:rsidR="00FE10A6" w:rsidRPr="009754C6">
        <w:rPr>
          <w:rFonts w:ascii="Arial" w:hAnsi="Arial" w:cs="Arial"/>
          <w:sz w:val="24"/>
          <w:szCs w:val="24"/>
          <w:lang w:val="en-US"/>
        </w:rPr>
        <w:t>Ben’s struggles with anxiety and avoidance can have long lasting negative impact on him in later life</w:t>
      </w:r>
      <w:r w:rsidR="00722705" w:rsidRPr="009754C6">
        <w:rPr>
          <w:rFonts w:ascii="Arial" w:hAnsi="Arial" w:cs="Arial"/>
          <w:sz w:val="24"/>
          <w:szCs w:val="24"/>
          <w:lang w:val="en-US"/>
        </w:rPr>
        <w:t xml:space="preserve">. </w:t>
      </w:r>
      <w:r w:rsidR="004B1CD9" w:rsidRPr="009754C6">
        <w:rPr>
          <w:rFonts w:ascii="Arial" w:hAnsi="Arial" w:cs="Arial"/>
          <w:sz w:val="24"/>
          <w:szCs w:val="24"/>
          <w:lang w:val="en-US"/>
        </w:rPr>
        <w:t>Furthermore, research conducted by Labrenz et al., (2022) found that avoidance is associated with dysfunctional behavioral</w:t>
      </w:r>
      <w:r w:rsidR="008108CA" w:rsidRPr="009754C6">
        <w:rPr>
          <w:rFonts w:ascii="Arial" w:hAnsi="Arial" w:cs="Arial"/>
          <w:sz w:val="24"/>
          <w:szCs w:val="24"/>
          <w:lang w:val="en-US"/>
        </w:rPr>
        <w:t>, cognition, and</w:t>
      </w:r>
      <w:r w:rsidR="004B1CD9" w:rsidRPr="009754C6">
        <w:rPr>
          <w:rFonts w:ascii="Arial" w:hAnsi="Arial" w:cs="Arial"/>
          <w:sz w:val="24"/>
          <w:szCs w:val="24"/>
          <w:lang w:val="en-US"/>
        </w:rPr>
        <w:t xml:space="preserve"> affective responses</w:t>
      </w:r>
      <w:r w:rsidR="008108CA" w:rsidRPr="009754C6">
        <w:rPr>
          <w:rFonts w:ascii="Arial" w:hAnsi="Arial" w:cs="Arial"/>
          <w:sz w:val="24"/>
          <w:szCs w:val="24"/>
          <w:lang w:val="en-US"/>
        </w:rPr>
        <w:t xml:space="preserve"> such as catastrophizing events, hypervigilance, and negative appraisal. Additionally, it was also found that avoidance hinders the progression of treatment due to the nature of avoidance which in turn </w:t>
      </w:r>
      <w:r w:rsidR="00C24DF4" w:rsidRPr="009754C6">
        <w:rPr>
          <w:rFonts w:ascii="Arial" w:hAnsi="Arial" w:cs="Arial"/>
          <w:sz w:val="24"/>
          <w:szCs w:val="24"/>
          <w:lang w:val="en-US"/>
        </w:rPr>
        <w:t xml:space="preserve">feeds back into the effects of avoidance. </w:t>
      </w:r>
      <w:r w:rsidR="008108CA" w:rsidRPr="009754C6">
        <w:rPr>
          <w:rFonts w:ascii="Arial" w:hAnsi="Arial" w:cs="Arial"/>
          <w:sz w:val="24"/>
          <w:szCs w:val="24"/>
          <w:lang w:val="en-US"/>
        </w:rPr>
        <w:t>All of these factors motivate the maintenance</w:t>
      </w:r>
      <w:r w:rsidR="00C24DF4" w:rsidRPr="009754C6">
        <w:rPr>
          <w:rFonts w:ascii="Arial" w:hAnsi="Arial" w:cs="Arial"/>
          <w:sz w:val="24"/>
          <w:szCs w:val="24"/>
          <w:lang w:val="en-US"/>
        </w:rPr>
        <w:t xml:space="preserve"> and increase of symptoms which can contribute to reduced quality of life, functional disability, increased distress, and withdrawal (</w:t>
      </w:r>
      <w:r w:rsidR="00DC766F" w:rsidRPr="009754C6">
        <w:rPr>
          <w:rFonts w:ascii="Arial" w:hAnsi="Arial" w:cs="Arial"/>
          <w:sz w:val="24"/>
          <w:szCs w:val="24"/>
          <w:lang w:val="en-US"/>
        </w:rPr>
        <w:t>Dymond, 2019;</w:t>
      </w:r>
      <w:r w:rsidR="00A04BF6" w:rsidRPr="009754C6">
        <w:rPr>
          <w:rFonts w:ascii="Arial" w:hAnsi="Arial" w:cs="Arial"/>
          <w:sz w:val="24"/>
          <w:szCs w:val="24"/>
          <w:lang w:val="en-US"/>
        </w:rPr>
        <w:t xml:space="preserve"> </w:t>
      </w:r>
      <w:r w:rsidR="00D878AF" w:rsidRPr="009754C6">
        <w:rPr>
          <w:rFonts w:ascii="Arial" w:hAnsi="Arial" w:cs="Arial"/>
          <w:sz w:val="24"/>
          <w:szCs w:val="24"/>
          <w:lang w:val="en-US"/>
        </w:rPr>
        <w:t>Holahan et al., 2005</w:t>
      </w:r>
      <w:r w:rsidR="00C24DF4" w:rsidRPr="009754C6">
        <w:rPr>
          <w:rFonts w:ascii="Arial" w:hAnsi="Arial" w:cs="Arial"/>
          <w:sz w:val="24"/>
          <w:szCs w:val="24"/>
          <w:lang w:val="en-US"/>
        </w:rPr>
        <w:t>).</w:t>
      </w:r>
      <w:r w:rsidR="008108CA" w:rsidRPr="009754C6">
        <w:rPr>
          <w:rFonts w:ascii="Arial" w:hAnsi="Arial" w:cs="Arial"/>
          <w:sz w:val="24"/>
          <w:szCs w:val="24"/>
          <w:lang w:val="en-US"/>
        </w:rPr>
        <w:t xml:space="preserve">  </w:t>
      </w:r>
      <w:r w:rsidR="004B1CD9" w:rsidRPr="009754C6">
        <w:rPr>
          <w:rFonts w:ascii="Arial" w:hAnsi="Arial" w:cs="Arial"/>
          <w:sz w:val="24"/>
          <w:szCs w:val="24"/>
          <w:lang w:val="en-US"/>
        </w:rPr>
        <w:t xml:space="preserve">     </w:t>
      </w:r>
      <w:r w:rsidR="00FE10A6" w:rsidRPr="009754C6">
        <w:rPr>
          <w:rFonts w:ascii="Arial" w:hAnsi="Arial" w:cs="Arial"/>
          <w:sz w:val="24"/>
          <w:szCs w:val="24"/>
          <w:lang w:val="en-US"/>
        </w:rPr>
        <w:t xml:space="preserve">  </w:t>
      </w:r>
      <w:r w:rsidR="004B535A" w:rsidRPr="009754C6">
        <w:rPr>
          <w:rFonts w:ascii="Arial" w:hAnsi="Arial" w:cs="Arial"/>
          <w:sz w:val="24"/>
          <w:szCs w:val="24"/>
          <w:lang w:val="en-US"/>
        </w:rPr>
        <w:t xml:space="preserve"> </w:t>
      </w:r>
      <w:r w:rsidRPr="009754C6">
        <w:rPr>
          <w:rFonts w:ascii="Arial" w:hAnsi="Arial" w:cs="Arial"/>
          <w:sz w:val="24"/>
          <w:szCs w:val="24"/>
          <w:lang w:val="en-US"/>
        </w:rPr>
        <w:t xml:space="preserve">   </w:t>
      </w:r>
      <w:r w:rsidR="007D4E1D" w:rsidRPr="009754C6">
        <w:rPr>
          <w:rFonts w:ascii="Arial" w:hAnsi="Arial" w:cs="Arial"/>
          <w:sz w:val="24"/>
          <w:szCs w:val="24"/>
          <w:lang w:val="en-US"/>
        </w:rPr>
        <w:t xml:space="preserve">   </w:t>
      </w:r>
      <w:r w:rsidR="00404C1D" w:rsidRPr="009754C6">
        <w:rPr>
          <w:rFonts w:ascii="Arial" w:hAnsi="Arial" w:cs="Arial"/>
          <w:sz w:val="24"/>
          <w:szCs w:val="24"/>
          <w:lang w:val="en-US"/>
        </w:rPr>
        <w:t xml:space="preserve"> </w:t>
      </w:r>
    </w:p>
    <w:p w14:paraId="70296E67" w14:textId="5A760A1C" w:rsidR="002C1B2D" w:rsidRPr="009754C6" w:rsidRDefault="00A2324B" w:rsidP="00CE5647">
      <w:pPr>
        <w:spacing w:line="360" w:lineRule="auto"/>
        <w:ind w:firstLine="720"/>
        <w:rPr>
          <w:rFonts w:ascii="Arial" w:hAnsi="Arial" w:cs="Arial"/>
          <w:sz w:val="24"/>
          <w:szCs w:val="24"/>
          <w:lang w:val="en-US"/>
        </w:rPr>
      </w:pPr>
      <w:r w:rsidRPr="009754C6">
        <w:rPr>
          <w:rFonts w:ascii="Arial" w:hAnsi="Arial" w:cs="Arial"/>
          <w:sz w:val="24"/>
          <w:szCs w:val="24"/>
          <w:lang w:val="en-US"/>
        </w:rPr>
        <w:t>I</w:t>
      </w:r>
      <w:r w:rsidR="00E17EC2" w:rsidRPr="009754C6">
        <w:rPr>
          <w:rFonts w:ascii="Arial" w:hAnsi="Arial" w:cs="Arial"/>
          <w:sz w:val="24"/>
          <w:szCs w:val="24"/>
          <w:lang w:val="en-US"/>
        </w:rPr>
        <w:t>n relation to the theme of anxiety and panic,</w:t>
      </w:r>
      <w:r w:rsidR="00A13F00" w:rsidRPr="009754C6">
        <w:rPr>
          <w:rFonts w:ascii="Arial" w:hAnsi="Arial" w:cs="Arial"/>
          <w:sz w:val="24"/>
          <w:szCs w:val="24"/>
          <w:lang w:val="en-US"/>
        </w:rPr>
        <w:t xml:space="preserve"> b</w:t>
      </w:r>
      <w:r w:rsidR="00BA37CC" w:rsidRPr="009754C6">
        <w:rPr>
          <w:rFonts w:ascii="Arial" w:hAnsi="Arial" w:cs="Arial"/>
          <w:sz w:val="24"/>
          <w:szCs w:val="24"/>
          <w:lang w:val="en-US"/>
        </w:rPr>
        <w:t>eing in a prolonged state of extreme stress and panic and a young age can lead to neurobiological effects. ACEs are linked to changes in the brain’s structure and functions (</w:t>
      </w:r>
      <w:r w:rsidR="00B14A50" w:rsidRPr="009754C6">
        <w:rPr>
          <w:rFonts w:ascii="Arial" w:hAnsi="Arial" w:cs="Arial"/>
          <w:sz w:val="24"/>
          <w:szCs w:val="24"/>
          <w:lang w:val="en-US"/>
        </w:rPr>
        <w:t>Buimer et al., 2022</w:t>
      </w:r>
      <w:r w:rsidR="00BA37CC" w:rsidRPr="009754C6">
        <w:rPr>
          <w:rFonts w:ascii="Arial" w:hAnsi="Arial" w:cs="Arial"/>
          <w:sz w:val="24"/>
          <w:szCs w:val="24"/>
          <w:lang w:val="en-US"/>
        </w:rPr>
        <w:t xml:space="preserve">). </w:t>
      </w:r>
      <w:r w:rsidR="00A13F00" w:rsidRPr="009754C6">
        <w:rPr>
          <w:rFonts w:ascii="Arial" w:hAnsi="Arial" w:cs="Arial"/>
          <w:sz w:val="24"/>
          <w:szCs w:val="24"/>
          <w:lang w:val="en-US"/>
        </w:rPr>
        <w:t>C</w:t>
      </w:r>
      <w:r w:rsidR="00BA37CC" w:rsidRPr="009754C6">
        <w:rPr>
          <w:rFonts w:ascii="Arial" w:hAnsi="Arial" w:cs="Arial"/>
          <w:sz w:val="24"/>
          <w:szCs w:val="24"/>
          <w:lang w:val="en-US"/>
        </w:rPr>
        <w:t>hronic stress during childhood, especially when it is prolonged, can lead to changes in the hypothalamic-pituitary-adrenal (HPA) axis</w:t>
      </w:r>
      <w:r w:rsidR="003D5A40" w:rsidRPr="009754C6">
        <w:rPr>
          <w:rFonts w:ascii="Arial" w:hAnsi="Arial" w:cs="Arial"/>
          <w:sz w:val="24"/>
          <w:szCs w:val="24"/>
          <w:lang w:val="en-US"/>
        </w:rPr>
        <w:t xml:space="preserve"> (Teicher et al., 2003)</w:t>
      </w:r>
      <w:r w:rsidR="00BA37CC" w:rsidRPr="009754C6">
        <w:rPr>
          <w:rFonts w:ascii="Arial" w:hAnsi="Arial" w:cs="Arial"/>
          <w:sz w:val="24"/>
          <w:szCs w:val="24"/>
          <w:lang w:val="en-US"/>
        </w:rPr>
        <w:t xml:space="preserve">. This helps in the regulation of stress response hormones such as cortisol. </w:t>
      </w:r>
      <w:r w:rsidR="00CB7049" w:rsidRPr="009754C6">
        <w:rPr>
          <w:rFonts w:ascii="Arial" w:hAnsi="Arial" w:cs="Arial"/>
          <w:sz w:val="24"/>
          <w:szCs w:val="24"/>
          <w:lang w:val="en-US"/>
        </w:rPr>
        <w:t xml:space="preserve">Not having control over the HPA axis can increase vulnerability to anxiety disorders which </w:t>
      </w:r>
      <w:r w:rsidR="000A7164" w:rsidRPr="009754C6">
        <w:rPr>
          <w:rFonts w:ascii="Arial" w:hAnsi="Arial" w:cs="Arial"/>
          <w:sz w:val="24"/>
          <w:szCs w:val="24"/>
          <w:lang w:val="en-US"/>
        </w:rPr>
        <w:t>may be</w:t>
      </w:r>
      <w:r w:rsidR="00CB7049" w:rsidRPr="009754C6">
        <w:rPr>
          <w:rFonts w:ascii="Arial" w:hAnsi="Arial" w:cs="Arial"/>
          <w:sz w:val="24"/>
          <w:szCs w:val="24"/>
          <w:lang w:val="en-US"/>
        </w:rPr>
        <w:t xml:space="preserve"> </w:t>
      </w:r>
      <w:r w:rsidR="00A13F00" w:rsidRPr="009754C6">
        <w:rPr>
          <w:rFonts w:ascii="Arial" w:hAnsi="Arial" w:cs="Arial"/>
          <w:sz w:val="24"/>
          <w:szCs w:val="24"/>
          <w:lang w:val="en-US"/>
        </w:rPr>
        <w:t>s</w:t>
      </w:r>
      <w:r w:rsidR="00CB7049" w:rsidRPr="009754C6">
        <w:rPr>
          <w:rFonts w:ascii="Arial" w:hAnsi="Arial" w:cs="Arial"/>
          <w:sz w:val="24"/>
          <w:szCs w:val="24"/>
          <w:lang w:val="en-US"/>
        </w:rPr>
        <w:t>omething that Ben is experiencing (</w:t>
      </w:r>
      <w:r w:rsidR="004E46F4" w:rsidRPr="009754C6">
        <w:rPr>
          <w:rFonts w:ascii="Arial" w:hAnsi="Arial" w:cs="Arial"/>
          <w:sz w:val="24"/>
          <w:szCs w:val="24"/>
          <w:lang w:val="en-US"/>
        </w:rPr>
        <w:t>Sheng et al., 2021</w:t>
      </w:r>
      <w:r w:rsidR="00CB7049" w:rsidRPr="009754C6">
        <w:rPr>
          <w:rFonts w:ascii="Arial" w:hAnsi="Arial" w:cs="Arial"/>
          <w:sz w:val="24"/>
          <w:szCs w:val="24"/>
          <w:lang w:val="en-US"/>
        </w:rPr>
        <w:t>). Furthermore, ACEs can impact brain regions such as the amygdala, which is involved in the emotional regulation and threat detection, as well as the prefrontal cortex, which regulates higher-order cognitive functioning. Having altered functioning in these areas can lead to impairments in the ability to manage stress and respond to anxiety provoking situations (</w:t>
      </w:r>
      <w:r w:rsidR="00E63D82" w:rsidRPr="009754C6">
        <w:rPr>
          <w:rFonts w:ascii="Arial" w:hAnsi="Arial" w:cs="Arial"/>
          <w:sz w:val="24"/>
          <w:szCs w:val="24"/>
          <w:lang w:val="en-US"/>
        </w:rPr>
        <w:t>McEwen, 2007</w:t>
      </w:r>
      <w:r w:rsidR="00CB7049" w:rsidRPr="009754C6">
        <w:rPr>
          <w:rFonts w:ascii="Arial" w:hAnsi="Arial" w:cs="Arial"/>
          <w:sz w:val="24"/>
          <w:szCs w:val="24"/>
          <w:lang w:val="en-US"/>
        </w:rPr>
        <w:t>)</w:t>
      </w:r>
      <w:r w:rsidR="00484FB8" w:rsidRPr="009754C6">
        <w:rPr>
          <w:rFonts w:ascii="Arial" w:hAnsi="Arial" w:cs="Arial"/>
          <w:sz w:val="24"/>
          <w:szCs w:val="24"/>
          <w:lang w:val="en-US"/>
        </w:rPr>
        <w:t>.</w:t>
      </w:r>
      <w:r w:rsidR="000A7164" w:rsidRPr="009754C6">
        <w:rPr>
          <w:rFonts w:ascii="Arial" w:hAnsi="Arial" w:cs="Arial"/>
          <w:sz w:val="24"/>
          <w:szCs w:val="24"/>
          <w:lang w:val="en-US"/>
        </w:rPr>
        <w:t xml:space="preserve"> </w:t>
      </w:r>
      <w:r w:rsidR="00741CC9" w:rsidRPr="009754C6">
        <w:rPr>
          <w:rFonts w:ascii="Arial" w:hAnsi="Arial" w:cs="Arial"/>
          <w:sz w:val="24"/>
          <w:szCs w:val="24"/>
          <w:lang w:val="en-US"/>
        </w:rPr>
        <w:t xml:space="preserve">This can be seen though research conducted by </w:t>
      </w:r>
      <w:r w:rsidR="00741CC9" w:rsidRPr="009754C6">
        <w:rPr>
          <w:rFonts w:ascii="Arial" w:hAnsi="Arial" w:cs="Arial"/>
          <w:sz w:val="24"/>
          <w:szCs w:val="24"/>
          <w:lang w:val="en-US"/>
        </w:rPr>
        <w:lastRenderedPageBreak/>
        <w:t xml:space="preserve">Faravelli et al., 2012 who stated that </w:t>
      </w:r>
      <w:r w:rsidR="00194D1E" w:rsidRPr="009754C6">
        <w:rPr>
          <w:rFonts w:ascii="Arial" w:hAnsi="Arial" w:cs="Arial"/>
          <w:sz w:val="24"/>
          <w:szCs w:val="24"/>
          <w:lang w:val="en-US"/>
        </w:rPr>
        <w:t xml:space="preserve">there are abnormalities in the HPA axis in patients with anxiety. It was suggested that early stressful life events may arouse changes in stress responses and in turn the HPA axis, </w:t>
      </w:r>
      <w:r w:rsidR="00342F26" w:rsidRPr="009754C6">
        <w:rPr>
          <w:rFonts w:ascii="Arial" w:hAnsi="Arial" w:cs="Arial"/>
          <w:sz w:val="24"/>
          <w:szCs w:val="24"/>
          <w:lang w:val="en-US"/>
        </w:rPr>
        <w:t xml:space="preserve">making individuals </w:t>
      </w:r>
      <w:r w:rsidR="00194D1E" w:rsidRPr="009754C6">
        <w:rPr>
          <w:rFonts w:ascii="Arial" w:hAnsi="Arial" w:cs="Arial"/>
          <w:sz w:val="24"/>
          <w:szCs w:val="24"/>
          <w:lang w:val="en-US"/>
        </w:rPr>
        <w:t>susceptible</w:t>
      </w:r>
      <w:r w:rsidR="00342F26" w:rsidRPr="009754C6">
        <w:rPr>
          <w:rFonts w:ascii="Arial" w:hAnsi="Arial" w:cs="Arial"/>
          <w:sz w:val="24"/>
          <w:szCs w:val="24"/>
          <w:lang w:val="en-US"/>
        </w:rPr>
        <w:t xml:space="preserve"> to develop mental illness or disorders.</w:t>
      </w:r>
      <w:r w:rsidR="00E414D5" w:rsidRPr="009754C6">
        <w:rPr>
          <w:rFonts w:ascii="Arial" w:hAnsi="Arial" w:cs="Arial"/>
          <w:sz w:val="24"/>
          <w:szCs w:val="24"/>
          <w:lang w:val="en-US"/>
        </w:rPr>
        <w:t xml:space="preserve"> </w:t>
      </w:r>
      <w:r w:rsidR="000A7164" w:rsidRPr="009754C6">
        <w:rPr>
          <w:rFonts w:ascii="Arial" w:hAnsi="Arial" w:cs="Arial"/>
          <w:sz w:val="24"/>
          <w:szCs w:val="24"/>
          <w:lang w:val="en-US"/>
        </w:rPr>
        <w:t>However, it’s important to note that while chronic activation of the HPA axis is a plausible mechanism linking ACEs to mental health outcomes, not all individuals who experience trauma develop these outcomes. Resilience factors such as supportive relationships and coping mechanisms can mitigate the harmful effects of stress (</w:t>
      </w:r>
      <w:r w:rsidR="00D9002A" w:rsidRPr="009754C6">
        <w:rPr>
          <w:rFonts w:ascii="Arial" w:hAnsi="Arial" w:cs="Arial"/>
          <w:sz w:val="24"/>
          <w:szCs w:val="24"/>
          <w:lang w:val="en-US"/>
        </w:rPr>
        <w:t>Ozbay et al., 2007;</w:t>
      </w:r>
      <w:r w:rsidR="00D01AAC" w:rsidRPr="009754C6">
        <w:rPr>
          <w:rFonts w:ascii="Arial" w:hAnsi="Arial" w:cs="Arial"/>
          <w:sz w:val="24"/>
          <w:szCs w:val="24"/>
          <w:lang w:val="en-US"/>
        </w:rPr>
        <w:t xml:space="preserve"> Shahin et al., 2023</w:t>
      </w:r>
      <w:r w:rsidR="000A7164" w:rsidRPr="009754C6">
        <w:rPr>
          <w:rFonts w:ascii="Arial" w:hAnsi="Arial" w:cs="Arial"/>
          <w:sz w:val="24"/>
          <w:szCs w:val="24"/>
          <w:lang w:val="en-US"/>
        </w:rPr>
        <w:t>).</w:t>
      </w:r>
      <w:r w:rsidR="00E17EC2" w:rsidRPr="009754C6">
        <w:rPr>
          <w:rFonts w:ascii="Arial" w:hAnsi="Arial" w:cs="Arial"/>
          <w:sz w:val="24"/>
          <w:szCs w:val="24"/>
          <w:lang w:val="en-US"/>
        </w:rPr>
        <w:t xml:space="preserve"> </w:t>
      </w:r>
    </w:p>
    <w:p w14:paraId="109C17B1" w14:textId="67215A78" w:rsidR="00D66F6B" w:rsidRPr="009754C6" w:rsidRDefault="00D66F6B" w:rsidP="00CE5647">
      <w:pPr>
        <w:spacing w:line="360" w:lineRule="auto"/>
        <w:ind w:firstLine="720"/>
        <w:rPr>
          <w:rFonts w:ascii="Arial" w:hAnsi="Arial" w:cs="Arial"/>
          <w:sz w:val="24"/>
          <w:szCs w:val="24"/>
          <w:lang w:val="en-US"/>
        </w:rPr>
      </w:pPr>
      <w:r w:rsidRPr="009754C6">
        <w:rPr>
          <w:rFonts w:ascii="Arial" w:hAnsi="Arial" w:cs="Arial"/>
          <w:sz w:val="24"/>
          <w:szCs w:val="24"/>
          <w:lang w:val="en-US"/>
        </w:rPr>
        <w:t xml:space="preserve">In relation to this the toxic stress model </w:t>
      </w:r>
      <w:r w:rsidR="00DA18D5" w:rsidRPr="009754C6">
        <w:rPr>
          <w:rFonts w:ascii="Arial" w:hAnsi="Arial" w:cs="Arial"/>
          <w:sz w:val="24"/>
          <w:szCs w:val="24"/>
          <w:lang w:val="en-US"/>
        </w:rPr>
        <w:t>can give us a deeper understanding of the relationship between early childhood experiences and long-term health (</w:t>
      </w:r>
      <w:r w:rsidR="00FF140C" w:rsidRPr="009754C6">
        <w:rPr>
          <w:rFonts w:ascii="Arial" w:hAnsi="Arial" w:cs="Arial"/>
          <w:sz w:val="24"/>
          <w:szCs w:val="24"/>
          <w:lang w:val="en-US"/>
        </w:rPr>
        <w:t>Franke, 2014</w:t>
      </w:r>
      <w:r w:rsidR="00DA18D5" w:rsidRPr="009754C6">
        <w:rPr>
          <w:rFonts w:ascii="Arial" w:hAnsi="Arial" w:cs="Arial"/>
          <w:sz w:val="24"/>
          <w:szCs w:val="24"/>
          <w:lang w:val="en-US"/>
        </w:rPr>
        <w:t>). According to this model, when children experience chronic adversity, particularly without the support of a stable, responsive caregiver,</w:t>
      </w:r>
      <w:r w:rsidR="00443F1A" w:rsidRPr="009754C6">
        <w:rPr>
          <w:rFonts w:ascii="Arial" w:hAnsi="Arial" w:cs="Arial"/>
          <w:sz w:val="24"/>
          <w:szCs w:val="24"/>
          <w:lang w:val="en-US"/>
        </w:rPr>
        <w:t xml:space="preserve"> which is the assumed situation Ben is facing</w:t>
      </w:r>
      <w:r w:rsidR="00DA18D5" w:rsidRPr="009754C6">
        <w:rPr>
          <w:rFonts w:ascii="Arial" w:hAnsi="Arial" w:cs="Arial"/>
          <w:sz w:val="24"/>
          <w:szCs w:val="24"/>
          <w:lang w:val="en-US"/>
        </w:rPr>
        <w:t xml:space="preserve"> it can lead to significant physiological, emotional, and cognitive impartments which can already be seen thought </w:t>
      </w:r>
      <w:r w:rsidR="003E484C" w:rsidRPr="009754C6">
        <w:rPr>
          <w:rFonts w:ascii="Arial" w:hAnsi="Arial" w:cs="Arial"/>
          <w:sz w:val="24"/>
          <w:szCs w:val="24"/>
          <w:lang w:val="en-US"/>
        </w:rPr>
        <w:t>t</w:t>
      </w:r>
      <w:r w:rsidR="00DA18D5" w:rsidRPr="009754C6">
        <w:rPr>
          <w:rFonts w:ascii="Arial" w:hAnsi="Arial" w:cs="Arial"/>
          <w:sz w:val="24"/>
          <w:szCs w:val="24"/>
          <w:lang w:val="en-US"/>
        </w:rPr>
        <w:t>he literate above (</w:t>
      </w:r>
      <w:r w:rsidR="00F34F4F" w:rsidRPr="009754C6">
        <w:rPr>
          <w:rFonts w:ascii="Arial" w:hAnsi="Arial" w:cs="Arial"/>
          <w:sz w:val="24"/>
          <w:szCs w:val="24"/>
          <w:lang w:val="en-US"/>
        </w:rPr>
        <w:t>Joos et al., 2019</w:t>
      </w:r>
      <w:r w:rsidR="00DA18D5" w:rsidRPr="009754C6">
        <w:rPr>
          <w:rFonts w:ascii="Arial" w:hAnsi="Arial" w:cs="Arial"/>
          <w:sz w:val="24"/>
          <w:szCs w:val="24"/>
          <w:lang w:val="en-US"/>
        </w:rPr>
        <w:t xml:space="preserve">). </w:t>
      </w:r>
      <w:r w:rsidR="00A2129D" w:rsidRPr="009754C6">
        <w:rPr>
          <w:rFonts w:ascii="Arial" w:hAnsi="Arial" w:cs="Arial"/>
          <w:sz w:val="24"/>
          <w:szCs w:val="24"/>
          <w:lang w:val="en-US"/>
        </w:rPr>
        <w:t>The toxic stress model places a significant emphasis on the early years of life, arguing that early adverse experiences have the most profound impact on lifelong health and well-being (</w:t>
      </w:r>
      <w:r w:rsidR="00CF1CD7" w:rsidRPr="009754C6">
        <w:rPr>
          <w:rFonts w:ascii="Arial" w:hAnsi="Arial" w:cs="Arial"/>
          <w:sz w:val="24"/>
          <w:szCs w:val="24"/>
          <w:lang w:val="en-US"/>
        </w:rPr>
        <w:t>Joos et al., 2019</w:t>
      </w:r>
      <w:r w:rsidR="00A2129D" w:rsidRPr="009754C6">
        <w:rPr>
          <w:rFonts w:ascii="Arial" w:hAnsi="Arial" w:cs="Arial"/>
          <w:sz w:val="24"/>
          <w:szCs w:val="24"/>
          <w:lang w:val="en-US"/>
        </w:rPr>
        <w:t xml:space="preserve">). </w:t>
      </w:r>
      <w:r w:rsidR="004D1D43" w:rsidRPr="009754C6">
        <w:rPr>
          <w:rFonts w:ascii="Arial" w:hAnsi="Arial" w:cs="Arial"/>
          <w:sz w:val="24"/>
          <w:szCs w:val="24"/>
          <w:lang w:val="en-US"/>
        </w:rPr>
        <w:t xml:space="preserve">This can be seen though research conducted by </w:t>
      </w:r>
      <w:r w:rsidR="00B95622" w:rsidRPr="009754C6">
        <w:rPr>
          <w:rFonts w:ascii="Arial" w:hAnsi="Arial" w:cs="Arial"/>
          <w:sz w:val="24"/>
          <w:szCs w:val="24"/>
          <w:lang w:val="en-US"/>
        </w:rPr>
        <w:t xml:space="preserve">D’Amico et al., (2022) who examined the relationship between early life adversity and </w:t>
      </w:r>
      <w:r w:rsidR="00022BF4" w:rsidRPr="009754C6">
        <w:rPr>
          <w:rFonts w:ascii="Arial" w:hAnsi="Arial" w:cs="Arial"/>
          <w:sz w:val="24"/>
          <w:szCs w:val="24"/>
          <w:lang w:val="en-US"/>
        </w:rPr>
        <w:t>poor cognitive health in later life</w:t>
      </w:r>
      <w:r w:rsidR="00B95622" w:rsidRPr="009754C6">
        <w:rPr>
          <w:rFonts w:ascii="Arial" w:hAnsi="Arial" w:cs="Arial"/>
          <w:sz w:val="24"/>
          <w:szCs w:val="24"/>
          <w:lang w:val="en-US"/>
        </w:rPr>
        <w:t>. It was found that</w:t>
      </w:r>
      <w:r w:rsidR="00022BF4" w:rsidRPr="009754C6">
        <w:rPr>
          <w:rFonts w:ascii="Arial" w:hAnsi="Arial" w:cs="Arial"/>
          <w:sz w:val="24"/>
          <w:szCs w:val="24"/>
          <w:lang w:val="en-US"/>
        </w:rPr>
        <w:t xml:space="preserve"> early life adversity can have a profound negative impact on cognitive functioning</w:t>
      </w:r>
      <w:r w:rsidR="00443F1A" w:rsidRPr="009754C6">
        <w:rPr>
          <w:rFonts w:ascii="Arial" w:hAnsi="Arial" w:cs="Arial"/>
          <w:sz w:val="24"/>
          <w:szCs w:val="24"/>
          <w:lang w:val="en-US"/>
        </w:rPr>
        <w:t xml:space="preserve"> such as global cognition and executive functioning</w:t>
      </w:r>
      <w:r w:rsidR="00022BF4" w:rsidRPr="009754C6">
        <w:rPr>
          <w:rFonts w:ascii="Arial" w:hAnsi="Arial" w:cs="Arial"/>
          <w:sz w:val="24"/>
          <w:szCs w:val="24"/>
          <w:lang w:val="en-US"/>
        </w:rPr>
        <w:t>.</w:t>
      </w:r>
      <w:r w:rsidR="00251344" w:rsidRPr="009754C6">
        <w:rPr>
          <w:rFonts w:ascii="Arial" w:hAnsi="Arial" w:cs="Arial"/>
          <w:sz w:val="24"/>
          <w:szCs w:val="24"/>
          <w:lang w:val="en-US"/>
        </w:rPr>
        <w:t xml:space="preserve"> However, there are many strengths and </w:t>
      </w:r>
      <w:r w:rsidR="00763383" w:rsidRPr="009754C6">
        <w:rPr>
          <w:rFonts w:ascii="Arial" w:hAnsi="Arial" w:cs="Arial"/>
          <w:sz w:val="24"/>
          <w:szCs w:val="24"/>
          <w:lang w:val="en-US"/>
        </w:rPr>
        <w:t>weaknesses</w:t>
      </w:r>
      <w:r w:rsidR="00251344" w:rsidRPr="009754C6">
        <w:rPr>
          <w:rFonts w:ascii="Arial" w:hAnsi="Arial" w:cs="Arial"/>
          <w:sz w:val="24"/>
          <w:szCs w:val="24"/>
          <w:lang w:val="en-US"/>
        </w:rPr>
        <w:t xml:space="preserve"> to this </w:t>
      </w:r>
      <w:r w:rsidR="0098587C" w:rsidRPr="009754C6">
        <w:rPr>
          <w:rFonts w:ascii="Arial" w:hAnsi="Arial" w:cs="Arial"/>
          <w:sz w:val="24"/>
          <w:szCs w:val="24"/>
          <w:lang w:val="en-US"/>
        </w:rPr>
        <w:t>study,</w:t>
      </w:r>
      <w:r w:rsidR="00251344" w:rsidRPr="009754C6">
        <w:rPr>
          <w:rFonts w:ascii="Arial" w:hAnsi="Arial" w:cs="Arial"/>
          <w:sz w:val="24"/>
          <w:szCs w:val="24"/>
          <w:lang w:val="en-US"/>
        </w:rPr>
        <w:t xml:space="preserve"> </w:t>
      </w:r>
      <w:r w:rsidR="00443F1A" w:rsidRPr="009754C6">
        <w:rPr>
          <w:rFonts w:ascii="Arial" w:hAnsi="Arial" w:cs="Arial"/>
          <w:sz w:val="24"/>
          <w:szCs w:val="24"/>
          <w:lang w:val="en-US"/>
        </w:rPr>
        <w:t xml:space="preserve">one of them being the use of </w:t>
      </w:r>
      <w:r w:rsidR="00251344" w:rsidRPr="009754C6">
        <w:rPr>
          <w:rFonts w:ascii="Arial" w:hAnsi="Arial" w:cs="Arial"/>
          <w:sz w:val="24"/>
          <w:szCs w:val="24"/>
          <w:lang w:val="en-US"/>
        </w:rPr>
        <w:t>battery standardized neuropsychological test</w:t>
      </w:r>
      <w:r w:rsidR="00443F1A" w:rsidRPr="009754C6">
        <w:rPr>
          <w:rFonts w:ascii="Arial" w:hAnsi="Arial" w:cs="Arial"/>
          <w:sz w:val="24"/>
          <w:szCs w:val="24"/>
          <w:lang w:val="en-US"/>
        </w:rPr>
        <w:t xml:space="preserve">s to </w:t>
      </w:r>
      <w:r w:rsidR="0098587C" w:rsidRPr="009754C6">
        <w:rPr>
          <w:rFonts w:ascii="Arial" w:hAnsi="Arial" w:cs="Arial"/>
          <w:sz w:val="24"/>
          <w:szCs w:val="24"/>
          <w:lang w:val="en-US"/>
        </w:rPr>
        <w:t xml:space="preserve">measure cognitive performance. </w:t>
      </w:r>
      <w:r w:rsidR="00EB5E37" w:rsidRPr="009754C6">
        <w:rPr>
          <w:rFonts w:ascii="Arial" w:hAnsi="Arial" w:cs="Arial"/>
          <w:sz w:val="24"/>
          <w:szCs w:val="24"/>
          <w:lang w:val="en-US"/>
        </w:rPr>
        <w:t>A battery of standardized tests provide a broad and detailed evaluation of multiple cognitive domains such as</w:t>
      </w:r>
      <w:r w:rsidR="00314715">
        <w:rPr>
          <w:rFonts w:ascii="Arial" w:hAnsi="Arial" w:cs="Arial"/>
          <w:sz w:val="24"/>
          <w:szCs w:val="24"/>
          <w:lang w:val="en-US"/>
        </w:rPr>
        <w:t xml:space="preserve"> memory, attention, and executive functions</w:t>
      </w:r>
      <w:r w:rsidR="00EB5E37" w:rsidRPr="009754C6">
        <w:rPr>
          <w:rFonts w:ascii="Arial" w:hAnsi="Arial" w:cs="Arial"/>
          <w:sz w:val="24"/>
          <w:szCs w:val="24"/>
          <w:lang w:val="en-US"/>
        </w:rPr>
        <w:t>, which can help pinpoint specific cognitive deficits and their severity. This a</w:t>
      </w:r>
      <w:r w:rsidR="00E1478A" w:rsidRPr="009754C6">
        <w:rPr>
          <w:rFonts w:ascii="Arial" w:hAnsi="Arial" w:cs="Arial"/>
          <w:sz w:val="24"/>
          <w:szCs w:val="24"/>
          <w:lang w:val="en-US"/>
        </w:rPr>
        <w:t xml:space="preserve">llows for a more complete understanding of </w:t>
      </w:r>
      <w:r w:rsidR="00246569" w:rsidRPr="009754C6">
        <w:rPr>
          <w:rFonts w:ascii="Arial" w:hAnsi="Arial" w:cs="Arial"/>
          <w:sz w:val="24"/>
          <w:szCs w:val="24"/>
          <w:lang w:val="en-US"/>
        </w:rPr>
        <w:t>an</w:t>
      </w:r>
      <w:r w:rsidR="00E1478A" w:rsidRPr="009754C6">
        <w:rPr>
          <w:rFonts w:ascii="Arial" w:hAnsi="Arial" w:cs="Arial"/>
          <w:sz w:val="24"/>
          <w:szCs w:val="24"/>
          <w:lang w:val="en-US"/>
        </w:rPr>
        <w:t xml:space="preserve"> </w:t>
      </w:r>
      <w:r w:rsidR="00246569" w:rsidRPr="009754C6">
        <w:rPr>
          <w:rFonts w:ascii="Arial" w:hAnsi="Arial" w:cs="Arial"/>
          <w:sz w:val="24"/>
          <w:szCs w:val="24"/>
          <w:lang w:val="en-US"/>
        </w:rPr>
        <w:t>individual’s</w:t>
      </w:r>
      <w:r w:rsidR="00E1478A" w:rsidRPr="009754C6">
        <w:rPr>
          <w:rFonts w:ascii="Arial" w:hAnsi="Arial" w:cs="Arial"/>
          <w:sz w:val="24"/>
          <w:szCs w:val="24"/>
          <w:lang w:val="en-US"/>
        </w:rPr>
        <w:t xml:space="preserve"> cognitive profile (Ross et al., 2010;</w:t>
      </w:r>
      <w:r w:rsidR="00246569" w:rsidRPr="009754C6">
        <w:rPr>
          <w:rFonts w:ascii="Arial" w:hAnsi="Arial" w:cs="Arial"/>
          <w:sz w:val="24"/>
          <w:szCs w:val="24"/>
          <w:lang w:val="en-US"/>
        </w:rPr>
        <w:t xml:space="preserve"> Zimmerman, 2011).</w:t>
      </w:r>
      <w:r w:rsidR="00763383" w:rsidRPr="009754C6">
        <w:rPr>
          <w:rFonts w:ascii="Arial" w:hAnsi="Arial" w:cs="Arial"/>
          <w:sz w:val="24"/>
          <w:szCs w:val="24"/>
          <w:lang w:val="en-US"/>
        </w:rPr>
        <w:t xml:space="preserve"> However, although neuropsychological tests assess cognitive abilities in a structured, controlled environment, they may not fully capture how a person’s cognitive functioning affects their daily life as </w:t>
      </w:r>
      <w:r w:rsidR="00042434" w:rsidRPr="009754C6">
        <w:rPr>
          <w:rFonts w:ascii="Arial" w:hAnsi="Arial" w:cs="Arial"/>
          <w:sz w:val="24"/>
          <w:szCs w:val="24"/>
          <w:lang w:val="en-US"/>
        </w:rPr>
        <w:t>real-world</w:t>
      </w:r>
      <w:r w:rsidR="00763383" w:rsidRPr="009754C6">
        <w:rPr>
          <w:rFonts w:ascii="Arial" w:hAnsi="Arial" w:cs="Arial"/>
          <w:sz w:val="24"/>
          <w:szCs w:val="24"/>
          <w:lang w:val="en-US"/>
        </w:rPr>
        <w:t xml:space="preserve"> cognitive impairment can differ from a performance on a test (Sbordone, 2001).</w:t>
      </w:r>
      <w:r w:rsidR="00B95622" w:rsidRPr="009754C6">
        <w:rPr>
          <w:rFonts w:ascii="Arial" w:hAnsi="Arial" w:cs="Arial"/>
          <w:sz w:val="24"/>
          <w:szCs w:val="24"/>
          <w:lang w:val="en-US"/>
        </w:rPr>
        <w:t xml:space="preserve"> </w:t>
      </w:r>
    </w:p>
    <w:p w14:paraId="3B470810" w14:textId="430282FA" w:rsidR="00514A3A" w:rsidRPr="009754C6" w:rsidRDefault="003E484C" w:rsidP="00CE5647">
      <w:pPr>
        <w:spacing w:line="360" w:lineRule="auto"/>
        <w:ind w:firstLine="720"/>
        <w:rPr>
          <w:rFonts w:ascii="Arial" w:hAnsi="Arial" w:cs="Arial"/>
          <w:sz w:val="24"/>
          <w:szCs w:val="24"/>
          <w:lang w:val="en-US"/>
        </w:rPr>
      </w:pPr>
      <w:r w:rsidRPr="009754C6">
        <w:rPr>
          <w:rFonts w:ascii="Arial" w:hAnsi="Arial" w:cs="Arial"/>
          <w:sz w:val="24"/>
          <w:szCs w:val="24"/>
          <w:lang w:val="en-US"/>
        </w:rPr>
        <w:lastRenderedPageBreak/>
        <w:t>While the focus of th</w:t>
      </w:r>
      <w:r w:rsidR="004F625F" w:rsidRPr="009754C6">
        <w:rPr>
          <w:rFonts w:ascii="Arial" w:hAnsi="Arial" w:cs="Arial"/>
          <w:sz w:val="24"/>
          <w:szCs w:val="24"/>
          <w:lang w:val="en-US"/>
        </w:rPr>
        <w:t>e toxic stress</w:t>
      </w:r>
      <w:r w:rsidRPr="009754C6">
        <w:rPr>
          <w:rFonts w:ascii="Arial" w:hAnsi="Arial" w:cs="Arial"/>
          <w:sz w:val="24"/>
          <w:szCs w:val="24"/>
          <w:lang w:val="en-US"/>
        </w:rPr>
        <w:t xml:space="preserve"> model has contributed to understanding of the importance of early interventions, it may overlook the fact that later experiences can also have significant effects on a person’s development and mental health </w:t>
      </w:r>
      <w:r w:rsidR="002D51BC" w:rsidRPr="009754C6">
        <w:rPr>
          <w:rFonts w:ascii="Arial" w:hAnsi="Arial" w:cs="Arial"/>
          <w:sz w:val="24"/>
          <w:szCs w:val="24"/>
          <w:lang w:val="en-US"/>
        </w:rPr>
        <w:t>(Hilberdink et al., 2023)</w:t>
      </w:r>
      <w:r w:rsidR="00DF2CBF" w:rsidRPr="009754C6">
        <w:rPr>
          <w:rFonts w:ascii="Arial" w:hAnsi="Arial" w:cs="Arial"/>
          <w:sz w:val="24"/>
          <w:szCs w:val="24"/>
          <w:lang w:val="en-US"/>
        </w:rPr>
        <w:t>. However, the model does not necessarily exclude the possibility of later experiences and the potential influences on development. It highlights that early childhood is a particularly critical period due to the rapid development of the brain (</w:t>
      </w:r>
      <w:r w:rsidR="00B105DA" w:rsidRPr="009754C6">
        <w:rPr>
          <w:rFonts w:ascii="Arial" w:hAnsi="Arial" w:cs="Arial"/>
          <w:sz w:val="24"/>
          <w:szCs w:val="24"/>
          <w:lang w:val="en-US"/>
        </w:rPr>
        <w:t>Krushas &amp; Schwarts, 2022</w:t>
      </w:r>
      <w:r w:rsidR="00DF2CBF" w:rsidRPr="009754C6">
        <w:rPr>
          <w:rFonts w:ascii="Arial" w:hAnsi="Arial" w:cs="Arial"/>
          <w:sz w:val="24"/>
          <w:szCs w:val="24"/>
          <w:lang w:val="en-US"/>
        </w:rPr>
        <w:t xml:space="preserve">). Additionally, although later intervention can still have a positive impact, the earlier the intervention, the more significant the potential benefits can be </w:t>
      </w:r>
      <w:r w:rsidR="00897D5F" w:rsidRPr="009754C6">
        <w:rPr>
          <w:rFonts w:ascii="Arial" w:hAnsi="Arial" w:cs="Arial"/>
          <w:sz w:val="24"/>
          <w:szCs w:val="24"/>
          <w:lang w:val="en-US"/>
        </w:rPr>
        <w:t>(Uhlhass et al., 2023</w:t>
      </w:r>
      <w:r w:rsidR="00DF2CBF" w:rsidRPr="009754C6">
        <w:rPr>
          <w:rFonts w:ascii="Arial" w:hAnsi="Arial" w:cs="Arial"/>
          <w:sz w:val="24"/>
          <w:szCs w:val="24"/>
          <w:lang w:val="en-US"/>
        </w:rPr>
        <w:t xml:space="preserve">).  </w:t>
      </w:r>
    </w:p>
    <w:p w14:paraId="083DE718" w14:textId="4A79841A" w:rsidR="00683BB6" w:rsidRPr="009754C6" w:rsidRDefault="00514A3A" w:rsidP="00CE5647">
      <w:pPr>
        <w:spacing w:line="360" w:lineRule="auto"/>
        <w:ind w:firstLine="720"/>
        <w:rPr>
          <w:rFonts w:ascii="Arial" w:hAnsi="Arial" w:cs="Arial"/>
          <w:sz w:val="24"/>
          <w:szCs w:val="24"/>
          <w:lang w:val="en-US"/>
        </w:rPr>
      </w:pPr>
      <w:r w:rsidRPr="009754C6">
        <w:rPr>
          <w:rFonts w:ascii="Arial" w:hAnsi="Arial" w:cs="Arial"/>
          <w:sz w:val="24"/>
          <w:szCs w:val="24"/>
          <w:lang w:val="en-US"/>
        </w:rPr>
        <w:t xml:space="preserve">In order to </w:t>
      </w:r>
      <w:r w:rsidR="004F625F" w:rsidRPr="009754C6">
        <w:rPr>
          <w:rFonts w:ascii="Arial" w:hAnsi="Arial" w:cs="Arial"/>
          <w:sz w:val="24"/>
          <w:szCs w:val="24"/>
          <w:lang w:val="en-US"/>
        </w:rPr>
        <w:t>minimise the potential impact of these risks i</w:t>
      </w:r>
      <w:r w:rsidR="003D646C" w:rsidRPr="009754C6">
        <w:rPr>
          <w:rFonts w:ascii="Arial" w:hAnsi="Arial" w:cs="Arial"/>
          <w:sz w:val="24"/>
          <w:szCs w:val="24"/>
          <w:lang w:val="en-US"/>
        </w:rPr>
        <w:t>t’s</w:t>
      </w:r>
      <w:r w:rsidR="004F625F" w:rsidRPr="009754C6">
        <w:rPr>
          <w:rFonts w:ascii="Arial" w:hAnsi="Arial" w:cs="Arial"/>
          <w:sz w:val="24"/>
          <w:szCs w:val="24"/>
          <w:lang w:val="en-US"/>
        </w:rPr>
        <w:t xml:space="preserve"> important to first contact Bens school </w:t>
      </w:r>
      <w:r w:rsidR="003D646C" w:rsidRPr="009754C6">
        <w:rPr>
          <w:rFonts w:ascii="Arial" w:hAnsi="Arial" w:cs="Arial"/>
          <w:sz w:val="24"/>
          <w:szCs w:val="24"/>
          <w:lang w:val="en-US"/>
        </w:rPr>
        <w:t xml:space="preserve">to relieve the burden of school pressure for both Ben and his parents. </w:t>
      </w:r>
      <w:r w:rsidR="00C54304" w:rsidRPr="009754C6">
        <w:rPr>
          <w:rFonts w:ascii="Arial" w:hAnsi="Arial" w:cs="Arial"/>
          <w:sz w:val="24"/>
          <w:szCs w:val="24"/>
          <w:lang w:val="en-US"/>
        </w:rPr>
        <w:t xml:space="preserve">By doing this it will potentially alleviate some of Ben’s anxiety and avoidant behaviour, as well as allow Ben to form a positive relationship with his parents by having that reassurance that they are there to support him. </w:t>
      </w:r>
      <w:r w:rsidR="0090085B" w:rsidRPr="009754C6">
        <w:rPr>
          <w:rFonts w:ascii="Arial" w:hAnsi="Arial" w:cs="Arial"/>
          <w:sz w:val="24"/>
          <w:szCs w:val="24"/>
          <w:lang w:val="en-US"/>
        </w:rPr>
        <w:t xml:space="preserve">Furthermore, a meeting with the school </w:t>
      </w:r>
      <w:r w:rsidR="00C624C5" w:rsidRPr="009754C6">
        <w:rPr>
          <w:rFonts w:ascii="Arial" w:hAnsi="Arial" w:cs="Arial"/>
          <w:sz w:val="24"/>
          <w:szCs w:val="24"/>
          <w:lang w:val="en-US"/>
        </w:rPr>
        <w:t>needs</w:t>
      </w:r>
      <w:r w:rsidR="0090085B" w:rsidRPr="009754C6">
        <w:rPr>
          <w:rFonts w:ascii="Arial" w:hAnsi="Arial" w:cs="Arial"/>
          <w:sz w:val="24"/>
          <w:szCs w:val="24"/>
          <w:lang w:val="en-US"/>
        </w:rPr>
        <w:t xml:space="preserve"> to be set up to understand </w:t>
      </w:r>
      <w:r w:rsidR="004146A7" w:rsidRPr="009754C6">
        <w:rPr>
          <w:rFonts w:ascii="Arial" w:hAnsi="Arial" w:cs="Arial"/>
          <w:sz w:val="24"/>
          <w:szCs w:val="24"/>
          <w:lang w:val="en-US"/>
        </w:rPr>
        <w:t>the reasoning behind Ben’s behaviour and well-being.</w:t>
      </w:r>
      <w:r w:rsidR="0090085B" w:rsidRPr="009754C6">
        <w:rPr>
          <w:rFonts w:ascii="Arial" w:hAnsi="Arial" w:cs="Arial"/>
          <w:sz w:val="24"/>
          <w:szCs w:val="24"/>
          <w:lang w:val="en-US"/>
        </w:rPr>
        <w:t xml:space="preserve"> </w:t>
      </w:r>
      <w:r w:rsidR="00683BB6" w:rsidRPr="009754C6">
        <w:rPr>
          <w:rFonts w:ascii="Arial" w:hAnsi="Arial" w:cs="Arial"/>
          <w:sz w:val="24"/>
          <w:szCs w:val="24"/>
          <w:lang w:val="en-US"/>
        </w:rPr>
        <w:t xml:space="preserve">Additionally, accessing child and adolescent mental health services (CAMHS) is another way in minimising potential risk factors. </w:t>
      </w:r>
      <w:r w:rsidR="00A86FAE" w:rsidRPr="009754C6">
        <w:rPr>
          <w:rFonts w:ascii="Arial" w:hAnsi="Arial" w:cs="Arial"/>
          <w:sz w:val="24"/>
          <w:szCs w:val="24"/>
          <w:lang w:val="en-US"/>
        </w:rPr>
        <w:t xml:space="preserve">Early intervention is one of the key components for the effectiveness of CAMHS. Research by Colizzi et al., (2020) highlighted that early intervention in mental health leads to long-term positive outcomes, such as reduced risk of developing severe mental disorders in adulthood. </w:t>
      </w:r>
      <w:r w:rsidR="00132F71" w:rsidRPr="009754C6">
        <w:rPr>
          <w:rFonts w:ascii="Arial" w:hAnsi="Arial" w:cs="Arial"/>
          <w:sz w:val="24"/>
          <w:szCs w:val="24"/>
          <w:lang w:val="en-US"/>
        </w:rPr>
        <w:t xml:space="preserve">Furthermore, </w:t>
      </w:r>
      <w:r w:rsidR="00385AA1" w:rsidRPr="009754C6">
        <w:rPr>
          <w:rFonts w:ascii="Arial" w:hAnsi="Arial" w:cs="Arial"/>
          <w:sz w:val="24"/>
          <w:szCs w:val="24"/>
          <w:lang w:val="en-US"/>
        </w:rPr>
        <w:t>research shows that children and adolescents who have access to mental health services show a significant improvement in their emotional and psychological well-being. For example, treatment like cognitive behavioral therapy (CBT) significantly reduces symptoms of anxiety and depression in children and adolescents (</w:t>
      </w:r>
      <w:r w:rsidR="00FC6BCA" w:rsidRPr="009754C6">
        <w:rPr>
          <w:rFonts w:ascii="Arial" w:hAnsi="Arial" w:cs="Arial"/>
          <w:sz w:val="24"/>
          <w:szCs w:val="24"/>
          <w:lang w:val="en-US"/>
        </w:rPr>
        <w:t>Thabrew et al., 2017).</w:t>
      </w:r>
    </w:p>
    <w:p w14:paraId="6485C4C8" w14:textId="3B9D71BF" w:rsidR="00B32306" w:rsidRPr="009754C6" w:rsidRDefault="00FC6BCA" w:rsidP="00CE5647">
      <w:pPr>
        <w:spacing w:line="360" w:lineRule="auto"/>
        <w:ind w:firstLine="720"/>
        <w:rPr>
          <w:rFonts w:ascii="Arial" w:hAnsi="Arial" w:cs="Arial"/>
          <w:sz w:val="24"/>
          <w:szCs w:val="24"/>
          <w:lang w:val="en-US"/>
        </w:rPr>
      </w:pPr>
      <w:r w:rsidRPr="009754C6">
        <w:rPr>
          <w:rFonts w:ascii="Arial" w:hAnsi="Arial" w:cs="Arial"/>
          <w:sz w:val="24"/>
          <w:szCs w:val="24"/>
          <w:lang w:val="en-US"/>
        </w:rPr>
        <w:t xml:space="preserve">In relation to this </w:t>
      </w:r>
      <w:r w:rsidR="00D31EE6" w:rsidRPr="009754C6">
        <w:rPr>
          <w:rFonts w:ascii="Arial" w:hAnsi="Arial" w:cs="Arial"/>
          <w:sz w:val="24"/>
          <w:szCs w:val="24"/>
          <w:lang w:val="en-US"/>
        </w:rPr>
        <w:t xml:space="preserve">it would be beneficial for Ben to undergo cognitive behavioral therapy (CBT) </w:t>
      </w:r>
      <w:r w:rsidR="00FB368A" w:rsidRPr="009754C6">
        <w:rPr>
          <w:rFonts w:ascii="Arial" w:hAnsi="Arial" w:cs="Arial"/>
          <w:sz w:val="24"/>
          <w:szCs w:val="24"/>
          <w:lang w:val="en-US"/>
        </w:rPr>
        <w:t xml:space="preserve">to help manage and reduce his themes of self-harming behaviour, anxiety, panic, and avoidance behaviour </w:t>
      </w:r>
      <w:r w:rsidR="00D31EE6" w:rsidRPr="009754C6">
        <w:rPr>
          <w:rFonts w:ascii="Arial" w:hAnsi="Arial" w:cs="Arial"/>
          <w:sz w:val="24"/>
          <w:szCs w:val="24"/>
          <w:lang w:val="en-US"/>
        </w:rPr>
        <w:t>as it is a highly effective, evidence based therapeutic approach (</w:t>
      </w:r>
      <w:r w:rsidR="003E6A1E" w:rsidRPr="009754C6">
        <w:rPr>
          <w:rFonts w:ascii="Arial" w:hAnsi="Arial" w:cs="Arial"/>
          <w:sz w:val="24"/>
          <w:szCs w:val="24"/>
          <w:lang w:val="en-US"/>
        </w:rPr>
        <w:t>Balkanas &amp; Tarakcioglu, 2024</w:t>
      </w:r>
      <w:r w:rsidR="00D31EE6" w:rsidRPr="009754C6">
        <w:rPr>
          <w:rFonts w:ascii="Arial" w:hAnsi="Arial" w:cs="Arial"/>
          <w:sz w:val="24"/>
          <w:szCs w:val="24"/>
          <w:lang w:val="en-US"/>
        </w:rPr>
        <w:t xml:space="preserve">). CBT can help with cognitive restructuring, emotional regulation, and exposure therapy. Theres a wide body of research </w:t>
      </w:r>
      <w:r w:rsidR="00015EEA" w:rsidRPr="009754C6">
        <w:rPr>
          <w:rFonts w:ascii="Arial" w:hAnsi="Arial" w:cs="Arial"/>
          <w:sz w:val="24"/>
          <w:szCs w:val="24"/>
          <w:lang w:val="en-US"/>
        </w:rPr>
        <w:t xml:space="preserve">supporting that </w:t>
      </w:r>
      <w:r w:rsidR="00D31EE6" w:rsidRPr="009754C6">
        <w:rPr>
          <w:rFonts w:ascii="Arial" w:hAnsi="Arial" w:cs="Arial"/>
          <w:sz w:val="24"/>
          <w:szCs w:val="24"/>
          <w:lang w:val="en-US"/>
        </w:rPr>
        <w:t xml:space="preserve">CBT is an effective therapy </w:t>
      </w:r>
      <w:r w:rsidR="00015EEA" w:rsidRPr="009754C6">
        <w:rPr>
          <w:rFonts w:ascii="Arial" w:hAnsi="Arial" w:cs="Arial"/>
          <w:sz w:val="24"/>
          <w:szCs w:val="24"/>
          <w:lang w:val="en-US"/>
        </w:rPr>
        <w:t xml:space="preserve">in treating Bens themes. A study by </w:t>
      </w:r>
      <w:r w:rsidR="001C6C4E" w:rsidRPr="009754C6">
        <w:rPr>
          <w:rFonts w:ascii="Arial" w:hAnsi="Arial" w:cs="Arial"/>
          <w:sz w:val="24"/>
          <w:szCs w:val="24"/>
          <w:lang w:val="en-US"/>
        </w:rPr>
        <w:t>Slee</w:t>
      </w:r>
      <w:r w:rsidR="00015EEA" w:rsidRPr="009754C6">
        <w:rPr>
          <w:rFonts w:ascii="Arial" w:hAnsi="Arial" w:cs="Arial"/>
          <w:sz w:val="24"/>
          <w:szCs w:val="24"/>
          <w:lang w:val="en-US"/>
        </w:rPr>
        <w:t xml:space="preserve"> et al., (2008) found that CBT significantly reduced self-harming behaviors in adolescents </w:t>
      </w:r>
      <w:r w:rsidR="003D2E6F" w:rsidRPr="009754C6">
        <w:rPr>
          <w:rFonts w:ascii="Arial" w:hAnsi="Arial" w:cs="Arial"/>
          <w:sz w:val="24"/>
          <w:szCs w:val="24"/>
          <w:lang w:val="en-US"/>
        </w:rPr>
        <w:t>which implies that CBT can also help with</w:t>
      </w:r>
      <w:r w:rsidR="00015EEA" w:rsidRPr="009754C6">
        <w:rPr>
          <w:rFonts w:ascii="Arial" w:hAnsi="Arial" w:cs="Arial"/>
          <w:sz w:val="24"/>
          <w:szCs w:val="24"/>
          <w:lang w:val="en-US"/>
        </w:rPr>
        <w:t xml:space="preserve"> improving emotional </w:t>
      </w:r>
      <w:r w:rsidR="00015EEA" w:rsidRPr="009754C6">
        <w:rPr>
          <w:rFonts w:ascii="Arial" w:hAnsi="Arial" w:cs="Arial"/>
          <w:sz w:val="24"/>
          <w:szCs w:val="24"/>
          <w:lang w:val="en-US"/>
        </w:rPr>
        <w:lastRenderedPageBreak/>
        <w:t>regulation and challenging maladaptive coping mechanisms</w:t>
      </w:r>
      <w:r w:rsidR="00B9546F" w:rsidRPr="009754C6">
        <w:rPr>
          <w:rFonts w:ascii="Arial" w:hAnsi="Arial" w:cs="Arial"/>
          <w:sz w:val="24"/>
          <w:szCs w:val="24"/>
          <w:lang w:val="en-US"/>
        </w:rPr>
        <w:t xml:space="preserve"> which is supported by research by Garke et al., </w:t>
      </w:r>
      <w:r w:rsidR="00750715" w:rsidRPr="009754C6">
        <w:rPr>
          <w:rFonts w:ascii="Arial" w:hAnsi="Arial" w:cs="Arial"/>
          <w:sz w:val="24"/>
          <w:szCs w:val="24"/>
          <w:lang w:val="en-US"/>
        </w:rPr>
        <w:t>(</w:t>
      </w:r>
      <w:r w:rsidR="00B9546F" w:rsidRPr="009754C6">
        <w:rPr>
          <w:rFonts w:ascii="Arial" w:hAnsi="Arial" w:cs="Arial"/>
          <w:sz w:val="24"/>
          <w:szCs w:val="24"/>
          <w:lang w:val="en-US"/>
        </w:rPr>
        <w:t>202</w:t>
      </w:r>
      <w:r w:rsidR="004D5D71" w:rsidRPr="009754C6">
        <w:rPr>
          <w:rFonts w:ascii="Arial" w:hAnsi="Arial" w:cs="Arial"/>
          <w:sz w:val="24"/>
          <w:szCs w:val="24"/>
          <w:lang w:val="en-US"/>
        </w:rPr>
        <w:t>5</w:t>
      </w:r>
      <w:r w:rsidR="00B9546F" w:rsidRPr="009754C6">
        <w:rPr>
          <w:rFonts w:ascii="Arial" w:hAnsi="Arial" w:cs="Arial"/>
          <w:sz w:val="24"/>
          <w:szCs w:val="24"/>
          <w:lang w:val="en-US"/>
        </w:rPr>
        <w:t>)</w:t>
      </w:r>
      <w:r w:rsidR="00015EEA" w:rsidRPr="009754C6">
        <w:rPr>
          <w:rFonts w:ascii="Arial" w:hAnsi="Arial" w:cs="Arial"/>
          <w:sz w:val="24"/>
          <w:szCs w:val="24"/>
          <w:lang w:val="en-US"/>
        </w:rPr>
        <w:t>.</w:t>
      </w:r>
      <w:r w:rsidR="003A7A6D" w:rsidRPr="009754C6">
        <w:rPr>
          <w:rFonts w:ascii="Arial" w:hAnsi="Arial" w:cs="Arial"/>
          <w:sz w:val="24"/>
          <w:szCs w:val="24"/>
          <w:lang w:val="en-US"/>
        </w:rPr>
        <w:t xml:space="preserve"> </w:t>
      </w:r>
      <w:r w:rsidR="00275644">
        <w:rPr>
          <w:rFonts w:ascii="Arial" w:hAnsi="Arial" w:cs="Arial"/>
          <w:sz w:val="24"/>
          <w:szCs w:val="24"/>
          <w:lang w:val="en-US"/>
        </w:rPr>
        <w:t xml:space="preserve">Additionally, a meta-analysis conducted by Hofmann et al., (2012) concluded that CBT is among the most effective treatments for anxiety disorders, </w:t>
      </w:r>
      <w:r w:rsidR="003A7A6D" w:rsidRPr="009754C6">
        <w:rPr>
          <w:rFonts w:ascii="Arial" w:hAnsi="Arial" w:cs="Arial"/>
          <w:sz w:val="24"/>
          <w:szCs w:val="24"/>
          <w:lang w:val="en-US"/>
        </w:rPr>
        <w:t xml:space="preserve">with a significant improvements in reducing symptoms of panic, generalized anxiety, and social anxiety. </w:t>
      </w:r>
      <w:r w:rsidR="00A803B5" w:rsidRPr="009754C6">
        <w:rPr>
          <w:rFonts w:ascii="Arial" w:hAnsi="Arial" w:cs="Arial"/>
          <w:sz w:val="24"/>
          <w:szCs w:val="24"/>
          <w:lang w:val="en-US"/>
        </w:rPr>
        <w:t xml:space="preserve">Additionally, </w:t>
      </w:r>
      <w:r w:rsidR="00823D11" w:rsidRPr="009754C6">
        <w:rPr>
          <w:rFonts w:ascii="Arial" w:hAnsi="Arial" w:cs="Arial"/>
          <w:sz w:val="24"/>
          <w:szCs w:val="24"/>
          <w:lang w:val="en-US"/>
        </w:rPr>
        <w:t xml:space="preserve">research by Craske et al., (2014) supports the effectiveness of CBT in treating anxiety and panic, particularly through exposure and cognitive restructuring. </w:t>
      </w:r>
      <w:r w:rsidR="000F0C10" w:rsidRPr="009754C6">
        <w:rPr>
          <w:rFonts w:ascii="Arial" w:hAnsi="Arial" w:cs="Arial"/>
          <w:sz w:val="24"/>
          <w:szCs w:val="24"/>
          <w:lang w:val="en-US"/>
        </w:rPr>
        <w:t>CBT has extensive evidence supporting its usefulness in these mental health concerns, making it a powerful tool in helping individuals change harmful patterns and improve overall well-being.</w:t>
      </w:r>
    </w:p>
    <w:p w14:paraId="180371F6" w14:textId="712B1585" w:rsidR="00A65A67" w:rsidRPr="009754C6" w:rsidRDefault="00B32306" w:rsidP="00CE5647">
      <w:pPr>
        <w:spacing w:line="360" w:lineRule="auto"/>
        <w:ind w:firstLine="720"/>
        <w:rPr>
          <w:rFonts w:ascii="Arial" w:hAnsi="Arial" w:cs="Arial"/>
          <w:sz w:val="24"/>
          <w:szCs w:val="24"/>
          <w:lang w:val="en-US"/>
        </w:rPr>
      </w:pPr>
      <w:r w:rsidRPr="009754C6">
        <w:rPr>
          <w:rFonts w:ascii="Arial" w:hAnsi="Arial" w:cs="Arial"/>
          <w:sz w:val="24"/>
          <w:szCs w:val="24"/>
          <w:lang w:val="en-US"/>
        </w:rPr>
        <w:t>Furthermore, the involvement of family members in mental health services can also be an effective approach in treating child and adolescent mental health conditions (Diamond et al., (2021).</w:t>
      </w:r>
      <w:r w:rsidR="00A43B55" w:rsidRPr="009754C6">
        <w:rPr>
          <w:rFonts w:ascii="Arial" w:hAnsi="Arial" w:cs="Arial"/>
          <w:sz w:val="24"/>
          <w:szCs w:val="24"/>
          <w:lang w:val="en-US"/>
        </w:rPr>
        <w:t xml:space="preserve"> </w:t>
      </w:r>
      <w:r w:rsidR="009E6CB8" w:rsidRPr="009754C6">
        <w:rPr>
          <w:rFonts w:ascii="Arial" w:hAnsi="Arial" w:cs="Arial"/>
          <w:sz w:val="24"/>
          <w:szCs w:val="24"/>
          <w:lang w:val="en-US"/>
        </w:rPr>
        <w:t>Research by Berry et al., (2023) found that the implementation of family therapy improves the communication and reduces stress within familie</w:t>
      </w:r>
      <w:r w:rsidR="00381766" w:rsidRPr="009754C6">
        <w:rPr>
          <w:rFonts w:ascii="Arial" w:hAnsi="Arial" w:cs="Arial"/>
          <w:sz w:val="24"/>
          <w:szCs w:val="24"/>
          <w:lang w:val="en-US"/>
        </w:rPr>
        <w:t>s</w:t>
      </w:r>
      <w:r w:rsidR="009E6CB8" w:rsidRPr="009754C6">
        <w:rPr>
          <w:rFonts w:ascii="Arial" w:hAnsi="Arial" w:cs="Arial"/>
          <w:sz w:val="24"/>
          <w:szCs w:val="24"/>
          <w:lang w:val="en-US"/>
        </w:rPr>
        <w:t>, which in turn positively impacts the child’s mental health. In addition, it was found that patient that attended family therapy had a better engagement rate and completion of treatment.</w:t>
      </w:r>
      <w:r w:rsidR="00162070" w:rsidRPr="009754C6">
        <w:rPr>
          <w:rFonts w:ascii="Arial" w:hAnsi="Arial" w:cs="Arial"/>
          <w:sz w:val="24"/>
          <w:szCs w:val="24"/>
          <w:lang w:val="en-US"/>
        </w:rPr>
        <w:t xml:space="preserve"> </w:t>
      </w:r>
      <w:r w:rsidR="00CE287D" w:rsidRPr="009754C6">
        <w:rPr>
          <w:rFonts w:ascii="Arial" w:hAnsi="Arial" w:cs="Arial"/>
          <w:sz w:val="24"/>
          <w:szCs w:val="24"/>
          <w:lang w:val="en-US"/>
        </w:rPr>
        <w:t>However</w:t>
      </w:r>
      <w:r w:rsidR="00A96E82" w:rsidRPr="009754C6">
        <w:rPr>
          <w:rFonts w:ascii="Arial" w:hAnsi="Arial" w:cs="Arial"/>
          <w:sz w:val="24"/>
          <w:szCs w:val="24"/>
          <w:lang w:val="en-US"/>
        </w:rPr>
        <w:t>, despite the positive outcomes, CAMHS have a few challenges that limit the overall effectiveness. These include funding, staff shortage, and the different levels of training among professionals</w:t>
      </w:r>
      <w:r w:rsidR="00321C3F" w:rsidRPr="009754C6">
        <w:rPr>
          <w:rFonts w:ascii="Arial" w:hAnsi="Arial" w:cs="Arial"/>
          <w:sz w:val="24"/>
          <w:szCs w:val="24"/>
          <w:lang w:val="en-US"/>
        </w:rPr>
        <w:t xml:space="preserve"> (Kaku et al., 2022)</w:t>
      </w:r>
      <w:r w:rsidR="00A96E82" w:rsidRPr="009754C6">
        <w:rPr>
          <w:rFonts w:ascii="Arial" w:hAnsi="Arial" w:cs="Arial"/>
          <w:sz w:val="24"/>
          <w:szCs w:val="24"/>
          <w:lang w:val="en-US"/>
        </w:rPr>
        <w:t>.</w:t>
      </w:r>
      <w:r w:rsidR="00A65A67" w:rsidRPr="009754C6">
        <w:rPr>
          <w:rFonts w:ascii="Arial" w:hAnsi="Arial" w:cs="Arial"/>
          <w:sz w:val="24"/>
          <w:szCs w:val="24"/>
          <w:lang w:val="en-US"/>
        </w:rPr>
        <w:t xml:space="preserve"> </w:t>
      </w:r>
      <w:r w:rsidR="00A96E82" w:rsidRPr="009754C6">
        <w:rPr>
          <w:rFonts w:ascii="Arial" w:hAnsi="Arial" w:cs="Arial"/>
          <w:sz w:val="24"/>
          <w:szCs w:val="24"/>
          <w:lang w:val="en-US"/>
        </w:rPr>
        <w:t xml:space="preserve"> </w:t>
      </w:r>
    </w:p>
    <w:p w14:paraId="30C5F595" w14:textId="00B2410A" w:rsidR="002D7A80" w:rsidRPr="009754C6" w:rsidRDefault="00A65A67" w:rsidP="00CE5647">
      <w:pPr>
        <w:spacing w:line="360" w:lineRule="auto"/>
        <w:ind w:firstLine="720"/>
        <w:rPr>
          <w:rFonts w:ascii="Arial" w:hAnsi="Arial" w:cs="Arial"/>
          <w:sz w:val="24"/>
          <w:szCs w:val="24"/>
          <w:lang w:val="en-US"/>
        </w:rPr>
      </w:pPr>
      <w:r w:rsidRPr="009754C6">
        <w:rPr>
          <w:rFonts w:ascii="Arial" w:hAnsi="Arial" w:cs="Arial"/>
          <w:sz w:val="24"/>
          <w:szCs w:val="24"/>
          <w:lang w:val="en-US"/>
        </w:rPr>
        <w:t xml:space="preserve">Additionally, it’s also important that the school has measures in place to accommodate to Ben’s progression in treatment. For </w:t>
      </w:r>
      <w:r w:rsidR="00CB37C8" w:rsidRPr="009754C6">
        <w:rPr>
          <w:rFonts w:ascii="Arial" w:hAnsi="Arial" w:cs="Arial"/>
          <w:sz w:val="24"/>
          <w:szCs w:val="24"/>
          <w:lang w:val="en-US"/>
        </w:rPr>
        <w:t>example,</w:t>
      </w:r>
      <w:r w:rsidRPr="009754C6">
        <w:rPr>
          <w:rFonts w:ascii="Arial" w:hAnsi="Arial" w:cs="Arial"/>
          <w:sz w:val="24"/>
          <w:szCs w:val="24"/>
          <w:lang w:val="en-US"/>
        </w:rPr>
        <w:t xml:space="preserve"> informing Ben and his parents of school mental health services </w:t>
      </w:r>
      <w:r w:rsidR="002D7A80" w:rsidRPr="009754C6">
        <w:rPr>
          <w:rFonts w:ascii="Arial" w:hAnsi="Arial" w:cs="Arial"/>
          <w:sz w:val="24"/>
          <w:szCs w:val="24"/>
          <w:lang w:val="en-US"/>
        </w:rPr>
        <w:t>such as s</w:t>
      </w:r>
      <w:r w:rsidRPr="009754C6">
        <w:rPr>
          <w:rFonts w:ascii="Arial" w:hAnsi="Arial" w:cs="Arial"/>
          <w:sz w:val="24"/>
          <w:szCs w:val="24"/>
          <w:lang w:val="en-US"/>
        </w:rPr>
        <w:t>chool counselor.</w:t>
      </w:r>
      <w:r w:rsidR="00CB37C8" w:rsidRPr="009754C6">
        <w:rPr>
          <w:rFonts w:ascii="Arial" w:hAnsi="Arial" w:cs="Arial"/>
          <w:sz w:val="24"/>
          <w:szCs w:val="24"/>
          <w:lang w:val="en-US"/>
        </w:rPr>
        <w:t xml:space="preserve"> There are many benefits to having mental health support I school. For example, research by </w:t>
      </w:r>
      <w:r w:rsidR="00EF6B7E" w:rsidRPr="009754C6">
        <w:rPr>
          <w:rFonts w:ascii="Arial" w:hAnsi="Arial" w:cs="Arial"/>
          <w:sz w:val="24"/>
          <w:szCs w:val="24"/>
          <w:lang w:val="en-US"/>
        </w:rPr>
        <w:t>Fazel et al., (2014)</w:t>
      </w:r>
      <w:r w:rsidR="00CB37C8" w:rsidRPr="009754C6">
        <w:rPr>
          <w:rFonts w:ascii="Arial" w:hAnsi="Arial" w:cs="Arial"/>
          <w:sz w:val="24"/>
          <w:szCs w:val="24"/>
          <w:lang w:val="en-US"/>
        </w:rPr>
        <w:t xml:space="preserve"> suggests that integrating mental health services into schools </w:t>
      </w:r>
      <w:r w:rsidR="00EF6B7E" w:rsidRPr="009754C6">
        <w:rPr>
          <w:rFonts w:ascii="Arial" w:hAnsi="Arial" w:cs="Arial"/>
          <w:sz w:val="24"/>
          <w:szCs w:val="24"/>
          <w:lang w:val="en-US"/>
        </w:rPr>
        <w:t>can lead</w:t>
      </w:r>
      <w:r w:rsidR="00CB37C8" w:rsidRPr="009754C6">
        <w:rPr>
          <w:rFonts w:ascii="Arial" w:hAnsi="Arial" w:cs="Arial"/>
          <w:sz w:val="24"/>
          <w:szCs w:val="24"/>
          <w:lang w:val="en-US"/>
        </w:rPr>
        <w:t xml:space="preserve"> to </w:t>
      </w:r>
      <w:r w:rsidR="00EF6B7E" w:rsidRPr="009754C6">
        <w:rPr>
          <w:rFonts w:ascii="Arial" w:hAnsi="Arial" w:cs="Arial"/>
          <w:sz w:val="24"/>
          <w:szCs w:val="24"/>
          <w:lang w:val="en-US"/>
        </w:rPr>
        <w:t xml:space="preserve">the </w:t>
      </w:r>
      <w:r w:rsidR="00CB37C8" w:rsidRPr="009754C6">
        <w:rPr>
          <w:rFonts w:ascii="Arial" w:hAnsi="Arial" w:cs="Arial"/>
          <w:sz w:val="24"/>
          <w:szCs w:val="24"/>
          <w:lang w:val="en-US"/>
        </w:rPr>
        <w:t xml:space="preserve">reduction </w:t>
      </w:r>
      <w:r w:rsidR="00EF6B7E" w:rsidRPr="009754C6">
        <w:rPr>
          <w:rFonts w:ascii="Arial" w:hAnsi="Arial" w:cs="Arial"/>
          <w:sz w:val="24"/>
          <w:szCs w:val="24"/>
          <w:lang w:val="en-US"/>
        </w:rPr>
        <w:t>of</w:t>
      </w:r>
      <w:r w:rsidR="00CB37C8" w:rsidRPr="009754C6">
        <w:rPr>
          <w:rFonts w:ascii="Arial" w:hAnsi="Arial" w:cs="Arial"/>
          <w:sz w:val="24"/>
          <w:szCs w:val="24"/>
          <w:lang w:val="en-US"/>
        </w:rPr>
        <w:t xml:space="preserve"> </w:t>
      </w:r>
      <w:r w:rsidR="00EF6B7E" w:rsidRPr="009754C6">
        <w:rPr>
          <w:rFonts w:ascii="Arial" w:hAnsi="Arial" w:cs="Arial"/>
          <w:sz w:val="24"/>
          <w:szCs w:val="24"/>
          <w:lang w:val="en-US"/>
        </w:rPr>
        <w:t xml:space="preserve">mental health </w:t>
      </w:r>
      <w:r w:rsidR="0098462A" w:rsidRPr="009754C6">
        <w:rPr>
          <w:rFonts w:ascii="Arial" w:hAnsi="Arial" w:cs="Arial"/>
          <w:sz w:val="24"/>
          <w:szCs w:val="24"/>
          <w:lang w:val="en-US"/>
        </w:rPr>
        <w:t xml:space="preserve">and improve learning </w:t>
      </w:r>
      <w:r w:rsidR="00CB37C8" w:rsidRPr="009754C6">
        <w:rPr>
          <w:rFonts w:ascii="Arial" w:hAnsi="Arial" w:cs="Arial"/>
          <w:sz w:val="24"/>
          <w:szCs w:val="24"/>
          <w:lang w:val="en-US"/>
        </w:rPr>
        <w:t>among students</w:t>
      </w:r>
      <w:r w:rsidR="0098462A" w:rsidRPr="009754C6">
        <w:rPr>
          <w:rFonts w:ascii="Arial" w:hAnsi="Arial" w:cs="Arial"/>
          <w:sz w:val="24"/>
          <w:szCs w:val="24"/>
          <w:lang w:val="en-US"/>
        </w:rPr>
        <w:t xml:space="preserve">. More specifically to </w:t>
      </w:r>
      <w:r w:rsidR="002D7A80" w:rsidRPr="009754C6">
        <w:rPr>
          <w:rFonts w:ascii="Arial" w:hAnsi="Arial" w:cs="Arial"/>
          <w:sz w:val="24"/>
          <w:szCs w:val="24"/>
          <w:lang w:val="en-US"/>
        </w:rPr>
        <w:t>Ben,</w:t>
      </w:r>
      <w:r w:rsidR="0098462A" w:rsidRPr="009754C6">
        <w:rPr>
          <w:rFonts w:ascii="Arial" w:hAnsi="Arial" w:cs="Arial"/>
          <w:sz w:val="24"/>
          <w:szCs w:val="24"/>
          <w:lang w:val="en-US"/>
        </w:rPr>
        <w:t xml:space="preserve"> by having the support from these services</w:t>
      </w:r>
      <w:r w:rsidR="004146A7" w:rsidRPr="009754C6">
        <w:rPr>
          <w:rFonts w:ascii="Arial" w:hAnsi="Arial" w:cs="Arial"/>
          <w:sz w:val="24"/>
          <w:szCs w:val="24"/>
          <w:lang w:val="en-US"/>
        </w:rPr>
        <w:t xml:space="preserve"> it can help him integrate back into school after receiving treatment</w:t>
      </w:r>
      <w:r w:rsidR="00940B0B" w:rsidRPr="009754C6">
        <w:rPr>
          <w:rFonts w:ascii="Arial" w:hAnsi="Arial" w:cs="Arial"/>
          <w:sz w:val="24"/>
          <w:szCs w:val="24"/>
          <w:lang w:val="en-US"/>
        </w:rPr>
        <w:t xml:space="preserve"> which in turn maintains that treatment</w:t>
      </w:r>
      <w:r w:rsidR="004146A7" w:rsidRPr="009754C6">
        <w:rPr>
          <w:rFonts w:ascii="Arial" w:hAnsi="Arial" w:cs="Arial"/>
          <w:sz w:val="24"/>
          <w:szCs w:val="24"/>
          <w:lang w:val="en-US"/>
        </w:rPr>
        <w:t>.</w:t>
      </w:r>
      <w:r w:rsidR="002D7A80" w:rsidRPr="009754C6">
        <w:rPr>
          <w:rFonts w:ascii="Arial" w:hAnsi="Arial" w:cs="Arial"/>
          <w:sz w:val="24"/>
          <w:szCs w:val="24"/>
          <w:lang w:val="en-US"/>
        </w:rPr>
        <w:t xml:space="preserve"> Furthermore, </w:t>
      </w:r>
      <w:r w:rsidR="00ED2BCC" w:rsidRPr="009754C6">
        <w:rPr>
          <w:rFonts w:ascii="Arial" w:hAnsi="Arial" w:cs="Arial"/>
          <w:sz w:val="24"/>
          <w:szCs w:val="24"/>
          <w:lang w:val="en-US"/>
        </w:rPr>
        <w:t>teacher and staff must be trained to recognise the signs of distress and trauma and create classrooms where children feel secure. This is one of the most effective ways schools can minimise the impact of ACEs (Garay et al., 2024).</w:t>
      </w:r>
    </w:p>
    <w:p w14:paraId="316F8B24" w14:textId="33BE8145" w:rsidR="00C16AB8" w:rsidRPr="009754C6" w:rsidRDefault="00C16AB8" w:rsidP="00CE5647">
      <w:pPr>
        <w:spacing w:line="360" w:lineRule="auto"/>
        <w:ind w:firstLine="720"/>
        <w:rPr>
          <w:rFonts w:ascii="Arial" w:hAnsi="Arial" w:cs="Arial"/>
          <w:sz w:val="24"/>
          <w:szCs w:val="24"/>
          <w:lang w:val="en-US"/>
        </w:rPr>
      </w:pPr>
      <w:r w:rsidRPr="009754C6">
        <w:rPr>
          <w:rFonts w:ascii="Arial" w:hAnsi="Arial" w:cs="Arial"/>
          <w:sz w:val="24"/>
          <w:szCs w:val="24"/>
          <w:lang w:val="en-US"/>
        </w:rPr>
        <w:t xml:space="preserve">In conclusion, self-harm, anxiety and panic, and avoidance are closely associated and can be significantly influenced by ACEs. ACEs, such as emotional </w:t>
      </w:r>
      <w:r w:rsidRPr="009754C6">
        <w:rPr>
          <w:rFonts w:ascii="Arial" w:hAnsi="Arial" w:cs="Arial"/>
          <w:sz w:val="24"/>
          <w:szCs w:val="24"/>
          <w:lang w:val="en-US"/>
        </w:rPr>
        <w:lastRenderedPageBreak/>
        <w:t xml:space="preserve">abuse and neglect, can heighten the risk of developing </w:t>
      </w:r>
      <w:r w:rsidR="00B766CD" w:rsidRPr="009754C6">
        <w:rPr>
          <w:rFonts w:ascii="Arial" w:hAnsi="Arial" w:cs="Arial"/>
          <w:sz w:val="24"/>
          <w:szCs w:val="24"/>
          <w:lang w:val="en-US"/>
        </w:rPr>
        <w:t xml:space="preserve">these mental health challenges, as they often </w:t>
      </w:r>
      <w:r w:rsidR="00DC5041" w:rsidRPr="009754C6">
        <w:rPr>
          <w:rFonts w:ascii="Arial" w:hAnsi="Arial" w:cs="Arial"/>
          <w:sz w:val="24"/>
          <w:szCs w:val="24"/>
          <w:lang w:val="en-US"/>
        </w:rPr>
        <w:t>affect</w:t>
      </w:r>
      <w:r w:rsidR="00B766CD" w:rsidRPr="009754C6">
        <w:rPr>
          <w:rFonts w:ascii="Arial" w:hAnsi="Arial" w:cs="Arial"/>
          <w:sz w:val="24"/>
          <w:szCs w:val="24"/>
          <w:lang w:val="en-US"/>
        </w:rPr>
        <w:t xml:space="preserve"> the development of healthy coping mechanisms. Avoidance in particular may prevent individuals from learning effective ways of managing anxiety and emotional distress, worsening the impact of ACEs. However, with early intervention and therapeutic support, the negative effects of these risks can be minimised, fostering emotional well-being and healthier coping long-term. </w:t>
      </w:r>
    </w:p>
    <w:p w14:paraId="4752A776" w14:textId="33DDC927" w:rsidR="003E484C" w:rsidRPr="009754C6" w:rsidRDefault="00015EEA" w:rsidP="00C54304">
      <w:pPr>
        <w:ind w:firstLine="720"/>
        <w:rPr>
          <w:rFonts w:ascii="Arial" w:hAnsi="Arial" w:cs="Arial"/>
          <w:sz w:val="24"/>
          <w:szCs w:val="24"/>
          <w:lang w:val="en-US"/>
        </w:rPr>
      </w:pPr>
      <w:r w:rsidRPr="009754C6">
        <w:rPr>
          <w:rFonts w:ascii="Arial" w:hAnsi="Arial" w:cs="Arial"/>
          <w:sz w:val="24"/>
          <w:szCs w:val="24"/>
          <w:lang w:val="en-US"/>
        </w:rPr>
        <w:t xml:space="preserve">  </w:t>
      </w:r>
    </w:p>
    <w:p w14:paraId="01AD5F9C" w14:textId="77777777" w:rsidR="00514A3A" w:rsidRPr="009754C6" w:rsidRDefault="00514A3A" w:rsidP="003E484C">
      <w:pPr>
        <w:rPr>
          <w:rFonts w:ascii="Arial" w:hAnsi="Arial" w:cs="Arial"/>
          <w:sz w:val="24"/>
          <w:szCs w:val="24"/>
          <w:lang w:val="en-US"/>
        </w:rPr>
      </w:pPr>
    </w:p>
    <w:p w14:paraId="3855A534" w14:textId="77777777" w:rsidR="000D1995" w:rsidRPr="009754C6" w:rsidRDefault="000D1995" w:rsidP="004E0D9A">
      <w:pPr>
        <w:ind w:firstLine="720"/>
        <w:rPr>
          <w:rFonts w:ascii="Arial" w:hAnsi="Arial" w:cs="Arial"/>
          <w:sz w:val="24"/>
          <w:szCs w:val="24"/>
          <w:lang w:val="en-US"/>
        </w:rPr>
      </w:pPr>
    </w:p>
    <w:p w14:paraId="2FE79161" w14:textId="3171A73C" w:rsidR="009C12F5" w:rsidRPr="009754C6" w:rsidRDefault="00047980" w:rsidP="00D64734">
      <w:pPr>
        <w:ind w:firstLine="720"/>
        <w:rPr>
          <w:rFonts w:ascii="Arial" w:hAnsi="Arial" w:cs="Arial"/>
          <w:sz w:val="24"/>
          <w:szCs w:val="24"/>
          <w:lang w:val="en-US"/>
        </w:rPr>
      </w:pPr>
      <w:r w:rsidRPr="009754C6">
        <w:rPr>
          <w:rFonts w:ascii="Arial" w:hAnsi="Arial" w:cs="Arial"/>
          <w:sz w:val="24"/>
          <w:szCs w:val="24"/>
          <w:lang w:val="en-US"/>
        </w:rPr>
        <w:t xml:space="preserve">    </w:t>
      </w:r>
      <w:r w:rsidR="00D3449A" w:rsidRPr="009754C6">
        <w:rPr>
          <w:rFonts w:ascii="Arial" w:hAnsi="Arial" w:cs="Arial"/>
          <w:sz w:val="24"/>
          <w:szCs w:val="24"/>
          <w:lang w:val="en-US"/>
        </w:rPr>
        <w:t xml:space="preserve"> </w:t>
      </w:r>
    </w:p>
    <w:p w14:paraId="3593C992" w14:textId="77777777" w:rsidR="007765C2" w:rsidRPr="009754C6" w:rsidRDefault="007765C2" w:rsidP="00D64734">
      <w:pPr>
        <w:ind w:firstLine="720"/>
        <w:rPr>
          <w:rFonts w:ascii="Arial" w:hAnsi="Arial" w:cs="Arial"/>
          <w:sz w:val="24"/>
          <w:szCs w:val="24"/>
          <w:lang w:val="en-US"/>
        </w:rPr>
      </w:pPr>
    </w:p>
    <w:p w14:paraId="3F0D0C7C" w14:textId="77777777" w:rsidR="007765C2" w:rsidRPr="009754C6" w:rsidRDefault="007765C2" w:rsidP="00D64734">
      <w:pPr>
        <w:ind w:firstLine="720"/>
        <w:rPr>
          <w:rFonts w:ascii="Arial" w:hAnsi="Arial" w:cs="Arial"/>
          <w:sz w:val="24"/>
          <w:szCs w:val="24"/>
          <w:lang w:val="en-US"/>
        </w:rPr>
      </w:pPr>
    </w:p>
    <w:p w14:paraId="34E61C2C" w14:textId="77777777" w:rsidR="007765C2" w:rsidRPr="009754C6" w:rsidRDefault="007765C2" w:rsidP="00D64734">
      <w:pPr>
        <w:ind w:firstLine="720"/>
        <w:rPr>
          <w:rFonts w:ascii="Arial" w:hAnsi="Arial" w:cs="Arial"/>
          <w:sz w:val="24"/>
          <w:szCs w:val="24"/>
          <w:lang w:val="en-US"/>
        </w:rPr>
      </w:pPr>
    </w:p>
    <w:p w14:paraId="24742CA7" w14:textId="77777777" w:rsidR="007765C2" w:rsidRPr="009754C6" w:rsidRDefault="007765C2" w:rsidP="00D64734">
      <w:pPr>
        <w:ind w:firstLine="720"/>
        <w:rPr>
          <w:rFonts w:ascii="Arial" w:hAnsi="Arial" w:cs="Arial"/>
          <w:sz w:val="24"/>
          <w:szCs w:val="24"/>
          <w:lang w:val="en-US"/>
        </w:rPr>
      </w:pPr>
    </w:p>
    <w:p w14:paraId="4BBBDC98" w14:textId="77777777" w:rsidR="007765C2" w:rsidRPr="009754C6" w:rsidRDefault="007765C2" w:rsidP="00D64734">
      <w:pPr>
        <w:ind w:firstLine="720"/>
        <w:rPr>
          <w:rFonts w:ascii="Arial" w:hAnsi="Arial" w:cs="Arial"/>
          <w:sz w:val="24"/>
          <w:szCs w:val="24"/>
          <w:lang w:val="en-US"/>
        </w:rPr>
      </w:pPr>
    </w:p>
    <w:p w14:paraId="0ABBA22E" w14:textId="77777777" w:rsidR="007765C2" w:rsidRPr="009754C6" w:rsidRDefault="007765C2" w:rsidP="00D64734">
      <w:pPr>
        <w:ind w:firstLine="720"/>
        <w:rPr>
          <w:rFonts w:ascii="Arial" w:hAnsi="Arial" w:cs="Arial"/>
          <w:sz w:val="24"/>
          <w:szCs w:val="24"/>
          <w:lang w:val="en-US"/>
        </w:rPr>
      </w:pPr>
    </w:p>
    <w:p w14:paraId="2B807AAE" w14:textId="77777777" w:rsidR="007765C2" w:rsidRPr="009754C6" w:rsidRDefault="007765C2" w:rsidP="00D64734">
      <w:pPr>
        <w:ind w:firstLine="720"/>
        <w:rPr>
          <w:rFonts w:ascii="Arial" w:hAnsi="Arial" w:cs="Arial"/>
          <w:sz w:val="24"/>
          <w:szCs w:val="24"/>
          <w:lang w:val="en-US"/>
        </w:rPr>
      </w:pPr>
    </w:p>
    <w:p w14:paraId="47D40193" w14:textId="77777777" w:rsidR="007765C2" w:rsidRPr="009754C6" w:rsidRDefault="007765C2" w:rsidP="00D64734">
      <w:pPr>
        <w:ind w:firstLine="720"/>
        <w:rPr>
          <w:rFonts w:ascii="Arial" w:hAnsi="Arial" w:cs="Arial"/>
          <w:sz w:val="24"/>
          <w:szCs w:val="24"/>
          <w:lang w:val="en-US"/>
        </w:rPr>
      </w:pPr>
    </w:p>
    <w:p w14:paraId="4E3F97D9" w14:textId="77777777" w:rsidR="007765C2" w:rsidRPr="009754C6" w:rsidRDefault="007765C2" w:rsidP="00D64734">
      <w:pPr>
        <w:ind w:firstLine="720"/>
        <w:rPr>
          <w:rFonts w:ascii="Arial" w:hAnsi="Arial" w:cs="Arial"/>
          <w:sz w:val="24"/>
          <w:szCs w:val="24"/>
          <w:lang w:val="en-US"/>
        </w:rPr>
      </w:pPr>
    </w:p>
    <w:p w14:paraId="4442F308" w14:textId="77777777" w:rsidR="007765C2" w:rsidRPr="009754C6" w:rsidRDefault="007765C2" w:rsidP="00D64734">
      <w:pPr>
        <w:ind w:firstLine="720"/>
        <w:rPr>
          <w:rFonts w:ascii="Arial" w:hAnsi="Arial" w:cs="Arial"/>
          <w:sz w:val="24"/>
          <w:szCs w:val="24"/>
          <w:lang w:val="en-US"/>
        </w:rPr>
      </w:pPr>
    </w:p>
    <w:p w14:paraId="59AD04EB" w14:textId="77777777" w:rsidR="007765C2" w:rsidRPr="009754C6" w:rsidRDefault="007765C2" w:rsidP="00D64734">
      <w:pPr>
        <w:ind w:firstLine="720"/>
        <w:rPr>
          <w:rFonts w:ascii="Arial" w:hAnsi="Arial" w:cs="Arial"/>
          <w:sz w:val="24"/>
          <w:szCs w:val="24"/>
          <w:lang w:val="en-US"/>
        </w:rPr>
      </w:pPr>
    </w:p>
    <w:p w14:paraId="3F617457" w14:textId="77777777" w:rsidR="007765C2" w:rsidRPr="009754C6" w:rsidRDefault="007765C2" w:rsidP="00D64734">
      <w:pPr>
        <w:ind w:firstLine="720"/>
        <w:rPr>
          <w:rFonts w:ascii="Arial" w:hAnsi="Arial" w:cs="Arial"/>
          <w:sz w:val="24"/>
          <w:szCs w:val="24"/>
          <w:lang w:val="en-US"/>
        </w:rPr>
      </w:pPr>
    </w:p>
    <w:p w14:paraId="0DA46EFC" w14:textId="77777777" w:rsidR="007765C2" w:rsidRPr="009754C6" w:rsidRDefault="007765C2" w:rsidP="00D64734">
      <w:pPr>
        <w:ind w:firstLine="720"/>
        <w:rPr>
          <w:rFonts w:ascii="Arial" w:hAnsi="Arial" w:cs="Arial"/>
          <w:sz w:val="24"/>
          <w:szCs w:val="24"/>
          <w:lang w:val="en-US"/>
        </w:rPr>
      </w:pPr>
    </w:p>
    <w:p w14:paraId="29B8F5B2" w14:textId="77777777" w:rsidR="007765C2" w:rsidRPr="009754C6" w:rsidRDefault="007765C2" w:rsidP="00D64734">
      <w:pPr>
        <w:ind w:firstLine="720"/>
        <w:rPr>
          <w:rFonts w:ascii="Arial" w:hAnsi="Arial" w:cs="Arial"/>
          <w:sz w:val="24"/>
          <w:szCs w:val="24"/>
          <w:lang w:val="en-US"/>
        </w:rPr>
      </w:pPr>
    </w:p>
    <w:p w14:paraId="6D31D74C" w14:textId="77777777" w:rsidR="007765C2" w:rsidRPr="009754C6" w:rsidRDefault="007765C2" w:rsidP="00D64734">
      <w:pPr>
        <w:ind w:firstLine="720"/>
        <w:rPr>
          <w:rFonts w:ascii="Arial" w:hAnsi="Arial" w:cs="Arial"/>
          <w:sz w:val="24"/>
          <w:szCs w:val="24"/>
          <w:lang w:val="en-US"/>
        </w:rPr>
      </w:pPr>
    </w:p>
    <w:p w14:paraId="7EE22DFC" w14:textId="77777777" w:rsidR="007765C2" w:rsidRPr="009754C6" w:rsidRDefault="007765C2" w:rsidP="00D64734">
      <w:pPr>
        <w:ind w:firstLine="720"/>
        <w:rPr>
          <w:rFonts w:ascii="Arial" w:hAnsi="Arial" w:cs="Arial"/>
          <w:sz w:val="24"/>
          <w:szCs w:val="24"/>
          <w:lang w:val="en-US"/>
        </w:rPr>
      </w:pPr>
    </w:p>
    <w:p w14:paraId="312A3CA4" w14:textId="77777777" w:rsidR="007765C2" w:rsidRPr="009754C6" w:rsidRDefault="007765C2" w:rsidP="00D64734">
      <w:pPr>
        <w:ind w:firstLine="720"/>
        <w:rPr>
          <w:rFonts w:ascii="Arial" w:hAnsi="Arial" w:cs="Arial"/>
          <w:sz w:val="24"/>
          <w:szCs w:val="24"/>
          <w:lang w:val="en-US"/>
        </w:rPr>
      </w:pPr>
    </w:p>
    <w:p w14:paraId="11F9B3D0" w14:textId="77777777" w:rsidR="007765C2" w:rsidRPr="009754C6" w:rsidRDefault="007765C2" w:rsidP="00D64734">
      <w:pPr>
        <w:ind w:firstLine="720"/>
        <w:rPr>
          <w:rFonts w:ascii="Arial" w:hAnsi="Arial" w:cs="Arial"/>
          <w:sz w:val="24"/>
          <w:szCs w:val="24"/>
          <w:lang w:val="en-US"/>
        </w:rPr>
      </w:pPr>
    </w:p>
    <w:p w14:paraId="035D9C01" w14:textId="77777777" w:rsidR="007765C2" w:rsidRPr="009754C6" w:rsidRDefault="007765C2" w:rsidP="00D64734">
      <w:pPr>
        <w:ind w:firstLine="720"/>
        <w:rPr>
          <w:rFonts w:ascii="Arial" w:hAnsi="Arial" w:cs="Arial"/>
          <w:sz w:val="24"/>
          <w:szCs w:val="24"/>
          <w:lang w:val="en-US"/>
        </w:rPr>
      </w:pPr>
    </w:p>
    <w:p w14:paraId="1E34F5C7" w14:textId="77777777" w:rsidR="007765C2" w:rsidRDefault="007765C2" w:rsidP="00E907E4">
      <w:pPr>
        <w:rPr>
          <w:rFonts w:ascii="Arial" w:hAnsi="Arial" w:cs="Arial"/>
          <w:sz w:val="24"/>
          <w:szCs w:val="24"/>
          <w:lang w:val="en-US"/>
        </w:rPr>
      </w:pPr>
    </w:p>
    <w:p w14:paraId="3E3F206C" w14:textId="77777777" w:rsidR="00E907E4" w:rsidRPr="009754C6" w:rsidRDefault="00E907E4" w:rsidP="00E907E4">
      <w:pPr>
        <w:rPr>
          <w:rFonts w:ascii="Arial" w:hAnsi="Arial" w:cs="Arial"/>
          <w:sz w:val="24"/>
          <w:szCs w:val="24"/>
          <w:lang w:val="en-US"/>
        </w:rPr>
      </w:pPr>
    </w:p>
    <w:p w14:paraId="64B90645" w14:textId="5B5D5D05" w:rsidR="007765C2" w:rsidRPr="009754C6" w:rsidRDefault="007765C2" w:rsidP="00D64734">
      <w:pPr>
        <w:ind w:firstLine="720"/>
        <w:rPr>
          <w:rFonts w:ascii="Arial" w:hAnsi="Arial" w:cs="Arial"/>
          <w:sz w:val="24"/>
          <w:szCs w:val="24"/>
          <w:lang w:val="en-US"/>
        </w:rPr>
      </w:pPr>
      <w:r w:rsidRPr="009754C6">
        <w:rPr>
          <w:rFonts w:ascii="Arial" w:hAnsi="Arial" w:cs="Arial"/>
          <w:sz w:val="24"/>
          <w:szCs w:val="24"/>
          <w:lang w:val="en-US"/>
        </w:rPr>
        <w:lastRenderedPageBreak/>
        <w:t>Reference list</w:t>
      </w:r>
    </w:p>
    <w:p w14:paraId="03C5F60C" w14:textId="77777777" w:rsidR="007765C2" w:rsidRPr="009754C6" w:rsidRDefault="007765C2" w:rsidP="00D64734">
      <w:pPr>
        <w:ind w:firstLine="720"/>
        <w:rPr>
          <w:rFonts w:ascii="Arial" w:hAnsi="Arial" w:cs="Arial"/>
          <w:sz w:val="24"/>
          <w:szCs w:val="24"/>
          <w:lang w:val="en-US"/>
        </w:rPr>
      </w:pPr>
    </w:p>
    <w:p w14:paraId="395C540C" w14:textId="77777777" w:rsidR="007765C2" w:rsidRPr="009754C6" w:rsidRDefault="007765C2" w:rsidP="007765C2">
      <w:pPr>
        <w:rPr>
          <w:rFonts w:ascii="Arial" w:hAnsi="Arial" w:cs="Arial"/>
          <w:sz w:val="24"/>
          <w:szCs w:val="24"/>
          <w:lang w:val="en-US"/>
        </w:rPr>
      </w:pPr>
    </w:p>
    <w:p w14:paraId="04F15878" w14:textId="77777777" w:rsidR="008124C5" w:rsidRPr="009754C6" w:rsidRDefault="008124C5" w:rsidP="007765C2">
      <w:pPr>
        <w:spacing w:line="360" w:lineRule="auto"/>
        <w:ind w:hanging="720"/>
        <w:rPr>
          <w:rFonts w:ascii="Arial" w:hAnsi="Arial" w:cs="Arial"/>
          <w:sz w:val="24"/>
          <w:szCs w:val="24"/>
        </w:rPr>
      </w:pPr>
      <w:r w:rsidRPr="009754C6">
        <w:rPr>
          <w:rFonts w:ascii="Arial" w:hAnsi="Arial" w:cs="Arial"/>
          <w:sz w:val="24"/>
          <w:szCs w:val="24"/>
        </w:rPr>
        <w:t xml:space="preserve">Aldao, A., Nolen-Hoeksema, S., &amp; Schweizer, S. (2010). Emotion-regulation strategies across psychopathology: a meta-analytic review. </w:t>
      </w:r>
      <w:r w:rsidRPr="009754C6">
        <w:rPr>
          <w:rFonts w:ascii="Arial" w:hAnsi="Arial" w:cs="Arial"/>
          <w:i/>
          <w:iCs/>
          <w:sz w:val="24"/>
          <w:szCs w:val="24"/>
        </w:rPr>
        <w:t>Clinical Psychology Review, 30</w:t>
      </w:r>
      <w:r w:rsidRPr="009754C6">
        <w:rPr>
          <w:rFonts w:ascii="Arial" w:hAnsi="Arial" w:cs="Arial"/>
          <w:sz w:val="24"/>
          <w:szCs w:val="24"/>
        </w:rPr>
        <w:t xml:space="preserve">(2), 217-237. </w:t>
      </w:r>
      <w:hyperlink r:id="rId4" w:history="1">
        <w:r w:rsidRPr="009754C6">
          <w:rPr>
            <w:rStyle w:val="Hyperlink"/>
            <w:rFonts w:ascii="Arial" w:hAnsi="Arial" w:cs="Arial"/>
            <w:sz w:val="24"/>
            <w:szCs w:val="24"/>
          </w:rPr>
          <w:t>https://doi.org/10.1016/j.cpr.2009.11.004</w:t>
        </w:r>
      </w:hyperlink>
    </w:p>
    <w:p w14:paraId="39DBAD24" w14:textId="77777777" w:rsidR="008124C5" w:rsidRPr="009754C6" w:rsidRDefault="008124C5" w:rsidP="007765C2">
      <w:pPr>
        <w:spacing w:line="360" w:lineRule="auto"/>
        <w:ind w:hanging="720"/>
        <w:rPr>
          <w:rFonts w:ascii="Arial" w:hAnsi="Arial" w:cs="Arial"/>
          <w:sz w:val="24"/>
          <w:szCs w:val="24"/>
          <w:lang w:val="en-US"/>
        </w:rPr>
      </w:pPr>
      <w:r w:rsidRPr="009754C6">
        <w:rPr>
          <w:rFonts w:ascii="Arial" w:hAnsi="Arial" w:cs="Arial"/>
          <w:sz w:val="24"/>
          <w:szCs w:val="24"/>
          <w:lang w:val="en-US"/>
        </w:rPr>
        <w:t xml:space="preserve">Arseneault, L. (2018). Annual research review: the persistent and pervasive impact of being bullied in childhood and adolescence: implications for policy and practice. </w:t>
      </w:r>
      <w:r w:rsidRPr="009754C6">
        <w:rPr>
          <w:rFonts w:ascii="Arial" w:hAnsi="Arial" w:cs="Arial"/>
          <w:i/>
          <w:iCs/>
          <w:sz w:val="24"/>
          <w:szCs w:val="24"/>
          <w:lang w:val="en-US"/>
        </w:rPr>
        <w:t>Journal of Child Psychology and Psychiatry, and Allied Disciplines, 59</w:t>
      </w:r>
      <w:r w:rsidRPr="009754C6">
        <w:rPr>
          <w:rFonts w:ascii="Arial" w:hAnsi="Arial" w:cs="Arial"/>
          <w:sz w:val="24"/>
          <w:szCs w:val="24"/>
          <w:lang w:val="en-US"/>
        </w:rPr>
        <w:t xml:space="preserve">(4), 405-421. </w:t>
      </w:r>
      <w:hyperlink r:id="rId5" w:history="1">
        <w:r w:rsidRPr="009754C6">
          <w:rPr>
            <w:rStyle w:val="Hyperlink"/>
            <w:rFonts w:ascii="Arial" w:hAnsi="Arial" w:cs="Arial"/>
            <w:sz w:val="24"/>
            <w:szCs w:val="24"/>
            <w:lang w:val="en-US"/>
          </w:rPr>
          <w:t>https://doi.org/10.1111/jcpp.12841</w:t>
        </w:r>
      </w:hyperlink>
    </w:p>
    <w:p w14:paraId="3B8E04BC" w14:textId="77777777" w:rsidR="008124C5" w:rsidRPr="009754C6" w:rsidRDefault="008124C5" w:rsidP="007765C2">
      <w:pPr>
        <w:spacing w:line="360" w:lineRule="auto"/>
        <w:ind w:hanging="720"/>
        <w:rPr>
          <w:rFonts w:ascii="Arial" w:hAnsi="Arial" w:cs="Arial"/>
          <w:sz w:val="24"/>
          <w:szCs w:val="24"/>
          <w:lang w:val="en-US"/>
        </w:rPr>
      </w:pPr>
      <w:r w:rsidRPr="009754C6">
        <w:rPr>
          <w:rFonts w:ascii="Arial" w:hAnsi="Arial" w:cs="Arial"/>
          <w:color w:val="222222"/>
          <w:sz w:val="24"/>
          <w:szCs w:val="24"/>
          <w:shd w:val="clear" w:color="auto" w:fill="FFFFFF"/>
        </w:rPr>
        <w:t xml:space="preserve">Balkanas, M., &amp; Tarakcioglu, M. C. (2024). Can cognitive behavioural therapy be effective for social anxiety disorder with dissociative and self-harm behaviour in a 15-year-old adolescent?. </w:t>
      </w:r>
      <w:r w:rsidRPr="009754C6">
        <w:rPr>
          <w:rFonts w:ascii="Arial" w:hAnsi="Arial" w:cs="Arial"/>
          <w:i/>
          <w:iCs/>
          <w:color w:val="222222"/>
          <w:sz w:val="24"/>
          <w:szCs w:val="24"/>
          <w:shd w:val="clear" w:color="auto" w:fill="FFFFFF"/>
        </w:rPr>
        <w:t>Medical Research Reports, 7</w:t>
      </w:r>
      <w:r w:rsidRPr="009754C6">
        <w:rPr>
          <w:rFonts w:ascii="Arial" w:hAnsi="Arial" w:cs="Arial"/>
          <w:color w:val="222222"/>
          <w:sz w:val="24"/>
          <w:szCs w:val="24"/>
          <w:shd w:val="clear" w:color="auto" w:fill="FFFFFF"/>
        </w:rPr>
        <w:t xml:space="preserve">(2), 114-119. </w:t>
      </w:r>
      <w:hyperlink r:id="rId6" w:history="1">
        <w:r w:rsidRPr="009754C6">
          <w:rPr>
            <w:rStyle w:val="Hyperlink"/>
            <w:rFonts w:ascii="Arial" w:hAnsi="Arial" w:cs="Arial"/>
            <w:sz w:val="24"/>
            <w:szCs w:val="24"/>
            <w:shd w:val="clear" w:color="auto" w:fill="FFFFFF"/>
          </w:rPr>
          <w:t>https://doi.org/10.55517/mrr.1419278</w:t>
        </w:r>
      </w:hyperlink>
    </w:p>
    <w:p w14:paraId="52588526"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Beckers, T., &amp; Craske, M. G. (2017). Avoidance and decision making in anxiety: an introduction to the special issue. </w:t>
      </w:r>
      <w:r w:rsidRPr="009754C6">
        <w:rPr>
          <w:rFonts w:ascii="Arial" w:hAnsi="Arial" w:cs="Arial"/>
          <w:i/>
          <w:iCs/>
          <w:color w:val="222222"/>
          <w:sz w:val="24"/>
          <w:szCs w:val="24"/>
          <w:shd w:val="clear" w:color="auto" w:fill="FFFFFF"/>
        </w:rPr>
        <w:t>Behaviour Research and Therapy, 96</w:t>
      </w:r>
      <w:r w:rsidRPr="009754C6">
        <w:rPr>
          <w:rFonts w:ascii="Arial" w:hAnsi="Arial" w:cs="Arial"/>
          <w:color w:val="222222"/>
          <w:sz w:val="24"/>
          <w:szCs w:val="24"/>
          <w:shd w:val="clear" w:color="auto" w:fill="FFFFFF"/>
        </w:rPr>
        <w:t xml:space="preserve">, 1-2. </w:t>
      </w:r>
      <w:hyperlink r:id="rId7" w:history="1">
        <w:r w:rsidRPr="009754C6">
          <w:rPr>
            <w:rStyle w:val="Hyperlink"/>
            <w:rFonts w:ascii="Arial" w:hAnsi="Arial" w:cs="Arial"/>
            <w:sz w:val="24"/>
            <w:szCs w:val="24"/>
            <w:shd w:val="clear" w:color="auto" w:fill="FFFFFF"/>
          </w:rPr>
          <w:t>https://doi.org/10.1016/j.brat.2017.05.009</w:t>
        </w:r>
      </w:hyperlink>
    </w:p>
    <w:p w14:paraId="28F8EF61"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Berry, K. R., Gliske, K., Schmidt, C., Ballard, J., Killian, M., &amp; Fenkel, C. (2023). The impact of family therapy participation on youths and young adult engagement and retention in a telehealth  intensive outpatient program: quality improvement analysis. JMIR Formative Research, 7, e45305. </w:t>
      </w:r>
      <w:hyperlink r:id="rId8" w:history="1">
        <w:r w:rsidRPr="009754C6">
          <w:rPr>
            <w:rStyle w:val="Hyperlink"/>
            <w:rFonts w:ascii="Arial" w:hAnsi="Arial" w:cs="Arial"/>
            <w:sz w:val="24"/>
            <w:szCs w:val="24"/>
            <w:shd w:val="clear" w:color="auto" w:fill="FFFFFF"/>
          </w:rPr>
          <w:t>https://doi.org/10.2196/45305</w:t>
        </w:r>
      </w:hyperlink>
    </w:p>
    <w:p w14:paraId="71041747" w14:textId="77777777" w:rsidR="008124C5" w:rsidRPr="009754C6" w:rsidRDefault="008124C5" w:rsidP="007765C2">
      <w:pPr>
        <w:spacing w:line="360" w:lineRule="auto"/>
        <w:ind w:hanging="720"/>
        <w:rPr>
          <w:rFonts w:ascii="Arial" w:hAnsi="Arial" w:cs="Arial"/>
          <w:sz w:val="24"/>
          <w:szCs w:val="24"/>
          <w:lang w:val="en-US"/>
        </w:rPr>
      </w:pPr>
      <w:r w:rsidRPr="009754C6">
        <w:rPr>
          <w:rFonts w:ascii="Arial" w:hAnsi="Arial" w:cs="Arial"/>
          <w:sz w:val="24"/>
          <w:szCs w:val="24"/>
          <w:lang w:val="en-US"/>
        </w:rPr>
        <w:t xml:space="preserve">Boullier, M., &amp; Blair, M. (2018). Adverse childhood experiences. </w:t>
      </w:r>
      <w:r w:rsidRPr="009754C6">
        <w:rPr>
          <w:rFonts w:ascii="Arial" w:hAnsi="Arial" w:cs="Arial"/>
          <w:i/>
          <w:iCs/>
          <w:sz w:val="24"/>
          <w:szCs w:val="24"/>
          <w:lang w:val="en-US"/>
        </w:rPr>
        <w:t>Paediatrics and Child Health, 28</w:t>
      </w:r>
      <w:r w:rsidRPr="009754C6">
        <w:rPr>
          <w:rFonts w:ascii="Arial" w:hAnsi="Arial" w:cs="Arial"/>
          <w:sz w:val="24"/>
          <w:szCs w:val="24"/>
          <w:lang w:val="en-US"/>
        </w:rPr>
        <w:t xml:space="preserve">(3), 132-137. </w:t>
      </w:r>
      <w:hyperlink r:id="rId9" w:history="1">
        <w:r w:rsidRPr="009754C6">
          <w:rPr>
            <w:rStyle w:val="Hyperlink"/>
            <w:rFonts w:ascii="Arial" w:hAnsi="Arial" w:cs="Arial"/>
            <w:sz w:val="24"/>
            <w:szCs w:val="24"/>
            <w:lang w:val="en-US"/>
          </w:rPr>
          <w:t>https://doi.org/10.1016/j.paed.2017.12.008</w:t>
        </w:r>
      </w:hyperlink>
    </w:p>
    <w:p w14:paraId="44FE0417" w14:textId="77777777" w:rsidR="008124C5" w:rsidRPr="009754C6" w:rsidRDefault="008124C5" w:rsidP="007765C2">
      <w:pPr>
        <w:spacing w:line="360" w:lineRule="auto"/>
        <w:ind w:hanging="720"/>
        <w:rPr>
          <w:rFonts w:ascii="Arial" w:hAnsi="Arial" w:cs="Arial"/>
          <w:sz w:val="24"/>
          <w:szCs w:val="24"/>
          <w:lang w:val="en-US"/>
        </w:rPr>
      </w:pPr>
      <w:r w:rsidRPr="009754C6">
        <w:rPr>
          <w:rFonts w:ascii="Arial" w:hAnsi="Arial" w:cs="Arial"/>
          <w:sz w:val="24"/>
          <w:szCs w:val="24"/>
          <w:lang w:val="en-US"/>
        </w:rPr>
        <w:t xml:space="preserve">Brandt, L., Liu, S., Heim, C., &amp; Heinz, A. (2022). The effects of social isolation stress and discrimination on mental health. </w:t>
      </w:r>
      <w:r w:rsidRPr="009754C6">
        <w:rPr>
          <w:rFonts w:ascii="Arial" w:hAnsi="Arial" w:cs="Arial"/>
          <w:i/>
          <w:iCs/>
          <w:sz w:val="24"/>
          <w:szCs w:val="24"/>
          <w:lang w:val="en-US"/>
        </w:rPr>
        <w:t>Translational Psychiatry, 12</w:t>
      </w:r>
      <w:r w:rsidRPr="009754C6">
        <w:rPr>
          <w:rFonts w:ascii="Arial" w:hAnsi="Arial" w:cs="Arial"/>
          <w:sz w:val="24"/>
          <w:szCs w:val="24"/>
          <w:lang w:val="en-US"/>
        </w:rPr>
        <w:t xml:space="preserve">(1), 398. </w:t>
      </w:r>
      <w:hyperlink r:id="rId10" w:history="1">
        <w:r w:rsidRPr="009754C6">
          <w:rPr>
            <w:rStyle w:val="Hyperlink"/>
            <w:rFonts w:ascii="Arial" w:hAnsi="Arial" w:cs="Arial"/>
            <w:sz w:val="24"/>
            <w:szCs w:val="24"/>
            <w:lang w:val="en-US"/>
          </w:rPr>
          <w:t>https://doi.org/10.1038/s41398-022-02178-4</w:t>
        </w:r>
      </w:hyperlink>
    </w:p>
    <w:p w14:paraId="5FEFC596" w14:textId="77777777" w:rsidR="008124C5" w:rsidRPr="009754C6" w:rsidRDefault="008124C5" w:rsidP="007765C2">
      <w:pPr>
        <w:spacing w:line="360" w:lineRule="auto"/>
        <w:ind w:hanging="720"/>
        <w:rPr>
          <w:rFonts w:ascii="Arial" w:hAnsi="Arial" w:cs="Arial"/>
          <w:sz w:val="24"/>
          <w:szCs w:val="24"/>
        </w:rPr>
      </w:pPr>
      <w:r w:rsidRPr="009754C6">
        <w:rPr>
          <w:rFonts w:ascii="Arial" w:hAnsi="Arial" w:cs="Arial"/>
          <w:sz w:val="24"/>
          <w:szCs w:val="24"/>
        </w:rPr>
        <w:t xml:space="preserve">Brenning, K. M., &amp; Braet, C. (2012). The emotion regulation model of attachment: an emotion-specific approach. </w:t>
      </w:r>
      <w:r w:rsidRPr="009754C6">
        <w:rPr>
          <w:rFonts w:ascii="Arial" w:hAnsi="Arial" w:cs="Arial"/>
          <w:i/>
          <w:iCs/>
          <w:sz w:val="24"/>
          <w:szCs w:val="24"/>
        </w:rPr>
        <w:t>Personal Relationships, 20</w:t>
      </w:r>
      <w:r w:rsidRPr="009754C6">
        <w:rPr>
          <w:rFonts w:ascii="Arial" w:hAnsi="Arial" w:cs="Arial"/>
          <w:sz w:val="24"/>
          <w:szCs w:val="24"/>
        </w:rPr>
        <w:t xml:space="preserve">(1), 107-123. </w:t>
      </w:r>
      <w:hyperlink r:id="rId11" w:history="1">
        <w:r w:rsidRPr="009754C6">
          <w:rPr>
            <w:rStyle w:val="Hyperlink"/>
            <w:rFonts w:ascii="Arial" w:hAnsi="Arial" w:cs="Arial"/>
            <w:sz w:val="24"/>
            <w:szCs w:val="24"/>
          </w:rPr>
          <w:t>https://doi.org/10.1111/j.1475-6811.2012.01399.x</w:t>
        </w:r>
      </w:hyperlink>
    </w:p>
    <w:p w14:paraId="0C7C0687" w14:textId="77777777" w:rsidR="008124C5" w:rsidRPr="009754C6" w:rsidRDefault="008124C5" w:rsidP="007765C2">
      <w:pPr>
        <w:spacing w:line="360" w:lineRule="auto"/>
        <w:ind w:hanging="720"/>
        <w:rPr>
          <w:rFonts w:ascii="Arial" w:hAnsi="Arial" w:cs="Arial"/>
          <w:sz w:val="24"/>
          <w:szCs w:val="24"/>
          <w:lang w:val="en-US"/>
        </w:rPr>
      </w:pPr>
      <w:r w:rsidRPr="009754C6">
        <w:rPr>
          <w:rFonts w:ascii="Arial" w:hAnsi="Arial" w:cs="Arial"/>
          <w:sz w:val="24"/>
          <w:szCs w:val="24"/>
          <w:lang w:val="en-US"/>
        </w:rPr>
        <w:lastRenderedPageBreak/>
        <w:t xml:space="preserve">Buimer, E. E. L., Brouwer, R. M., Mandl, R. C. W., Pas, P., Schnack, H. G., &amp; Hulshoff Pol, H. E. (2022). Adverse childhood experiences and fronto-subcortical structures in the developing bain. </w:t>
      </w:r>
      <w:r w:rsidRPr="009754C6">
        <w:rPr>
          <w:rFonts w:ascii="Arial" w:hAnsi="Arial" w:cs="Arial"/>
          <w:i/>
          <w:iCs/>
          <w:sz w:val="24"/>
          <w:szCs w:val="24"/>
          <w:lang w:val="en-US"/>
        </w:rPr>
        <w:t>Frontiers in psychiatry, 13</w:t>
      </w:r>
      <w:r w:rsidRPr="009754C6">
        <w:rPr>
          <w:rFonts w:ascii="Arial" w:hAnsi="Arial" w:cs="Arial"/>
          <w:sz w:val="24"/>
          <w:szCs w:val="24"/>
          <w:lang w:val="en-US"/>
        </w:rPr>
        <w:t>, 955871.</w:t>
      </w:r>
      <w:r w:rsidRPr="009754C6">
        <w:rPr>
          <w:rFonts w:ascii="Arial" w:hAnsi="Arial" w:cs="Arial"/>
          <w:sz w:val="24"/>
          <w:szCs w:val="24"/>
        </w:rPr>
        <w:t xml:space="preserve"> </w:t>
      </w:r>
      <w:hyperlink r:id="rId12" w:history="1">
        <w:r w:rsidRPr="009754C6">
          <w:rPr>
            <w:rStyle w:val="Hyperlink"/>
            <w:rFonts w:ascii="Arial" w:hAnsi="Arial" w:cs="Arial"/>
            <w:sz w:val="24"/>
            <w:szCs w:val="24"/>
            <w:lang w:val="en-US"/>
          </w:rPr>
          <w:t>https://doi.org/10.3389/fpsyt.2022.955871</w:t>
        </w:r>
      </w:hyperlink>
    </w:p>
    <w:p w14:paraId="0D132643"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Chen, H., Guo, H., Chen, H., Cao, X., Liu, J., Chen, X., Tian, Y., Tang, H., Wang, X., &amp; Zhou, J. (2023). Influence of academic stress school bullying on self-harm behaviour among Chinese middle school students: the mediation effects of depression and anxiety. </w:t>
      </w:r>
      <w:r w:rsidRPr="009754C6">
        <w:rPr>
          <w:rFonts w:ascii="Arial" w:hAnsi="Arial" w:cs="Arial"/>
          <w:i/>
          <w:iCs/>
          <w:color w:val="222222"/>
          <w:sz w:val="24"/>
          <w:szCs w:val="24"/>
          <w:shd w:val="clear" w:color="auto" w:fill="FFFFFF"/>
        </w:rPr>
        <w:t>Frontiers in Public Health, 10</w:t>
      </w:r>
      <w:r w:rsidRPr="009754C6">
        <w:rPr>
          <w:rFonts w:ascii="Arial" w:hAnsi="Arial" w:cs="Arial"/>
          <w:color w:val="222222"/>
          <w:sz w:val="24"/>
          <w:szCs w:val="24"/>
          <w:shd w:val="clear" w:color="auto" w:fill="FFFFFF"/>
        </w:rPr>
        <w:t xml:space="preserve">, 1049051. </w:t>
      </w:r>
      <w:hyperlink r:id="rId13" w:history="1">
        <w:r w:rsidRPr="009754C6">
          <w:rPr>
            <w:rStyle w:val="Hyperlink"/>
            <w:rFonts w:ascii="Arial" w:hAnsi="Arial" w:cs="Arial"/>
            <w:sz w:val="24"/>
            <w:szCs w:val="24"/>
            <w:shd w:val="clear" w:color="auto" w:fill="FFFFFF"/>
          </w:rPr>
          <w:t>https://doi.org/10.3389/fpubh.2022.1049051</w:t>
        </w:r>
      </w:hyperlink>
    </w:p>
    <w:p w14:paraId="32AF9B2D"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Colizzi, M., Lasalvia, A., &amp; Ruggeri, M. (2020). Prevention and early intervention in youth mental health: is it time for a multidisciplinary and trans-diagnostic model for care?.</w:t>
      </w:r>
      <w:r w:rsidRPr="009754C6">
        <w:rPr>
          <w:rFonts w:ascii="Arial" w:hAnsi="Arial" w:cs="Arial"/>
          <w:i/>
          <w:iCs/>
          <w:color w:val="222222"/>
          <w:sz w:val="24"/>
          <w:szCs w:val="24"/>
          <w:shd w:val="clear" w:color="auto" w:fill="FFFFFF"/>
        </w:rPr>
        <w:t xml:space="preserve"> International Journal of Mental Health Systems, 14</w:t>
      </w:r>
      <w:r w:rsidRPr="009754C6">
        <w:rPr>
          <w:rFonts w:ascii="Arial" w:hAnsi="Arial" w:cs="Arial"/>
          <w:color w:val="222222"/>
          <w:sz w:val="24"/>
          <w:szCs w:val="24"/>
          <w:shd w:val="clear" w:color="auto" w:fill="FFFFFF"/>
        </w:rPr>
        <w:t xml:space="preserve">, 23. </w:t>
      </w:r>
      <w:hyperlink r:id="rId14" w:history="1">
        <w:r w:rsidRPr="009754C6">
          <w:rPr>
            <w:rStyle w:val="Hyperlink"/>
            <w:rFonts w:ascii="Arial" w:hAnsi="Arial" w:cs="Arial"/>
            <w:sz w:val="24"/>
            <w:szCs w:val="24"/>
            <w:shd w:val="clear" w:color="auto" w:fill="FFFFFF"/>
          </w:rPr>
          <w:t>https://doi.org/10.1186/s13033-020-00356-9</w:t>
        </w:r>
      </w:hyperlink>
    </w:p>
    <w:p w14:paraId="15E0E817"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Craske, M. G., Treanor, M., Conway, C. C., Zbozinek, T., &amp; Vervliet, B. (2014). Maximizing exposure therapy: an inhibitory learning approach. </w:t>
      </w:r>
      <w:r w:rsidRPr="009754C6">
        <w:rPr>
          <w:rFonts w:ascii="Arial" w:hAnsi="Arial" w:cs="Arial"/>
          <w:i/>
          <w:iCs/>
          <w:color w:val="222222"/>
          <w:sz w:val="24"/>
          <w:szCs w:val="24"/>
          <w:shd w:val="clear" w:color="auto" w:fill="FFFFFF"/>
        </w:rPr>
        <w:t>Behaviour research and Therapy, 58</w:t>
      </w:r>
      <w:r w:rsidRPr="009754C6">
        <w:rPr>
          <w:rFonts w:ascii="Arial" w:hAnsi="Arial" w:cs="Arial"/>
          <w:color w:val="222222"/>
          <w:sz w:val="24"/>
          <w:szCs w:val="24"/>
          <w:shd w:val="clear" w:color="auto" w:fill="FFFFFF"/>
        </w:rPr>
        <w:t xml:space="preserve">, 10-23. </w:t>
      </w:r>
      <w:hyperlink r:id="rId15" w:history="1">
        <w:r w:rsidRPr="009754C6">
          <w:rPr>
            <w:rStyle w:val="Hyperlink"/>
            <w:rFonts w:ascii="Arial" w:hAnsi="Arial" w:cs="Arial"/>
            <w:sz w:val="24"/>
            <w:szCs w:val="24"/>
            <w:shd w:val="clear" w:color="auto" w:fill="FFFFFF"/>
          </w:rPr>
          <w:t>https://doi.org/10.1016/j.brat.2014.04.006</w:t>
        </w:r>
      </w:hyperlink>
    </w:p>
    <w:p w14:paraId="70346C8E" w14:textId="77777777" w:rsidR="008124C5" w:rsidRPr="009754C6" w:rsidRDefault="008124C5" w:rsidP="007765C2">
      <w:pPr>
        <w:spacing w:line="360" w:lineRule="auto"/>
        <w:ind w:hanging="720"/>
        <w:rPr>
          <w:rFonts w:ascii="Arial" w:hAnsi="Arial" w:cs="Arial"/>
          <w:sz w:val="24"/>
          <w:szCs w:val="24"/>
        </w:rPr>
      </w:pPr>
      <w:r w:rsidRPr="009754C6">
        <w:rPr>
          <w:rFonts w:ascii="Arial" w:hAnsi="Arial" w:cs="Arial"/>
          <w:sz w:val="24"/>
          <w:szCs w:val="24"/>
        </w:rPr>
        <w:t xml:space="preserve">D’Amico, D., Amestoy, M. E., &amp; Fiocco, A. J. (2022). The mediating role of allostatic load in the relationship between early life adversity and cognitive function across the adult lifespan. </w:t>
      </w:r>
      <w:r w:rsidRPr="009754C6">
        <w:rPr>
          <w:rFonts w:ascii="Arial" w:hAnsi="Arial" w:cs="Arial"/>
          <w:i/>
          <w:iCs/>
          <w:sz w:val="24"/>
          <w:szCs w:val="24"/>
        </w:rPr>
        <w:t>Psychoneuroendocrinology, 141</w:t>
      </w:r>
      <w:r w:rsidRPr="009754C6">
        <w:rPr>
          <w:rFonts w:ascii="Arial" w:hAnsi="Arial" w:cs="Arial"/>
          <w:sz w:val="24"/>
          <w:szCs w:val="24"/>
        </w:rPr>
        <w:t xml:space="preserve">, 105761. </w:t>
      </w:r>
      <w:hyperlink r:id="rId16" w:history="1">
        <w:r w:rsidRPr="009754C6">
          <w:rPr>
            <w:rStyle w:val="Hyperlink"/>
            <w:rFonts w:ascii="Arial" w:hAnsi="Arial" w:cs="Arial"/>
            <w:sz w:val="24"/>
            <w:szCs w:val="24"/>
          </w:rPr>
          <w:t>https://doi.org/10.1016/j.psyneuen.2022.105761</w:t>
        </w:r>
      </w:hyperlink>
    </w:p>
    <w:p w14:paraId="26357840" w14:textId="77777777" w:rsidR="008124C5" w:rsidRPr="009754C6" w:rsidRDefault="008124C5" w:rsidP="007765C2">
      <w:pPr>
        <w:spacing w:line="360" w:lineRule="auto"/>
        <w:ind w:hanging="720"/>
        <w:rPr>
          <w:rFonts w:ascii="Arial" w:hAnsi="Arial" w:cs="Arial"/>
          <w:sz w:val="24"/>
          <w:szCs w:val="24"/>
          <w:lang w:val="en-US"/>
        </w:rPr>
      </w:pPr>
      <w:r w:rsidRPr="009754C6">
        <w:rPr>
          <w:rFonts w:ascii="Arial" w:hAnsi="Arial" w:cs="Arial"/>
          <w:sz w:val="24"/>
          <w:szCs w:val="24"/>
          <w:lang w:val="en-US"/>
        </w:rPr>
        <w:t xml:space="preserve">De Bellis, M. D., &amp; Zisk, A. (2014). The Biological effects of childhood trauma. Child and Adolescent Psychiatric Clinics of North America, 23(2), 185-222. </w:t>
      </w:r>
      <w:hyperlink r:id="rId17" w:history="1">
        <w:r w:rsidRPr="009754C6">
          <w:rPr>
            <w:rStyle w:val="Hyperlink"/>
            <w:rFonts w:ascii="Arial" w:hAnsi="Arial" w:cs="Arial"/>
            <w:sz w:val="24"/>
            <w:szCs w:val="24"/>
            <w:lang w:val="en-US"/>
          </w:rPr>
          <w:t>https://doi.org/10.1016/j.chc.2014.01.002</w:t>
        </w:r>
      </w:hyperlink>
    </w:p>
    <w:p w14:paraId="6C53020B"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Diamond, G., Diamond, G. M., &amp; Levy, S. (2021). Attachment-based family therapy: theory, clinical model, outcomes, and process research. </w:t>
      </w:r>
      <w:r w:rsidRPr="009754C6">
        <w:rPr>
          <w:rFonts w:ascii="Arial" w:hAnsi="Arial" w:cs="Arial"/>
          <w:i/>
          <w:iCs/>
          <w:color w:val="222222"/>
          <w:sz w:val="24"/>
          <w:szCs w:val="24"/>
          <w:shd w:val="clear" w:color="auto" w:fill="FFFFFF"/>
        </w:rPr>
        <w:t>Journal of Affective Disorders, 294</w:t>
      </w:r>
      <w:r w:rsidRPr="009754C6">
        <w:rPr>
          <w:rFonts w:ascii="Arial" w:hAnsi="Arial" w:cs="Arial"/>
          <w:color w:val="222222"/>
          <w:sz w:val="24"/>
          <w:szCs w:val="24"/>
          <w:shd w:val="clear" w:color="auto" w:fill="FFFFFF"/>
        </w:rPr>
        <w:t xml:space="preserve">, 286-295. </w:t>
      </w:r>
      <w:hyperlink r:id="rId18" w:history="1">
        <w:r w:rsidRPr="009754C6">
          <w:rPr>
            <w:rStyle w:val="Hyperlink"/>
            <w:rFonts w:ascii="Arial" w:hAnsi="Arial" w:cs="Arial"/>
            <w:sz w:val="24"/>
            <w:szCs w:val="24"/>
            <w:shd w:val="clear" w:color="auto" w:fill="FFFFFF"/>
          </w:rPr>
          <w:t>https://doi.org/10.1016/j.jad.2021.07.005</w:t>
        </w:r>
      </w:hyperlink>
    </w:p>
    <w:p w14:paraId="4782552F"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Dymond, S. (2019). Overcoming avoidance in anxiety disorders: the contributions of pavlovian and operant avoidance extinction methods. </w:t>
      </w:r>
      <w:r w:rsidRPr="009754C6">
        <w:rPr>
          <w:rFonts w:ascii="Arial" w:hAnsi="Arial" w:cs="Arial"/>
          <w:i/>
          <w:iCs/>
          <w:color w:val="222222"/>
          <w:sz w:val="24"/>
          <w:szCs w:val="24"/>
          <w:shd w:val="clear" w:color="auto" w:fill="FFFFFF"/>
        </w:rPr>
        <w:t>Neuroscience &amp; Biobehavioral Reviews, 98</w:t>
      </w:r>
      <w:r w:rsidRPr="009754C6">
        <w:rPr>
          <w:rFonts w:ascii="Arial" w:hAnsi="Arial" w:cs="Arial"/>
          <w:color w:val="222222"/>
          <w:sz w:val="24"/>
          <w:szCs w:val="24"/>
          <w:shd w:val="clear" w:color="auto" w:fill="FFFFFF"/>
        </w:rPr>
        <w:t>, 61-70.</w:t>
      </w:r>
      <w:r w:rsidRPr="009754C6">
        <w:rPr>
          <w:rFonts w:ascii="Arial" w:hAnsi="Arial" w:cs="Arial"/>
          <w:sz w:val="24"/>
          <w:szCs w:val="24"/>
        </w:rPr>
        <w:t xml:space="preserve"> </w:t>
      </w:r>
      <w:hyperlink r:id="rId19" w:history="1">
        <w:r w:rsidRPr="009754C6">
          <w:rPr>
            <w:rStyle w:val="Hyperlink"/>
            <w:rFonts w:ascii="Arial" w:hAnsi="Arial" w:cs="Arial"/>
            <w:sz w:val="24"/>
            <w:szCs w:val="24"/>
            <w:shd w:val="clear" w:color="auto" w:fill="FFFFFF"/>
          </w:rPr>
          <w:t>https://doi.org/10.1016/j.neubiorev.2019.01.007</w:t>
        </w:r>
      </w:hyperlink>
    </w:p>
    <w:p w14:paraId="6E0AC935"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lastRenderedPageBreak/>
        <w:t xml:space="preserve">Faravelli, C., Lo Sauro, C., Godini, L., Lelli, L., Benni, L., Pietrini, F., Lazzeretti, L., Talamba, G. A., Fioravanti, G., &amp; Ricca, V. (2012). Childhood stressful events, HPA axis and anxiety disorders. </w:t>
      </w:r>
      <w:r w:rsidRPr="009754C6">
        <w:rPr>
          <w:rFonts w:ascii="Arial" w:hAnsi="Arial" w:cs="Arial"/>
          <w:i/>
          <w:iCs/>
          <w:color w:val="222222"/>
          <w:sz w:val="24"/>
          <w:szCs w:val="24"/>
          <w:shd w:val="clear" w:color="auto" w:fill="FFFFFF"/>
        </w:rPr>
        <w:t>World Journal of Psychiatry, 2</w:t>
      </w:r>
      <w:r w:rsidRPr="009754C6">
        <w:rPr>
          <w:rFonts w:ascii="Arial" w:hAnsi="Arial" w:cs="Arial"/>
          <w:color w:val="222222"/>
          <w:sz w:val="24"/>
          <w:szCs w:val="24"/>
          <w:shd w:val="clear" w:color="auto" w:fill="FFFFFF"/>
        </w:rPr>
        <w:t xml:space="preserve">(1), 13-25. </w:t>
      </w:r>
      <w:hyperlink r:id="rId20" w:history="1">
        <w:r w:rsidRPr="009754C6">
          <w:rPr>
            <w:rStyle w:val="Hyperlink"/>
            <w:rFonts w:ascii="Arial" w:hAnsi="Arial" w:cs="Arial"/>
            <w:sz w:val="24"/>
            <w:szCs w:val="24"/>
            <w:shd w:val="clear" w:color="auto" w:fill="FFFFFF"/>
          </w:rPr>
          <w:t>https://doi.org/10.5498/wjp.v2.i1.13</w:t>
        </w:r>
      </w:hyperlink>
    </w:p>
    <w:p w14:paraId="2ED5EDFE"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Fazel, M., Hoagwood, K., Stephan, S., &amp; Ford, T. (2014). Mental health interventions in schools 1: mental health interventions in schools in high-income countries. </w:t>
      </w:r>
      <w:r w:rsidRPr="009754C6">
        <w:rPr>
          <w:rFonts w:ascii="Arial" w:hAnsi="Arial" w:cs="Arial"/>
          <w:i/>
          <w:iCs/>
          <w:color w:val="222222"/>
          <w:sz w:val="24"/>
          <w:szCs w:val="24"/>
          <w:shd w:val="clear" w:color="auto" w:fill="FFFFFF"/>
        </w:rPr>
        <w:t>The Lancet. Psychiatry, 1</w:t>
      </w:r>
      <w:r w:rsidRPr="009754C6">
        <w:rPr>
          <w:rFonts w:ascii="Arial" w:hAnsi="Arial" w:cs="Arial"/>
          <w:color w:val="222222"/>
          <w:sz w:val="24"/>
          <w:szCs w:val="24"/>
          <w:shd w:val="clear" w:color="auto" w:fill="FFFFFF"/>
        </w:rPr>
        <w:t>(5), 377-387.</w:t>
      </w:r>
      <w:r w:rsidRPr="009754C6">
        <w:rPr>
          <w:rFonts w:ascii="Arial" w:hAnsi="Arial" w:cs="Arial"/>
          <w:sz w:val="24"/>
          <w:szCs w:val="24"/>
        </w:rPr>
        <w:t xml:space="preserve"> </w:t>
      </w:r>
      <w:hyperlink r:id="rId21" w:history="1">
        <w:r w:rsidRPr="009754C6">
          <w:rPr>
            <w:rStyle w:val="Hyperlink"/>
            <w:rFonts w:ascii="Arial" w:hAnsi="Arial" w:cs="Arial"/>
            <w:sz w:val="24"/>
            <w:szCs w:val="24"/>
            <w:shd w:val="clear" w:color="auto" w:fill="FFFFFF"/>
          </w:rPr>
          <w:t>https://doi.org/10.1016/S2215-0366(14)70312-8</w:t>
        </w:r>
      </w:hyperlink>
    </w:p>
    <w:p w14:paraId="6017E6F0" w14:textId="77777777" w:rsidR="008124C5" w:rsidRPr="009754C6" w:rsidRDefault="008124C5" w:rsidP="007765C2">
      <w:pPr>
        <w:spacing w:line="360" w:lineRule="auto"/>
        <w:ind w:hanging="720"/>
        <w:rPr>
          <w:rFonts w:ascii="Arial" w:hAnsi="Arial" w:cs="Arial"/>
          <w:sz w:val="24"/>
          <w:szCs w:val="24"/>
          <w:lang w:val="en-US"/>
        </w:rPr>
      </w:pPr>
      <w:r w:rsidRPr="009754C6">
        <w:rPr>
          <w:rFonts w:ascii="Arial" w:hAnsi="Arial" w:cs="Arial"/>
          <w:sz w:val="24"/>
          <w:szCs w:val="24"/>
          <w:lang w:val="en-US"/>
        </w:rPr>
        <w:t xml:space="preserve">Felitti, V. J., Anda, R. F., Nordenberg, D., Williamson, D. F., Spitz, A. M., Edwards, V., Koss, M. P., &amp; Marks, J. S. 1998. Relationship of childhood abuse and household dysfunction to many of the leading causes of death in adults: the adverse childhood experiences (ACE) study. </w:t>
      </w:r>
      <w:r w:rsidRPr="009754C6">
        <w:rPr>
          <w:rFonts w:ascii="Arial" w:hAnsi="Arial" w:cs="Arial"/>
          <w:i/>
          <w:iCs/>
          <w:sz w:val="24"/>
          <w:szCs w:val="24"/>
          <w:lang w:val="en-US"/>
        </w:rPr>
        <w:t>American Journal of Preventive Medicine, 14</w:t>
      </w:r>
      <w:r w:rsidRPr="009754C6">
        <w:rPr>
          <w:rFonts w:ascii="Arial" w:hAnsi="Arial" w:cs="Arial"/>
          <w:sz w:val="24"/>
          <w:szCs w:val="24"/>
          <w:lang w:val="en-US"/>
        </w:rPr>
        <w:t>(4), 245-258.</w:t>
      </w:r>
      <w:r w:rsidRPr="009754C6">
        <w:rPr>
          <w:rFonts w:ascii="Arial" w:hAnsi="Arial" w:cs="Arial"/>
          <w:sz w:val="24"/>
          <w:szCs w:val="24"/>
        </w:rPr>
        <w:t xml:space="preserve"> </w:t>
      </w:r>
      <w:hyperlink r:id="rId22" w:history="1">
        <w:r w:rsidRPr="009754C6">
          <w:rPr>
            <w:rStyle w:val="Hyperlink"/>
            <w:rFonts w:ascii="Arial" w:hAnsi="Arial" w:cs="Arial"/>
            <w:sz w:val="24"/>
            <w:szCs w:val="24"/>
            <w:lang w:val="en-US"/>
          </w:rPr>
          <w:t>https://doi.org/10.1016/S0749-3797(98)00017-8</w:t>
        </w:r>
      </w:hyperlink>
    </w:p>
    <w:p w14:paraId="100371D6" w14:textId="77777777" w:rsidR="008124C5" w:rsidRPr="009754C6" w:rsidRDefault="008124C5" w:rsidP="007765C2">
      <w:pPr>
        <w:spacing w:line="360" w:lineRule="auto"/>
        <w:ind w:hanging="720"/>
        <w:rPr>
          <w:rFonts w:ascii="Arial" w:hAnsi="Arial" w:cs="Arial"/>
          <w:sz w:val="24"/>
          <w:szCs w:val="24"/>
        </w:rPr>
      </w:pPr>
      <w:r w:rsidRPr="009754C6">
        <w:rPr>
          <w:rFonts w:ascii="Arial" w:hAnsi="Arial" w:cs="Arial"/>
          <w:sz w:val="24"/>
          <w:szCs w:val="24"/>
        </w:rPr>
        <w:t xml:space="preserve">Franke, H. A. (2014). Toxic stress: effects, prevention and treatment. </w:t>
      </w:r>
      <w:r w:rsidRPr="009754C6">
        <w:rPr>
          <w:rFonts w:ascii="Arial" w:hAnsi="Arial" w:cs="Arial"/>
          <w:i/>
          <w:iCs/>
          <w:sz w:val="24"/>
          <w:szCs w:val="24"/>
        </w:rPr>
        <w:t>Children (Basel, Switzerland), 1</w:t>
      </w:r>
      <w:r w:rsidRPr="009754C6">
        <w:rPr>
          <w:rFonts w:ascii="Arial" w:hAnsi="Arial" w:cs="Arial"/>
          <w:sz w:val="24"/>
          <w:szCs w:val="24"/>
        </w:rPr>
        <w:t xml:space="preserve">(3), 390-402. </w:t>
      </w:r>
      <w:hyperlink r:id="rId23" w:history="1">
        <w:r w:rsidRPr="009754C6">
          <w:rPr>
            <w:rStyle w:val="Hyperlink"/>
            <w:rFonts w:ascii="Arial" w:hAnsi="Arial" w:cs="Arial"/>
            <w:sz w:val="24"/>
            <w:szCs w:val="24"/>
          </w:rPr>
          <w:t>https://doi.org/10.3390/children1030390</w:t>
        </w:r>
      </w:hyperlink>
    </w:p>
    <w:p w14:paraId="6F32E0C0" w14:textId="77777777" w:rsidR="008124C5" w:rsidRPr="009754C6" w:rsidRDefault="008124C5" w:rsidP="007765C2">
      <w:pPr>
        <w:spacing w:line="360" w:lineRule="auto"/>
        <w:ind w:hanging="720"/>
        <w:rPr>
          <w:rFonts w:ascii="Arial" w:hAnsi="Arial" w:cs="Arial"/>
          <w:sz w:val="24"/>
          <w:szCs w:val="24"/>
        </w:rPr>
      </w:pPr>
      <w:r w:rsidRPr="009754C6">
        <w:rPr>
          <w:rFonts w:ascii="Arial" w:hAnsi="Arial" w:cs="Arial"/>
          <w:color w:val="222222"/>
          <w:sz w:val="24"/>
          <w:szCs w:val="24"/>
          <w:shd w:val="clear" w:color="auto" w:fill="FFFFFF"/>
        </w:rPr>
        <w:t xml:space="preserve">Garay, B., Lasarte, G., Corres-Medrano, I., &amp; Santamaria-Goicuria, I. (2024). Why should educators receive training in childhood trauma. </w:t>
      </w:r>
      <w:r w:rsidRPr="009754C6">
        <w:rPr>
          <w:rFonts w:ascii="Arial" w:hAnsi="Arial" w:cs="Arial"/>
          <w:i/>
          <w:iCs/>
          <w:color w:val="222222"/>
          <w:sz w:val="24"/>
          <w:szCs w:val="24"/>
          <w:shd w:val="clear" w:color="auto" w:fill="FFFFFF"/>
        </w:rPr>
        <w:t>Trends in Psychology, 32</w:t>
      </w:r>
      <w:r w:rsidRPr="009754C6">
        <w:rPr>
          <w:rFonts w:ascii="Arial" w:hAnsi="Arial" w:cs="Arial"/>
          <w:color w:val="222222"/>
          <w:sz w:val="24"/>
          <w:szCs w:val="24"/>
          <w:shd w:val="clear" w:color="auto" w:fill="FFFFFF"/>
        </w:rPr>
        <w:t xml:space="preserve">(2), 307-334. </w:t>
      </w:r>
      <w:hyperlink r:id="rId24" w:history="1">
        <w:r w:rsidRPr="009754C6">
          <w:rPr>
            <w:rStyle w:val="Hyperlink"/>
            <w:rFonts w:ascii="Arial" w:hAnsi="Arial" w:cs="Arial"/>
            <w:sz w:val="24"/>
            <w:szCs w:val="24"/>
            <w:shd w:val="clear" w:color="auto" w:fill="FFFFFF"/>
          </w:rPr>
          <w:t>https://doi.org/10.1007/s43076-022-00223-1</w:t>
        </w:r>
      </w:hyperlink>
    </w:p>
    <w:p w14:paraId="0DE526EE"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Garke, M. A., Isacsson, N. H., Kolbeinsson, O., Hesser, H., &amp; Mansson, K. N. T. (2025). Improvements in emotional regulation during cognitive behavioural therapy predict subsequent social anxiety reductions. </w:t>
      </w:r>
      <w:r w:rsidRPr="009754C6">
        <w:rPr>
          <w:rFonts w:ascii="Arial" w:hAnsi="Arial" w:cs="Arial"/>
          <w:i/>
          <w:iCs/>
          <w:color w:val="222222"/>
          <w:sz w:val="24"/>
          <w:szCs w:val="24"/>
          <w:shd w:val="clear" w:color="auto" w:fill="FFFFFF"/>
        </w:rPr>
        <w:t>Cognitive Behaviour Therapy, 54</w:t>
      </w:r>
      <w:r w:rsidRPr="009754C6">
        <w:rPr>
          <w:rFonts w:ascii="Arial" w:hAnsi="Arial" w:cs="Arial"/>
          <w:color w:val="222222"/>
          <w:sz w:val="24"/>
          <w:szCs w:val="24"/>
          <w:shd w:val="clear" w:color="auto" w:fill="FFFFFF"/>
        </w:rPr>
        <w:t xml:space="preserve">(1), 78-95. </w:t>
      </w:r>
      <w:hyperlink r:id="rId25" w:history="1">
        <w:r w:rsidRPr="009754C6">
          <w:rPr>
            <w:rStyle w:val="Hyperlink"/>
            <w:rFonts w:ascii="Arial" w:hAnsi="Arial" w:cs="Arial"/>
            <w:sz w:val="24"/>
            <w:szCs w:val="24"/>
            <w:shd w:val="clear" w:color="auto" w:fill="FFFFFF"/>
          </w:rPr>
          <w:t>https://doi.org/10.1080/16506073.2024.2373784</w:t>
        </w:r>
      </w:hyperlink>
    </w:p>
    <w:p w14:paraId="2B1331A2" w14:textId="77777777" w:rsidR="008124C5" w:rsidRPr="009754C6" w:rsidRDefault="008124C5" w:rsidP="007765C2">
      <w:pPr>
        <w:spacing w:line="360" w:lineRule="auto"/>
        <w:ind w:hanging="720"/>
        <w:rPr>
          <w:rFonts w:ascii="Arial" w:hAnsi="Arial" w:cs="Arial"/>
          <w:sz w:val="24"/>
          <w:szCs w:val="24"/>
        </w:rPr>
      </w:pPr>
      <w:r w:rsidRPr="009754C6">
        <w:rPr>
          <w:rFonts w:ascii="Arial" w:hAnsi="Arial" w:cs="Arial"/>
          <w:sz w:val="24"/>
          <w:szCs w:val="24"/>
        </w:rPr>
        <w:t xml:space="preserve">Gross, J. J. (2002). Emotion regulation: affective cognitive, and social consequences. </w:t>
      </w:r>
      <w:r w:rsidRPr="009754C6">
        <w:rPr>
          <w:rFonts w:ascii="Arial" w:hAnsi="Arial" w:cs="Arial"/>
          <w:i/>
          <w:iCs/>
          <w:sz w:val="24"/>
          <w:szCs w:val="24"/>
        </w:rPr>
        <w:t>Psychophysiology, 39</w:t>
      </w:r>
      <w:r w:rsidRPr="009754C6">
        <w:rPr>
          <w:rFonts w:ascii="Arial" w:hAnsi="Arial" w:cs="Arial"/>
          <w:sz w:val="24"/>
          <w:szCs w:val="24"/>
        </w:rPr>
        <w:t xml:space="preserve">(3), 281-291. </w:t>
      </w:r>
      <w:hyperlink r:id="rId26" w:history="1">
        <w:r w:rsidRPr="009754C6">
          <w:rPr>
            <w:rStyle w:val="Hyperlink"/>
            <w:rFonts w:ascii="Arial" w:hAnsi="Arial" w:cs="Arial"/>
            <w:sz w:val="24"/>
            <w:szCs w:val="24"/>
          </w:rPr>
          <w:t>https://doi.org/10.1017/S0048577201393198</w:t>
        </w:r>
      </w:hyperlink>
    </w:p>
    <w:p w14:paraId="1A63DE08" w14:textId="77777777" w:rsidR="008124C5" w:rsidRPr="009754C6" w:rsidRDefault="008124C5" w:rsidP="007765C2">
      <w:pPr>
        <w:spacing w:line="360" w:lineRule="auto"/>
        <w:ind w:hanging="720"/>
        <w:rPr>
          <w:rFonts w:ascii="Arial" w:hAnsi="Arial" w:cs="Arial"/>
          <w:sz w:val="24"/>
          <w:szCs w:val="24"/>
          <w:lang w:val="en-US"/>
        </w:rPr>
      </w:pPr>
      <w:r w:rsidRPr="009754C6">
        <w:rPr>
          <w:rFonts w:ascii="Arial" w:hAnsi="Arial" w:cs="Arial"/>
          <w:sz w:val="24"/>
          <w:szCs w:val="24"/>
          <w:lang w:val="en-US"/>
        </w:rPr>
        <w:t xml:space="preserve">Gu, W., Zhao, Q., Yuan, C., Yi, Z., Zhao, M., &amp; Wang, Z. (2022). Impact of adverse childhood experiences on the symptom severity of different mental disorders: a cross-diagnostic study. </w:t>
      </w:r>
      <w:r w:rsidRPr="009754C6">
        <w:rPr>
          <w:rFonts w:ascii="Arial" w:hAnsi="Arial" w:cs="Arial"/>
          <w:i/>
          <w:iCs/>
          <w:sz w:val="24"/>
          <w:szCs w:val="24"/>
          <w:lang w:val="en-US"/>
        </w:rPr>
        <w:t>General Psychiatry, 35</w:t>
      </w:r>
      <w:r w:rsidRPr="009754C6">
        <w:rPr>
          <w:rFonts w:ascii="Arial" w:hAnsi="Arial" w:cs="Arial"/>
          <w:sz w:val="24"/>
          <w:szCs w:val="24"/>
          <w:lang w:val="en-US"/>
        </w:rPr>
        <w:t xml:space="preserve">(2), e100741. </w:t>
      </w:r>
      <w:hyperlink r:id="rId27" w:history="1">
        <w:r w:rsidRPr="009754C6">
          <w:rPr>
            <w:rStyle w:val="Hyperlink"/>
            <w:rFonts w:ascii="Arial" w:hAnsi="Arial" w:cs="Arial"/>
            <w:sz w:val="24"/>
            <w:szCs w:val="24"/>
            <w:lang w:val="en-US"/>
          </w:rPr>
          <w:t>https://doi.org/10.1136/gpsych-2021-100741</w:t>
        </w:r>
      </w:hyperlink>
    </w:p>
    <w:p w14:paraId="0449AC01" w14:textId="77777777" w:rsidR="008124C5" w:rsidRPr="009754C6" w:rsidRDefault="008124C5" w:rsidP="007765C2">
      <w:pPr>
        <w:spacing w:line="360" w:lineRule="auto"/>
        <w:ind w:hanging="720"/>
        <w:rPr>
          <w:rFonts w:ascii="Arial" w:hAnsi="Arial" w:cs="Arial"/>
          <w:sz w:val="24"/>
          <w:szCs w:val="24"/>
        </w:rPr>
      </w:pPr>
      <w:r w:rsidRPr="009754C6">
        <w:rPr>
          <w:rFonts w:ascii="Arial" w:hAnsi="Arial" w:cs="Arial"/>
          <w:sz w:val="24"/>
          <w:szCs w:val="24"/>
        </w:rPr>
        <w:t xml:space="preserve">Hamstra, C., &amp; Fitzgerald, M. (2022). Longitudinal effects from childhood abuse to bullying perpetration in adolescence: the role of mental health and social problems. </w:t>
      </w:r>
      <w:r w:rsidRPr="009754C6">
        <w:rPr>
          <w:rFonts w:ascii="Arial" w:hAnsi="Arial" w:cs="Arial"/>
          <w:i/>
          <w:iCs/>
          <w:sz w:val="24"/>
          <w:szCs w:val="24"/>
        </w:rPr>
        <w:t xml:space="preserve">Journal </w:t>
      </w:r>
      <w:r w:rsidRPr="009754C6">
        <w:rPr>
          <w:rFonts w:ascii="Arial" w:hAnsi="Arial" w:cs="Arial"/>
          <w:i/>
          <w:iCs/>
          <w:sz w:val="24"/>
          <w:szCs w:val="24"/>
        </w:rPr>
        <w:lastRenderedPageBreak/>
        <w:t>of Child &amp; Adolescent Trauma, 15</w:t>
      </w:r>
      <w:r w:rsidRPr="009754C6">
        <w:rPr>
          <w:rFonts w:ascii="Arial" w:hAnsi="Arial" w:cs="Arial"/>
          <w:sz w:val="24"/>
          <w:szCs w:val="24"/>
        </w:rPr>
        <w:t>(3), 869-881.</w:t>
      </w:r>
      <w:r w:rsidRPr="009754C6">
        <w:rPr>
          <w:rFonts w:ascii="Arial" w:hAnsi="Arial" w:cs="Arial"/>
          <w:color w:val="222222"/>
          <w:sz w:val="24"/>
          <w:szCs w:val="24"/>
          <w:shd w:val="clear" w:color="auto" w:fill="FFFFFF"/>
        </w:rPr>
        <w:t xml:space="preserve"> </w:t>
      </w:r>
      <w:hyperlink r:id="rId28" w:history="1">
        <w:r w:rsidRPr="009754C6">
          <w:rPr>
            <w:rStyle w:val="Hyperlink"/>
            <w:rFonts w:ascii="Arial" w:hAnsi="Arial" w:cs="Arial"/>
            <w:sz w:val="24"/>
            <w:szCs w:val="24"/>
            <w:shd w:val="clear" w:color="auto" w:fill="FFFFFF"/>
          </w:rPr>
          <w:t>https://doi.org/10.1007/s40653-021-00409-2</w:t>
        </w:r>
      </w:hyperlink>
    </w:p>
    <w:p w14:paraId="195866B3" w14:textId="77777777" w:rsidR="008124C5" w:rsidRPr="009754C6" w:rsidRDefault="008124C5" w:rsidP="007765C2">
      <w:pPr>
        <w:spacing w:line="360" w:lineRule="auto"/>
        <w:ind w:hanging="720"/>
        <w:rPr>
          <w:rFonts w:ascii="Arial" w:hAnsi="Arial" w:cs="Arial"/>
          <w:sz w:val="24"/>
          <w:szCs w:val="24"/>
        </w:rPr>
      </w:pPr>
      <w:r w:rsidRPr="009754C6">
        <w:rPr>
          <w:rFonts w:ascii="Arial" w:hAnsi="Arial" w:cs="Arial"/>
          <w:sz w:val="24"/>
          <w:szCs w:val="24"/>
        </w:rPr>
        <w:t xml:space="preserve">Hilberdink, C. E., Van Zuiden, M., Olff, M., Roseboom, T. J., &amp; De Rooij, S. R. (2023). The impact of adversities across the lifespan on psychological symptom profiles in late adulthood: a latent profile analysis. </w:t>
      </w:r>
      <w:r w:rsidRPr="009754C6">
        <w:rPr>
          <w:rFonts w:ascii="Arial" w:hAnsi="Arial" w:cs="Arial"/>
          <w:i/>
          <w:iCs/>
          <w:sz w:val="24"/>
          <w:szCs w:val="24"/>
        </w:rPr>
        <w:t>Journal of Developmental Origins of Health and Disease, 14</w:t>
      </w:r>
      <w:r w:rsidRPr="009754C6">
        <w:rPr>
          <w:rFonts w:ascii="Arial" w:hAnsi="Arial" w:cs="Arial"/>
          <w:sz w:val="24"/>
          <w:szCs w:val="24"/>
        </w:rPr>
        <w:t xml:space="preserve">(4), 508-522. </w:t>
      </w:r>
      <w:hyperlink r:id="rId29" w:history="1">
        <w:r w:rsidRPr="009754C6">
          <w:rPr>
            <w:rStyle w:val="Hyperlink"/>
            <w:rFonts w:ascii="Arial" w:hAnsi="Arial" w:cs="Arial"/>
            <w:sz w:val="24"/>
            <w:szCs w:val="24"/>
          </w:rPr>
          <w:t>https://doi.org/10.1017/s2040174423000181</w:t>
        </w:r>
      </w:hyperlink>
    </w:p>
    <w:p w14:paraId="6F68ADAD"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Hofmann, S. G., &amp; Hay, A. C. (2018). Rethinking avoidance: towards a balanced approach to avoidance in treating anxiety disorders. </w:t>
      </w:r>
      <w:r w:rsidRPr="009754C6">
        <w:rPr>
          <w:rFonts w:ascii="Arial" w:hAnsi="Arial" w:cs="Arial"/>
          <w:i/>
          <w:iCs/>
          <w:color w:val="222222"/>
          <w:sz w:val="24"/>
          <w:szCs w:val="24"/>
          <w:shd w:val="clear" w:color="auto" w:fill="FFFFFF"/>
        </w:rPr>
        <w:t>Journal of Anxiety Disorders, 55</w:t>
      </w:r>
      <w:r w:rsidRPr="009754C6">
        <w:rPr>
          <w:rFonts w:ascii="Arial" w:hAnsi="Arial" w:cs="Arial"/>
          <w:color w:val="222222"/>
          <w:sz w:val="24"/>
          <w:szCs w:val="24"/>
          <w:shd w:val="clear" w:color="auto" w:fill="FFFFFF"/>
        </w:rPr>
        <w:t xml:space="preserve">, 14-21. </w:t>
      </w:r>
      <w:hyperlink r:id="rId30" w:history="1">
        <w:r w:rsidRPr="009754C6">
          <w:rPr>
            <w:rStyle w:val="Hyperlink"/>
            <w:rFonts w:ascii="Arial" w:hAnsi="Arial" w:cs="Arial"/>
            <w:sz w:val="24"/>
            <w:szCs w:val="24"/>
            <w:shd w:val="clear" w:color="auto" w:fill="FFFFFF"/>
          </w:rPr>
          <w:t>https://doi.org/10.1016/j.janxdis.2018.03.004</w:t>
        </w:r>
      </w:hyperlink>
    </w:p>
    <w:p w14:paraId="1DDBBF16"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Hofmann, S. G., Asnaani, A., Vonk, I. J., Sawyer, A., T., &amp; Fang, A. (2012). The efficacy of cognitive behavioural therapy: a review of meta-analyses. </w:t>
      </w:r>
      <w:r w:rsidRPr="009754C6">
        <w:rPr>
          <w:rFonts w:ascii="Arial" w:hAnsi="Arial" w:cs="Arial"/>
          <w:i/>
          <w:iCs/>
          <w:color w:val="222222"/>
          <w:sz w:val="24"/>
          <w:szCs w:val="24"/>
          <w:shd w:val="clear" w:color="auto" w:fill="FFFFFF"/>
        </w:rPr>
        <w:t>Cognitive Therapy and Research, 36</w:t>
      </w:r>
      <w:r w:rsidRPr="009754C6">
        <w:rPr>
          <w:rFonts w:ascii="Arial" w:hAnsi="Arial" w:cs="Arial"/>
          <w:color w:val="222222"/>
          <w:sz w:val="24"/>
          <w:szCs w:val="24"/>
          <w:shd w:val="clear" w:color="auto" w:fill="FFFFFF"/>
        </w:rPr>
        <w:t xml:space="preserve">(5), 427-440. </w:t>
      </w:r>
      <w:hyperlink r:id="rId31" w:history="1">
        <w:r w:rsidRPr="009754C6">
          <w:rPr>
            <w:rStyle w:val="Hyperlink"/>
            <w:rFonts w:ascii="Arial" w:hAnsi="Arial" w:cs="Arial"/>
            <w:sz w:val="24"/>
            <w:szCs w:val="24"/>
            <w:shd w:val="clear" w:color="auto" w:fill="FFFFFF"/>
          </w:rPr>
          <w:t>https://doi.org/10.1007/s10608-012-9476-1</w:t>
        </w:r>
      </w:hyperlink>
    </w:p>
    <w:p w14:paraId="123E5E93"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Holahan, C. J., Moos, R. H., Holahan, C. K., Brennan, P. L., &amp; Schutte, K. K. (2005). Stress generation, avoidance coping, and depressive symptoms: a 10-year model. </w:t>
      </w:r>
      <w:r w:rsidRPr="009754C6">
        <w:rPr>
          <w:rFonts w:ascii="Arial" w:hAnsi="Arial" w:cs="Arial"/>
          <w:i/>
          <w:iCs/>
          <w:color w:val="222222"/>
          <w:sz w:val="24"/>
          <w:szCs w:val="24"/>
          <w:shd w:val="clear" w:color="auto" w:fill="FFFFFF"/>
        </w:rPr>
        <w:t>Journal of Consulting and Clinical Psychology, 73</w:t>
      </w:r>
      <w:r w:rsidRPr="009754C6">
        <w:rPr>
          <w:rFonts w:ascii="Arial" w:hAnsi="Arial" w:cs="Arial"/>
          <w:color w:val="222222"/>
          <w:sz w:val="24"/>
          <w:szCs w:val="24"/>
          <w:shd w:val="clear" w:color="auto" w:fill="FFFFFF"/>
        </w:rPr>
        <w:t xml:space="preserve">(4), 658-666.  </w:t>
      </w:r>
      <w:hyperlink r:id="rId32" w:history="1">
        <w:r w:rsidRPr="009754C6">
          <w:rPr>
            <w:rStyle w:val="Hyperlink"/>
            <w:rFonts w:ascii="Arial" w:hAnsi="Arial" w:cs="Arial"/>
            <w:sz w:val="24"/>
            <w:szCs w:val="24"/>
            <w:shd w:val="clear" w:color="auto" w:fill="FFFFFF"/>
          </w:rPr>
          <w:t>https://doi.org/10.1037/0022-006X.73.4.658</w:t>
        </w:r>
      </w:hyperlink>
    </w:p>
    <w:p w14:paraId="7DBEEDFD"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Hutzell, K. L., &amp; Payne, A. A. (2018). The relationship between bullying victimization and school avoidance: an examination of direct associations, protective influences, and aggravating factors. </w:t>
      </w:r>
      <w:r w:rsidRPr="009754C6">
        <w:rPr>
          <w:rFonts w:ascii="Arial" w:hAnsi="Arial" w:cs="Arial"/>
          <w:i/>
          <w:iCs/>
          <w:color w:val="222222"/>
          <w:sz w:val="24"/>
          <w:szCs w:val="24"/>
          <w:shd w:val="clear" w:color="auto" w:fill="FFFFFF"/>
        </w:rPr>
        <w:t>Journal of School Violence, 17</w:t>
      </w:r>
      <w:r w:rsidRPr="009754C6">
        <w:rPr>
          <w:rFonts w:ascii="Arial" w:hAnsi="Arial" w:cs="Arial"/>
          <w:color w:val="222222"/>
          <w:sz w:val="24"/>
          <w:szCs w:val="24"/>
          <w:shd w:val="clear" w:color="auto" w:fill="FFFFFF"/>
        </w:rPr>
        <w:t xml:space="preserve">(2), 210-226. </w:t>
      </w:r>
      <w:hyperlink r:id="rId33" w:history="1">
        <w:r w:rsidRPr="009754C6">
          <w:rPr>
            <w:rStyle w:val="Hyperlink"/>
            <w:rFonts w:ascii="Arial" w:hAnsi="Arial" w:cs="Arial"/>
            <w:sz w:val="24"/>
            <w:szCs w:val="24"/>
            <w:shd w:val="clear" w:color="auto" w:fill="FFFFFF"/>
          </w:rPr>
          <w:t>https://doi.org/10.1080/15388220.2017.1296771</w:t>
        </w:r>
      </w:hyperlink>
    </w:p>
    <w:p w14:paraId="20BCF2C8" w14:textId="77777777" w:rsidR="008124C5" w:rsidRPr="009754C6" w:rsidRDefault="008124C5" w:rsidP="007765C2">
      <w:pPr>
        <w:spacing w:line="360" w:lineRule="auto"/>
        <w:ind w:hanging="720"/>
        <w:rPr>
          <w:rFonts w:ascii="Arial" w:hAnsi="Arial" w:cs="Arial"/>
          <w:sz w:val="24"/>
          <w:szCs w:val="24"/>
        </w:rPr>
      </w:pPr>
      <w:r w:rsidRPr="009754C6">
        <w:rPr>
          <w:rFonts w:ascii="Arial" w:hAnsi="Arial" w:cs="Arial"/>
          <w:sz w:val="24"/>
          <w:szCs w:val="24"/>
        </w:rPr>
        <w:t xml:space="preserve">Jani, S., Johnson, R. S., Banu, S., &amp; Shah, A. (2016). Cross-cultural bias in the diagnosis of borderline personality disorder. </w:t>
      </w:r>
      <w:r w:rsidRPr="009754C6">
        <w:rPr>
          <w:rFonts w:ascii="Arial" w:hAnsi="Arial" w:cs="Arial"/>
          <w:i/>
          <w:iCs/>
          <w:sz w:val="24"/>
          <w:szCs w:val="24"/>
        </w:rPr>
        <w:t>Bulletin of the Manninger Clinic, 80</w:t>
      </w:r>
      <w:r w:rsidRPr="009754C6">
        <w:rPr>
          <w:rFonts w:ascii="Arial" w:hAnsi="Arial" w:cs="Arial"/>
          <w:sz w:val="24"/>
          <w:szCs w:val="24"/>
        </w:rPr>
        <w:t xml:space="preserve">(2), 146-165. </w:t>
      </w:r>
      <w:hyperlink r:id="rId34" w:history="1">
        <w:r w:rsidRPr="009754C6">
          <w:rPr>
            <w:rStyle w:val="Hyperlink"/>
            <w:rFonts w:ascii="Arial" w:hAnsi="Arial" w:cs="Arial"/>
            <w:sz w:val="24"/>
            <w:szCs w:val="24"/>
          </w:rPr>
          <w:t>https://doi.org/10.1521/bumc.2016.80.2.146</w:t>
        </w:r>
      </w:hyperlink>
    </w:p>
    <w:p w14:paraId="0BBA9D7A" w14:textId="77777777" w:rsidR="008124C5" w:rsidRPr="009754C6" w:rsidRDefault="008124C5" w:rsidP="007765C2">
      <w:pPr>
        <w:spacing w:line="360" w:lineRule="auto"/>
        <w:ind w:hanging="720"/>
        <w:rPr>
          <w:rFonts w:ascii="Arial" w:hAnsi="Arial" w:cs="Arial"/>
          <w:sz w:val="24"/>
          <w:szCs w:val="24"/>
        </w:rPr>
      </w:pPr>
      <w:r w:rsidRPr="009754C6">
        <w:rPr>
          <w:rFonts w:ascii="Arial" w:hAnsi="Arial" w:cs="Arial"/>
          <w:sz w:val="24"/>
          <w:szCs w:val="24"/>
        </w:rPr>
        <w:t xml:space="preserve">Joos, C. M., McDonald, A., &amp; Wadsworth, M. E. (2019). Extending the toxic stress model into adolescence profiles of cortisol reactivity. </w:t>
      </w:r>
      <w:r w:rsidRPr="009754C6">
        <w:rPr>
          <w:rFonts w:ascii="Arial" w:hAnsi="Arial" w:cs="Arial"/>
          <w:i/>
          <w:iCs/>
          <w:sz w:val="24"/>
          <w:szCs w:val="24"/>
        </w:rPr>
        <w:t>Psychoneuroendocrinology, 107</w:t>
      </w:r>
      <w:r w:rsidRPr="009754C6">
        <w:rPr>
          <w:rFonts w:ascii="Arial" w:hAnsi="Arial" w:cs="Arial"/>
          <w:sz w:val="24"/>
          <w:szCs w:val="24"/>
        </w:rPr>
        <w:t xml:space="preserve">, 46-58. </w:t>
      </w:r>
      <w:hyperlink r:id="rId35" w:history="1">
        <w:r w:rsidRPr="009754C6">
          <w:rPr>
            <w:rStyle w:val="Hyperlink"/>
            <w:rFonts w:ascii="Arial" w:hAnsi="Arial" w:cs="Arial"/>
            <w:sz w:val="24"/>
            <w:szCs w:val="24"/>
          </w:rPr>
          <w:t>https://doi.org/10.1016/j.psyneuen.2019.05.002</w:t>
        </w:r>
      </w:hyperlink>
    </w:p>
    <w:p w14:paraId="11381B5A"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Kaku, S. M., Sibeoni, J., Basheer, S., Chang, J. P., Dahanayake, D. M. A., Irarrazaval, M., Lachman, J. M., Mapayi, B. M., Mejia, A., Orri, M., Jui-Goh, T., Uddin, M. S., &amp; Vallance, I. (2022). Global child and adolescent mental health perspectives: bringing </w:t>
      </w:r>
      <w:r w:rsidRPr="009754C6">
        <w:rPr>
          <w:rFonts w:ascii="Arial" w:hAnsi="Arial" w:cs="Arial"/>
          <w:color w:val="222222"/>
          <w:sz w:val="24"/>
          <w:szCs w:val="24"/>
          <w:shd w:val="clear" w:color="auto" w:fill="FFFFFF"/>
        </w:rPr>
        <w:lastRenderedPageBreak/>
        <w:t xml:space="preserve">change locally, while thinking globally. Child and Adolescent Psychiatry and Mental Health, 16(1), 82. </w:t>
      </w:r>
      <w:hyperlink r:id="rId36" w:history="1">
        <w:r w:rsidRPr="009754C6">
          <w:rPr>
            <w:rStyle w:val="Hyperlink"/>
            <w:rFonts w:ascii="Arial" w:hAnsi="Arial" w:cs="Arial"/>
            <w:sz w:val="24"/>
            <w:szCs w:val="24"/>
            <w:shd w:val="clear" w:color="auto" w:fill="FFFFFF"/>
          </w:rPr>
          <w:t>https://doi.org/10.1186/s13034-022-00512-8</w:t>
        </w:r>
      </w:hyperlink>
    </w:p>
    <w:p w14:paraId="307E10DB" w14:textId="77777777" w:rsidR="008124C5" w:rsidRPr="009754C6" w:rsidRDefault="008124C5" w:rsidP="007765C2">
      <w:pPr>
        <w:spacing w:line="360" w:lineRule="auto"/>
        <w:ind w:hanging="720"/>
        <w:rPr>
          <w:rFonts w:ascii="Arial" w:hAnsi="Arial" w:cs="Arial"/>
          <w:sz w:val="24"/>
          <w:szCs w:val="24"/>
        </w:rPr>
      </w:pPr>
      <w:r w:rsidRPr="009754C6">
        <w:rPr>
          <w:rFonts w:ascii="Arial" w:hAnsi="Arial" w:cs="Arial"/>
          <w:sz w:val="24"/>
          <w:szCs w:val="24"/>
        </w:rPr>
        <w:t xml:space="preserve">Krushas, A. E., &amp; Schwartz, J. A. (2022). An examination of the components of toxic stress in childhood and biological markers of physical health in emerging adulthood. </w:t>
      </w:r>
      <w:r w:rsidRPr="009754C6">
        <w:rPr>
          <w:rFonts w:ascii="Arial" w:hAnsi="Arial" w:cs="Arial"/>
          <w:i/>
          <w:iCs/>
          <w:sz w:val="24"/>
          <w:szCs w:val="24"/>
        </w:rPr>
        <w:t>Journal of Child &amp; Adolescent Trauma, 15</w:t>
      </w:r>
      <w:r w:rsidRPr="009754C6">
        <w:rPr>
          <w:rFonts w:ascii="Arial" w:hAnsi="Arial" w:cs="Arial"/>
          <w:sz w:val="24"/>
          <w:szCs w:val="24"/>
        </w:rPr>
        <w:t xml:space="preserve">(1), 105-119. </w:t>
      </w:r>
      <w:hyperlink r:id="rId37" w:history="1">
        <w:r w:rsidRPr="009754C6">
          <w:rPr>
            <w:rStyle w:val="Hyperlink"/>
            <w:rFonts w:ascii="Arial" w:hAnsi="Arial" w:cs="Arial"/>
            <w:sz w:val="24"/>
            <w:szCs w:val="24"/>
          </w:rPr>
          <w:t>https://doi.org/10.1007/s40653-022-00436-7</w:t>
        </w:r>
      </w:hyperlink>
    </w:p>
    <w:p w14:paraId="6F596E22"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Labrenz, F., Woud, M. L., Elsenbruch, S., &amp; Icenhour, A. (2022). The good, the bad, and the ugly-chances, challenges, and clinical implications of avoidance research in psychosomatic medicine. </w:t>
      </w:r>
      <w:r w:rsidRPr="009754C6">
        <w:rPr>
          <w:rFonts w:ascii="Arial" w:hAnsi="Arial" w:cs="Arial"/>
          <w:i/>
          <w:iCs/>
          <w:color w:val="222222"/>
          <w:sz w:val="24"/>
          <w:szCs w:val="24"/>
          <w:shd w:val="clear" w:color="auto" w:fill="FFFFFF"/>
        </w:rPr>
        <w:t>Frontiers in Psychiatry, 13</w:t>
      </w:r>
      <w:r w:rsidRPr="009754C6">
        <w:rPr>
          <w:rFonts w:ascii="Arial" w:hAnsi="Arial" w:cs="Arial"/>
          <w:color w:val="222222"/>
          <w:sz w:val="24"/>
          <w:szCs w:val="24"/>
          <w:shd w:val="clear" w:color="auto" w:fill="FFFFFF"/>
        </w:rPr>
        <w:t xml:space="preserve">, 841734. </w:t>
      </w:r>
      <w:hyperlink r:id="rId38" w:history="1">
        <w:r w:rsidRPr="009754C6">
          <w:rPr>
            <w:rStyle w:val="Hyperlink"/>
            <w:rFonts w:ascii="Arial" w:hAnsi="Arial" w:cs="Arial"/>
            <w:sz w:val="24"/>
            <w:szCs w:val="24"/>
            <w:shd w:val="clear" w:color="auto" w:fill="FFFFFF"/>
          </w:rPr>
          <w:t>https://doi.org/10.3389/fpsyt.2022.841734</w:t>
        </w:r>
      </w:hyperlink>
    </w:p>
    <w:p w14:paraId="54E3009E" w14:textId="77777777" w:rsidR="008124C5" w:rsidRPr="009754C6" w:rsidRDefault="008124C5" w:rsidP="007765C2">
      <w:pPr>
        <w:spacing w:line="360" w:lineRule="auto"/>
        <w:ind w:hanging="720"/>
        <w:rPr>
          <w:rFonts w:ascii="Arial" w:hAnsi="Arial" w:cs="Arial"/>
          <w:sz w:val="24"/>
          <w:szCs w:val="24"/>
          <w:lang w:val="en-US"/>
        </w:rPr>
      </w:pPr>
      <w:r w:rsidRPr="009754C6">
        <w:rPr>
          <w:rFonts w:ascii="Arial" w:hAnsi="Arial" w:cs="Arial"/>
          <w:sz w:val="24"/>
          <w:szCs w:val="24"/>
          <w:lang w:val="en-US"/>
        </w:rPr>
        <w:t xml:space="preserve">McEwen, B. S. (2007). Physiology and neurobiology of stress and adaptation: central role of the brain. </w:t>
      </w:r>
      <w:r w:rsidRPr="009754C6">
        <w:rPr>
          <w:rFonts w:ascii="Arial" w:hAnsi="Arial" w:cs="Arial"/>
          <w:i/>
          <w:iCs/>
          <w:sz w:val="24"/>
          <w:szCs w:val="24"/>
          <w:lang w:val="en-US"/>
        </w:rPr>
        <w:t>Physiological review, 87</w:t>
      </w:r>
      <w:r w:rsidRPr="009754C6">
        <w:rPr>
          <w:rFonts w:ascii="Arial" w:hAnsi="Arial" w:cs="Arial"/>
          <w:sz w:val="24"/>
          <w:szCs w:val="24"/>
          <w:lang w:val="en-US"/>
        </w:rPr>
        <w:t xml:space="preserve">(3). 873-904. </w:t>
      </w:r>
      <w:hyperlink r:id="rId39" w:history="1">
        <w:r w:rsidRPr="009754C6">
          <w:rPr>
            <w:rStyle w:val="Hyperlink"/>
            <w:rFonts w:ascii="Arial" w:hAnsi="Arial" w:cs="Arial"/>
            <w:sz w:val="24"/>
            <w:szCs w:val="24"/>
            <w:lang w:val="en-US"/>
          </w:rPr>
          <w:t>https://doi.org/10.1152/physrev.00041.2006</w:t>
        </w:r>
      </w:hyperlink>
    </w:p>
    <w:p w14:paraId="239B8764"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sz w:val="24"/>
          <w:szCs w:val="24"/>
          <w:lang w:val="en-US"/>
        </w:rPr>
        <w:t xml:space="preserve">Myklestad, I., &amp; Straiton, M. (2021). The relationship between self-harm and bullying behaviour: results from a population based study of adolescents. </w:t>
      </w:r>
      <w:r w:rsidRPr="009754C6">
        <w:rPr>
          <w:rFonts w:ascii="Arial" w:hAnsi="Arial" w:cs="Arial"/>
          <w:i/>
          <w:iCs/>
          <w:sz w:val="24"/>
          <w:szCs w:val="24"/>
          <w:lang w:val="en-US"/>
        </w:rPr>
        <w:t>BMC Public Health, 21</w:t>
      </w:r>
      <w:r w:rsidRPr="009754C6">
        <w:rPr>
          <w:rFonts w:ascii="Arial" w:hAnsi="Arial" w:cs="Arial"/>
          <w:sz w:val="24"/>
          <w:szCs w:val="24"/>
          <w:lang w:val="en-US"/>
        </w:rPr>
        <w:t xml:space="preserve">, 1-15. </w:t>
      </w:r>
      <w:hyperlink r:id="rId40" w:history="1">
        <w:r w:rsidRPr="009754C6">
          <w:rPr>
            <w:rStyle w:val="Hyperlink"/>
            <w:rFonts w:ascii="Arial" w:hAnsi="Arial" w:cs="Arial"/>
            <w:sz w:val="24"/>
            <w:szCs w:val="24"/>
            <w:shd w:val="clear" w:color="auto" w:fill="FFFFFF"/>
          </w:rPr>
          <w:t>https://doi.org/10.1186/s12889-021-10555-9</w:t>
        </w:r>
      </w:hyperlink>
    </w:p>
    <w:p w14:paraId="20A5C093"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Ong, E., &amp; Thompson, C. (2019). The importance of coping and emotional regulation in the occurrence of suicidal behaviour. </w:t>
      </w:r>
      <w:r w:rsidRPr="009754C6">
        <w:rPr>
          <w:rFonts w:ascii="Arial" w:hAnsi="Arial" w:cs="Arial"/>
          <w:i/>
          <w:iCs/>
          <w:color w:val="222222"/>
          <w:sz w:val="24"/>
          <w:szCs w:val="24"/>
          <w:shd w:val="clear" w:color="auto" w:fill="FFFFFF"/>
        </w:rPr>
        <w:t>Psychological reports, 122</w:t>
      </w:r>
      <w:r w:rsidRPr="009754C6">
        <w:rPr>
          <w:rFonts w:ascii="Arial" w:hAnsi="Arial" w:cs="Arial"/>
          <w:color w:val="222222"/>
          <w:sz w:val="24"/>
          <w:szCs w:val="24"/>
          <w:shd w:val="clear" w:color="auto" w:fill="FFFFFF"/>
        </w:rPr>
        <w:t xml:space="preserve">(4), 1192-1210. </w:t>
      </w:r>
      <w:hyperlink r:id="rId41" w:history="1">
        <w:r w:rsidRPr="009754C6">
          <w:rPr>
            <w:rStyle w:val="Hyperlink"/>
            <w:rFonts w:ascii="Arial" w:hAnsi="Arial" w:cs="Arial"/>
            <w:sz w:val="24"/>
            <w:szCs w:val="24"/>
            <w:shd w:val="clear" w:color="auto" w:fill="FFFFFF"/>
          </w:rPr>
          <w:t>https://doi.org/10.1177/0033294118781855</w:t>
        </w:r>
      </w:hyperlink>
    </w:p>
    <w:p w14:paraId="11D9988E" w14:textId="77777777" w:rsidR="008124C5" w:rsidRPr="009754C6" w:rsidRDefault="008124C5" w:rsidP="007765C2">
      <w:pPr>
        <w:spacing w:line="360" w:lineRule="auto"/>
        <w:ind w:hanging="720"/>
        <w:rPr>
          <w:rFonts w:ascii="Arial" w:hAnsi="Arial" w:cs="Arial"/>
          <w:sz w:val="24"/>
          <w:szCs w:val="24"/>
          <w:lang w:val="en-US"/>
        </w:rPr>
      </w:pPr>
      <w:r w:rsidRPr="009754C6">
        <w:rPr>
          <w:rFonts w:ascii="Arial" w:hAnsi="Arial" w:cs="Arial"/>
          <w:sz w:val="24"/>
          <w:szCs w:val="24"/>
          <w:lang w:val="en-US"/>
        </w:rPr>
        <w:t xml:space="preserve">Ostberg, V., Laftman, S. B., Modin, B., &amp; Lindfors, P. (2018). Bullying as a stressor in mid-adolescent girls and boys- associations with perceived stress, recurrent pain, and salivary cortisol. </w:t>
      </w:r>
      <w:r w:rsidRPr="009754C6">
        <w:rPr>
          <w:rFonts w:ascii="Arial" w:hAnsi="Arial" w:cs="Arial"/>
          <w:i/>
          <w:iCs/>
          <w:sz w:val="24"/>
          <w:szCs w:val="24"/>
          <w:lang w:val="en-US"/>
        </w:rPr>
        <w:t>International Journal of Environmental Research and Public Health, 15</w:t>
      </w:r>
      <w:r w:rsidRPr="009754C6">
        <w:rPr>
          <w:rFonts w:ascii="Arial" w:hAnsi="Arial" w:cs="Arial"/>
          <w:sz w:val="24"/>
          <w:szCs w:val="24"/>
          <w:lang w:val="en-US"/>
        </w:rPr>
        <w:t xml:space="preserve">(2), 364. </w:t>
      </w:r>
      <w:hyperlink r:id="rId42" w:history="1">
        <w:r w:rsidRPr="009754C6">
          <w:rPr>
            <w:rStyle w:val="Hyperlink"/>
            <w:rFonts w:ascii="Arial" w:hAnsi="Arial" w:cs="Arial"/>
            <w:sz w:val="24"/>
            <w:szCs w:val="24"/>
            <w:lang w:val="en-US"/>
          </w:rPr>
          <w:t>https://doi.org/10.3390/ijerph15020364</w:t>
        </w:r>
      </w:hyperlink>
    </w:p>
    <w:p w14:paraId="63BE2832" w14:textId="77777777" w:rsidR="008124C5" w:rsidRPr="009754C6" w:rsidRDefault="008124C5" w:rsidP="007765C2">
      <w:pPr>
        <w:spacing w:line="360" w:lineRule="auto"/>
        <w:ind w:hanging="720"/>
        <w:rPr>
          <w:rFonts w:ascii="Arial" w:hAnsi="Arial" w:cs="Arial"/>
          <w:sz w:val="24"/>
          <w:szCs w:val="24"/>
        </w:rPr>
      </w:pPr>
      <w:r w:rsidRPr="009754C6">
        <w:rPr>
          <w:rFonts w:ascii="Arial" w:hAnsi="Arial" w:cs="Arial"/>
          <w:color w:val="222222"/>
          <w:sz w:val="24"/>
          <w:szCs w:val="24"/>
          <w:shd w:val="clear" w:color="auto" w:fill="FFFFFF"/>
        </w:rPr>
        <w:t xml:space="preserve">Ozbay, F., Johnson, D. C., Dimoulas, E., Morgan, C. A., Charney, D., &amp; Southwick, S. (2007). Social support and resilience to stress: from neurobiological to clinical practice. </w:t>
      </w:r>
      <w:r w:rsidRPr="009754C6">
        <w:rPr>
          <w:rFonts w:ascii="Arial" w:hAnsi="Arial" w:cs="Arial"/>
          <w:i/>
          <w:iCs/>
          <w:color w:val="222222"/>
          <w:sz w:val="24"/>
          <w:szCs w:val="24"/>
          <w:shd w:val="clear" w:color="auto" w:fill="FFFFFF"/>
        </w:rPr>
        <w:t>Psychiatry, 4</w:t>
      </w:r>
      <w:r w:rsidRPr="009754C6">
        <w:rPr>
          <w:rFonts w:ascii="Arial" w:hAnsi="Arial" w:cs="Arial"/>
          <w:color w:val="222222"/>
          <w:sz w:val="24"/>
          <w:szCs w:val="24"/>
          <w:shd w:val="clear" w:color="auto" w:fill="FFFFFF"/>
        </w:rPr>
        <w:t xml:space="preserve">(5), 35-40. </w:t>
      </w:r>
      <w:hyperlink r:id="rId43" w:history="1">
        <w:r w:rsidRPr="009754C6">
          <w:rPr>
            <w:rFonts w:ascii="Arial" w:hAnsi="Arial" w:cs="Arial"/>
            <w:color w:val="0000FF"/>
            <w:sz w:val="24"/>
            <w:szCs w:val="24"/>
            <w:u w:val="single"/>
          </w:rPr>
          <w:t>Social Support and Resilience to Stress: From Neurobiology to Clinical Practice - PMC</w:t>
        </w:r>
      </w:hyperlink>
    </w:p>
    <w:p w14:paraId="1118F13D"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Paulus, F. W., Ohmann, S., Mohler, E., Plener, P., &amp; Popow, C. (2021). Emotional dysregulation in children and adolescents with psychiatric disorders. A Narrative </w:t>
      </w:r>
      <w:r w:rsidRPr="009754C6">
        <w:rPr>
          <w:rFonts w:ascii="Arial" w:hAnsi="Arial" w:cs="Arial"/>
          <w:color w:val="222222"/>
          <w:sz w:val="24"/>
          <w:szCs w:val="24"/>
          <w:shd w:val="clear" w:color="auto" w:fill="FFFFFF"/>
        </w:rPr>
        <w:lastRenderedPageBreak/>
        <w:t xml:space="preserve">Review. </w:t>
      </w:r>
      <w:r w:rsidRPr="009754C6">
        <w:rPr>
          <w:rFonts w:ascii="Arial" w:hAnsi="Arial" w:cs="Arial"/>
          <w:i/>
          <w:iCs/>
          <w:color w:val="222222"/>
          <w:sz w:val="24"/>
          <w:szCs w:val="24"/>
          <w:shd w:val="clear" w:color="auto" w:fill="FFFFFF"/>
        </w:rPr>
        <w:t>Frontiers in Psychiatry, 12</w:t>
      </w:r>
      <w:r w:rsidRPr="009754C6">
        <w:rPr>
          <w:rFonts w:ascii="Arial" w:hAnsi="Arial" w:cs="Arial"/>
          <w:color w:val="222222"/>
          <w:sz w:val="24"/>
          <w:szCs w:val="24"/>
          <w:shd w:val="clear" w:color="auto" w:fill="FFFFFF"/>
        </w:rPr>
        <w:t xml:space="preserve">, 628252. </w:t>
      </w:r>
      <w:hyperlink r:id="rId44" w:history="1">
        <w:r w:rsidRPr="009754C6">
          <w:rPr>
            <w:rStyle w:val="Hyperlink"/>
            <w:rFonts w:ascii="Arial" w:hAnsi="Arial" w:cs="Arial"/>
            <w:sz w:val="24"/>
            <w:szCs w:val="24"/>
            <w:shd w:val="clear" w:color="auto" w:fill="FFFFFF"/>
          </w:rPr>
          <w:t>https://doi.org/10.3389/fpsyt.2021.628252</w:t>
        </w:r>
      </w:hyperlink>
    </w:p>
    <w:p w14:paraId="04EB7A4B"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Peeters, M., Braakhekke, E., Kesselring, M., Wijsbroek, S., Schramel, I., Putter, I., Klaassen, E., Groenendijk, J., Sieffers, N., Wildt, S. D., &amp; Kleinjan, M. (2025). Understanding and tackling academic stress and school attendance problems within the school system; a co-creation approach. </w:t>
      </w:r>
      <w:r w:rsidRPr="009754C6">
        <w:rPr>
          <w:rFonts w:ascii="Arial" w:hAnsi="Arial" w:cs="Arial"/>
          <w:i/>
          <w:iCs/>
          <w:color w:val="222222"/>
          <w:sz w:val="24"/>
          <w:szCs w:val="24"/>
          <w:shd w:val="clear" w:color="auto" w:fill="FFFFFF"/>
        </w:rPr>
        <w:t>Mental Health &amp; Prevention, 37</w:t>
      </w:r>
      <w:r w:rsidRPr="009754C6">
        <w:rPr>
          <w:rFonts w:ascii="Arial" w:hAnsi="Arial" w:cs="Arial"/>
          <w:color w:val="222222"/>
          <w:sz w:val="24"/>
          <w:szCs w:val="24"/>
          <w:shd w:val="clear" w:color="auto" w:fill="FFFFFF"/>
        </w:rPr>
        <w:t xml:space="preserve">, 200388. </w:t>
      </w:r>
      <w:hyperlink r:id="rId45" w:history="1">
        <w:r w:rsidRPr="009754C6">
          <w:rPr>
            <w:rStyle w:val="Hyperlink"/>
            <w:rFonts w:ascii="Arial" w:hAnsi="Arial" w:cs="Arial"/>
            <w:sz w:val="24"/>
            <w:szCs w:val="24"/>
            <w:shd w:val="clear" w:color="auto" w:fill="FFFFFF"/>
          </w:rPr>
          <w:t>https://doi.org/10.1016/j.mhp.2024.200388</w:t>
        </w:r>
      </w:hyperlink>
    </w:p>
    <w:p w14:paraId="58BF4D83" w14:textId="77777777" w:rsidR="008124C5" w:rsidRPr="009754C6" w:rsidRDefault="008124C5" w:rsidP="007765C2">
      <w:pPr>
        <w:spacing w:line="360" w:lineRule="auto"/>
        <w:ind w:hanging="720"/>
        <w:rPr>
          <w:rFonts w:ascii="Arial" w:hAnsi="Arial" w:cs="Arial"/>
          <w:sz w:val="24"/>
          <w:szCs w:val="24"/>
        </w:rPr>
      </w:pPr>
      <w:r w:rsidRPr="009754C6">
        <w:rPr>
          <w:rFonts w:ascii="Arial" w:hAnsi="Arial" w:cs="Arial"/>
          <w:sz w:val="24"/>
          <w:szCs w:val="24"/>
        </w:rPr>
        <w:t xml:space="preserve">Ross, G. S., Zelko, F., Klein-Gitelman, M., Levy, D. M., Muscal, E., Schanberg, L. E., Anthony, K., &amp; Brunner, H. I. (2010). A proposed framework to standardize the neurocognitive assessment of patients with pediatric systemic lupus erythematosus. </w:t>
      </w:r>
      <w:r w:rsidRPr="009754C6">
        <w:rPr>
          <w:rFonts w:ascii="Arial" w:hAnsi="Arial" w:cs="Arial"/>
          <w:i/>
          <w:iCs/>
          <w:sz w:val="24"/>
          <w:szCs w:val="24"/>
        </w:rPr>
        <w:t>Arthritis Care &amp; Research, 62</w:t>
      </w:r>
      <w:r w:rsidRPr="009754C6">
        <w:rPr>
          <w:rFonts w:ascii="Arial" w:hAnsi="Arial" w:cs="Arial"/>
          <w:sz w:val="24"/>
          <w:szCs w:val="24"/>
        </w:rPr>
        <w:t xml:space="preserve">(7), 1029-1033.  </w:t>
      </w:r>
      <w:hyperlink r:id="rId46" w:history="1">
        <w:r w:rsidRPr="009754C6">
          <w:rPr>
            <w:rStyle w:val="Hyperlink"/>
            <w:rFonts w:ascii="Arial" w:hAnsi="Arial" w:cs="Arial"/>
            <w:sz w:val="24"/>
            <w:szCs w:val="24"/>
          </w:rPr>
          <w:t>https://doi.org/10.1002/acr.20152</w:t>
        </w:r>
      </w:hyperlink>
    </w:p>
    <w:p w14:paraId="3E0D7242"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Sbordone, R. J. (2001). Limitations of neuropsychological testing to predict the cognitive and behavioural functioning of persons with brain injury in real-work settings. </w:t>
      </w:r>
      <w:r w:rsidRPr="009754C6">
        <w:rPr>
          <w:rFonts w:ascii="Arial" w:hAnsi="Arial" w:cs="Arial"/>
          <w:i/>
          <w:iCs/>
          <w:color w:val="222222"/>
          <w:sz w:val="24"/>
          <w:szCs w:val="24"/>
          <w:shd w:val="clear" w:color="auto" w:fill="FFFFFF"/>
        </w:rPr>
        <w:t>NeuroRehabilitation, 16</w:t>
      </w:r>
      <w:r w:rsidRPr="009754C6">
        <w:rPr>
          <w:rFonts w:ascii="Arial" w:hAnsi="Arial" w:cs="Arial"/>
          <w:color w:val="222222"/>
          <w:sz w:val="24"/>
          <w:szCs w:val="24"/>
          <w:shd w:val="clear" w:color="auto" w:fill="FFFFFF"/>
        </w:rPr>
        <w:t>(4), 199-201.</w:t>
      </w:r>
      <w:r w:rsidRPr="009754C6">
        <w:rPr>
          <w:rFonts w:ascii="Arial" w:hAnsi="Arial" w:cs="Arial"/>
          <w:sz w:val="24"/>
          <w:szCs w:val="24"/>
        </w:rPr>
        <w:t xml:space="preserve"> </w:t>
      </w:r>
      <w:hyperlink r:id="rId47" w:history="1">
        <w:r w:rsidRPr="009754C6">
          <w:rPr>
            <w:rStyle w:val="Hyperlink"/>
            <w:rFonts w:ascii="Arial" w:hAnsi="Arial" w:cs="Arial"/>
            <w:sz w:val="24"/>
            <w:szCs w:val="24"/>
            <w:shd w:val="clear" w:color="auto" w:fill="FFFFFF"/>
          </w:rPr>
          <w:t>https://doi.org/10.3233/NRE-2001-16402</w:t>
        </w:r>
      </w:hyperlink>
    </w:p>
    <w:p w14:paraId="24E51563" w14:textId="77777777" w:rsidR="008124C5" w:rsidRPr="009754C6" w:rsidRDefault="008124C5" w:rsidP="007765C2">
      <w:pPr>
        <w:spacing w:line="360" w:lineRule="auto"/>
        <w:ind w:hanging="720"/>
        <w:rPr>
          <w:rFonts w:ascii="Arial" w:hAnsi="Arial" w:cs="Arial"/>
          <w:sz w:val="24"/>
          <w:szCs w:val="24"/>
        </w:rPr>
      </w:pPr>
      <w:r w:rsidRPr="009754C6">
        <w:rPr>
          <w:rFonts w:ascii="Arial" w:hAnsi="Arial" w:cs="Arial"/>
          <w:sz w:val="24"/>
          <w:szCs w:val="24"/>
        </w:rPr>
        <w:t xml:space="preserve">Shahin, W., Issa, S., Jadooe, M., Shmoae, M., Yelegin, M., Selvarajah, S., Stupans, I., Dunkley, K., &amp; Thrimawithana, T, (2023). Coping mechanisms used by pharmacists to deal with stress, what is helpful and what is harmful?. </w:t>
      </w:r>
      <w:r w:rsidRPr="009754C6">
        <w:rPr>
          <w:rFonts w:ascii="Arial" w:hAnsi="Arial" w:cs="Arial"/>
          <w:i/>
          <w:iCs/>
          <w:sz w:val="24"/>
          <w:szCs w:val="24"/>
        </w:rPr>
        <w:t>Exploratory Research in Clinical and Social Pharmacy, 9</w:t>
      </w:r>
      <w:r w:rsidRPr="009754C6">
        <w:rPr>
          <w:rFonts w:ascii="Arial" w:hAnsi="Arial" w:cs="Arial"/>
          <w:sz w:val="24"/>
          <w:szCs w:val="24"/>
        </w:rPr>
        <w:t xml:space="preserve">, 100205. </w:t>
      </w:r>
      <w:hyperlink r:id="rId48" w:history="1">
        <w:r w:rsidRPr="009754C6">
          <w:rPr>
            <w:rStyle w:val="Hyperlink"/>
            <w:rFonts w:ascii="Arial" w:hAnsi="Arial" w:cs="Arial"/>
            <w:sz w:val="24"/>
            <w:szCs w:val="24"/>
          </w:rPr>
          <w:t>https://doi.org/10.1016/j.rcsop.2022.100205</w:t>
        </w:r>
      </w:hyperlink>
    </w:p>
    <w:p w14:paraId="03722E6A" w14:textId="77777777" w:rsidR="008124C5" w:rsidRPr="009754C6" w:rsidRDefault="008124C5" w:rsidP="007765C2">
      <w:pPr>
        <w:spacing w:line="360" w:lineRule="auto"/>
        <w:ind w:hanging="720"/>
        <w:rPr>
          <w:rFonts w:ascii="Arial" w:hAnsi="Arial" w:cs="Arial"/>
          <w:sz w:val="24"/>
          <w:szCs w:val="24"/>
          <w:lang w:val="en-US"/>
        </w:rPr>
      </w:pPr>
      <w:r w:rsidRPr="009754C6">
        <w:rPr>
          <w:rFonts w:ascii="Arial" w:hAnsi="Arial" w:cs="Arial"/>
          <w:sz w:val="24"/>
          <w:szCs w:val="24"/>
          <w:lang w:val="en-US"/>
        </w:rPr>
        <w:t xml:space="preserve">Sheng, J. A., Bales, N. J., Myers, S. A., Bautista, A. I., Roueinfar, M., Hale, T. M., &amp; Handa, R. J., (2021). The hypothalamic-pituitary-adrenal axis: development, programming actions of hormones, and maternal-fetal interactions. </w:t>
      </w:r>
      <w:r w:rsidRPr="009754C6">
        <w:rPr>
          <w:rFonts w:ascii="Arial" w:hAnsi="Arial" w:cs="Arial"/>
          <w:i/>
          <w:iCs/>
          <w:sz w:val="24"/>
          <w:szCs w:val="24"/>
          <w:lang w:val="en-US"/>
        </w:rPr>
        <w:t>Frontiers in Behavioral Neuroscience, 14</w:t>
      </w:r>
      <w:r w:rsidRPr="009754C6">
        <w:rPr>
          <w:rFonts w:ascii="Arial" w:hAnsi="Arial" w:cs="Arial"/>
          <w:sz w:val="24"/>
          <w:szCs w:val="24"/>
          <w:lang w:val="en-US"/>
        </w:rPr>
        <w:t xml:space="preserve">, 601939. </w:t>
      </w:r>
      <w:hyperlink r:id="rId49" w:history="1">
        <w:r w:rsidRPr="009754C6">
          <w:rPr>
            <w:rStyle w:val="Hyperlink"/>
            <w:rFonts w:ascii="Arial" w:hAnsi="Arial" w:cs="Arial"/>
            <w:sz w:val="24"/>
            <w:szCs w:val="24"/>
            <w:lang w:val="en-US"/>
          </w:rPr>
          <w:t>https://doi.org/10.3389/fnbeh.2020.601939</w:t>
        </w:r>
      </w:hyperlink>
    </w:p>
    <w:p w14:paraId="4E6B5BDE"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Slee, N., Garnefski, N., Van Der Leeden, R., Arensman, E., &amp; Spinhoven, P. (2008). Cognitive-behavioural intervention for self-harm: randomised controlled trial. </w:t>
      </w:r>
      <w:r w:rsidRPr="009754C6">
        <w:rPr>
          <w:rFonts w:ascii="Arial" w:hAnsi="Arial" w:cs="Arial"/>
          <w:i/>
          <w:iCs/>
          <w:color w:val="222222"/>
          <w:sz w:val="24"/>
          <w:szCs w:val="24"/>
          <w:shd w:val="clear" w:color="auto" w:fill="FFFFFF"/>
        </w:rPr>
        <w:t>The British Journal of Psychiatry, 192</w:t>
      </w:r>
      <w:r w:rsidRPr="009754C6">
        <w:rPr>
          <w:rFonts w:ascii="Arial" w:hAnsi="Arial" w:cs="Arial"/>
          <w:color w:val="222222"/>
          <w:sz w:val="24"/>
          <w:szCs w:val="24"/>
          <w:shd w:val="clear" w:color="auto" w:fill="FFFFFF"/>
        </w:rPr>
        <w:t xml:space="preserve">(3), 202-211. </w:t>
      </w:r>
      <w:hyperlink r:id="rId50" w:history="1">
        <w:r w:rsidRPr="009754C6">
          <w:rPr>
            <w:rStyle w:val="Hyperlink"/>
            <w:rFonts w:ascii="Arial" w:hAnsi="Arial" w:cs="Arial"/>
            <w:sz w:val="24"/>
            <w:szCs w:val="24"/>
            <w:shd w:val="clear" w:color="auto" w:fill="FFFFFF"/>
          </w:rPr>
          <w:t>https://doi.org/10.1192/bjp.bp.107.037564</w:t>
        </w:r>
      </w:hyperlink>
    </w:p>
    <w:p w14:paraId="07B038CE" w14:textId="77777777" w:rsidR="008124C5" w:rsidRPr="009754C6" w:rsidRDefault="008124C5" w:rsidP="007765C2">
      <w:pPr>
        <w:spacing w:line="360" w:lineRule="auto"/>
        <w:ind w:hanging="720"/>
        <w:rPr>
          <w:rFonts w:ascii="Arial" w:hAnsi="Arial" w:cs="Arial"/>
          <w:sz w:val="24"/>
          <w:szCs w:val="24"/>
        </w:rPr>
      </w:pPr>
      <w:r w:rsidRPr="009754C6">
        <w:rPr>
          <w:rFonts w:ascii="Arial" w:hAnsi="Arial" w:cs="Arial"/>
          <w:sz w:val="24"/>
          <w:szCs w:val="24"/>
        </w:rPr>
        <w:t xml:space="preserve">Solomon, Z., &amp; Mikulincer, M. (2007). Posttraumatic intrusion, avoidance, and social functioning: a 20-year longitudinal study. </w:t>
      </w:r>
      <w:r w:rsidRPr="009754C6">
        <w:rPr>
          <w:rFonts w:ascii="Arial" w:hAnsi="Arial" w:cs="Arial"/>
          <w:i/>
          <w:iCs/>
          <w:sz w:val="24"/>
          <w:szCs w:val="24"/>
        </w:rPr>
        <w:t>Journal of Consulting and Clinical Psychology, 75</w:t>
      </w:r>
      <w:r w:rsidRPr="009754C6">
        <w:rPr>
          <w:rFonts w:ascii="Arial" w:hAnsi="Arial" w:cs="Arial"/>
          <w:sz w:val="24"/>
          <w:szCs w:val="24"/>
        </w:rPr>
        <w:t xml:space="preserve">(2), 316-324. </w:t>
      </w:r>
      <w:hyperlink r:id="rId51" w:history="1">
        <w:r w:rsidRPr="009754C6">
          <w:rPr>
            <w:rStyle w:val="Hyperlink"/>
            <w:rFonts w:ascii="Arial" w:hAnsi="Arial" w:cs="Arial"/>
            <w:sz w:val="24"/>
            <w:szCs w:val="24"/>
          </w:rPr>
          <w:t>https://psycnet.apa.org/doi/10.1037/0022-006X.75.2.316</w:t>
        </w:r>
      </w:hyperlink>
    </w:p>
    <w:p w14:paraId="0E7FF28F" w14:textId="77777777" w:rsidR="008124C5" w:rsidRPr="009754C6" w:rsidRDefault="008124C5" w:rsidP="007765C2">
      <w:pPr>
        <w:spacing w:line="360" w:lineRule="auto"/>
        <w:ind w:hanging="720"/>
        <w:rPr>
          <w:rFonts w:ascii="Arial" w:hAnsi="Arial" w:cs="Arial"/>
          <w:sz w:val="24"/>
          <w:szCs w:val="24"/>
          <w:lang w:val="en-US"/>
        </w:rPr>
      </w:pPr>
      <w:r w:rsidRPr="009754C6">
        <w:rPr>
          <w:rFonts w:ascii="Arial" w:hAnsi="Arial" w:cs="Arial"/>
          <w:sz w:val="24"/>
          <w:szCs w:val="24"/>
          <w:lang w:val="en-US"/>
        </w:rPr>
        <w:lastRenderedPageBreak/>
        <w:t xml:space="preserve">Teicher, M. H., Andersen, S. L., Polcari, A., Anderson, C. M., Navalta, C. P., &amp; Kim, D. M. (2003). The neurobiological consequences of early stress and childhood maltreatment. </w:t>
      </w:r>
      <w:r w:rsidRPr="009754C6">
        <w:rPr>
          <w:rFonts w:ascii="Arial" w:hAnsi="Arial" w:cs="Arial"/>
          <w:i/>
          <w:iCs/>
          <w:sz w:val="24"/>
          <w:szCs w:val="24"/>
          <w:lang w:val="en-US"/>
        </w:rPr>
        <w:t>Neuroscience and Biobehavioral Review, 27</w:t>
      </w:r>
      <w:r w:rsidRPr="009754C6">
        <w:rPr>
          <w:rFonts w:ascii="Arial" w:hAnsi="Arial" w:cs="Arial"/>
          <w:sz w:val="24"/>
          <w:szCs w:val="24"/>
          <w:lang w:val="en-US"/>
        </w:rPr>
        <w:t xml:space="preserve">(1-2), 33-44. </w:t>
      </w:r>
      <w:hyperlink r:id="rId52" w:history="1">
        <w:r w:rsidRPr="009754C6">
          <w:rPr>
            <w:rStyle w:val="Hyperlink"/>
            <w:rFonts w:ascii="Arial" w:hAnsi="Arial" w:cs="Arial"/>
            <w:sz w:val="24"/>
            <w:szCs w:val="24"/>
            <w:lang w:val="en-US"/>
          </w:rPr>
          <w:t>https://doi.org/10.1016/s0149-7634(03)00007-1</w:t>
        </w:r>
      </w:hyperlink>
    </w:p>
    <w:p w14:paraId="5D890282"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Thabrew, H., Stasiak, K., Hetrick, S. E., Wong, S., Huss, J. H., &amp; Merry, S. N. (2017). Psychological therapies for anxiety and depression in child and adolescents with long-term physical conditions. </w:t>
      </w:r>
      <w:r w:rsidRPr="009754C6">
        <w:rPr>
          <w:rFonts w:ascii="Arial" w:hAnsi="Arial" w:cs="Arial"/>
          <w:i/>
          <w:iCs/>
          <w:color w:val="222222"/>
          <w:sz w:val="24"/>
          <w:szCs w:val="24"/>
          <w:shd w:val="clear" w:color="auto" w:fill="FFFFFF"/>
        </w:rPr>
        <w:t>The Cochrane Database of Systematic Review, 2017</w:t>
      </w:r>
      <w:r w:rsidRPr="009754C6">
        <w:rPr>
          <w:rFonts w:ascii="Arial" w:hAnsi="Arial" w:cs="Arial"/>
          <w:color w:val="222222"/>
          <w:sz w:val="24"/>
          <w:szCs w:val="24"/>
          <w:shd w:val="clear" w:color="auto" w:fill="FFFFFF"/>
        </w:rPr>
        <w:t xml:space="preserve">(1), CD012488. </w:t>
      </w:r>
      <w:hyperlink r:id="rId53" w:history="1">
        <w:r w:rsidRPr="009754C6">
          <w:rPr>
            <w:rStyle w:val="Hyperlink"/>
            <w:rFonts w:ascii="Arial" w:hAnsi="Arial" w:cs="Arial"/>
            <w:sz w:val="24"/>
            <w:szCs w:val="24"/>
            <w:shd w:val="clear" w:color="auto" w:fill="FFFFFF"/>
          </w:rPr>
          <w:t>https://doi.org/10.1002/14651858.CD012488</w:t>
        </w:r>
      </w:hyperlink>
    </w:p>
    <w:p w14:paraId="6C3215A8"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Thompson, R. A. (2019). Emotion dysregulation: a theme in search of definition. </w:t>
      </w:r>
      <w:r w:rsidRPr="009754C6">
        <w:rPr>
          <w:rFonts w:ascii="Arial" w:hAnsi="Arial" w:cs="Arial"/>
          <w:i/>
          <w:iCs/>
          <w:color w:val="222222"/>
          <w:sz w:val="24"/>
          <w:szCs w:val="24"/>
          <w:shd w:val="clear" w:color="auto" w:fill="FFFFFF"/>
        </w:rPr>
        <w:t>Development and Psychopathology, 31</w:t>
      </w:r>
      <w:r w:rsidRPr="009754C6">
        <w:rPr>
          <w:rFonts w:ascii="Arial" w:hAnsi="Arial" w:cs="Arial"/>
          <w:color w:val="222222"/>
          <w:sz w:val="24"/>
          <w:szCs w:val="24"/>
          <w:shd w:val="clear" w:color="auto" w:fill="FFFFFF"/>
        </w:rPr>
        <w:t xml:space="preserve">(3), 805-815. </w:t>
      </w:r>
      <w:hyperlink r:id="rId54" w:history="1">
        <w:r w:rsidRPr="009754C6">
          <w:rPr>
            <w:rStyle w:val="Hyperlink"/>
            <w:rFonts w:ascii="Arial" w:hAnsi="Arial" w:cs="Arial"/>
            <w:sz w:val="24"/>
            <w:szCs w:val="24"/>
            <w:shd w:val="clear" w:color="auto" w:fill="FFFFFF"/>
          </w:rPr>
          <w:t>https://doi.org/10.1017/s0954579419000282</w:t>
        </w:r>
      </w:hyperlink>
    </w:p>
    <w:p w14:paraId="5875C577"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Trew, J. L. (2011). Exploring the role of approach and avoidance in depression: an integrative model. </w:t>
      </w:r>
      <w:r w:rsidRPr="009754C6">
        <w:rPr>
          <w:rFonts w:ascii="Arial" w:hAnsi="Arial" w:cs="Arial"/>
          <w:i/>
          <w:iCs/>
          <w:color w:val="222222"/>
          <w:sz w:val="24"/>
          <w:szCs w:val="24"/>
          <w:shd w:val="clear" w:color="auto" w:fill="FFFFFF"/>
        </w:rPr>
        <w:t>Clinical Psychology Review, 31</w:t>
      </w:r>
      <w:r w:rsidRPr="009754C6">
        <w:rPr>
          <w:rFonts w:ascii="Arial" w:hAnsi="Arial" w:cs="Arial"/>
          <w:color w:val="222222"/>
          <w:sz w:val="24"/>
          <w:szCs w:val="24"/>
          <w:shd w:val="clear" w:color="auto" w:fill="FFFFFF"/>
        </w:rPr>
        <w:t xml:space="preserve">(7), 1156-1168. </w:t>
      </w:r>
      <w:hyperlink r:id="rId55" w:history="1">
        <w:r w:rsidRPr="009754C6">
          <w:rPr>
            <w:rStyle w:val="Hyperlink"/>
            <w:rFonts w:ascii="Arial" w:hAnsi="Arial" w:cs="Arial"/>
            <w:sz w:val="24"/>
            <w:szCs w:val="24"/>
            <w:shd w:val="clear" w:color="auto" w:fill="FFFFFF"/>
          </w:rPr>
          <w:t>https://doi.org/10.1016/j.cpr.2011.07.007</w:t>
        </w:r>
      </w:hyperlink>
    </w:p>
    <w:p w14:paraId="392554C0"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sz w:val="24"/>
          <w:szCs w:val="24"/>
        </w:rPr>
        <w:t xml:space="preserve">Uhlhaas, P. J., Davey, C. G., Mehta, U. M., Shah, J., Torous, J., Allen, N. B., Avenevoli, S., Bella-Awusah, T., Chanen, A., Chen, E. Y. H., Correll, C. U., Do, K. Q., Fisher, H. L., Frangou, S., Hickie, I. B., Keshavan, M. S., Konrad, K., Lee, F. S., Liu, C. H., Luna, B., McGorry, P. D., Meyer-Lindenberg, A., Nordentoft, M., Ongur, D., Patton, G. C., Paus, T., Reininghaus, U., Sawa, A., Schoenbaum, M., Schumann, G., Srihari, V. H., Susser, E., Verma, S. K., Woo, T. W., Yang, L. H., Yung, A. R., &amp; Wood, S. J. (2023). Towards a youth mental health paradigm: a perspective and roadmap. </w:t>
      </w:r>
      <w:r w:rsidRPr="009754C6">
        <w:rPr>
          <w:rFonts w:ascii="Arial" w:hAnsi="Arial" w:cs="Arial"/>
          <w:i/>
          <w:iCs/>
          <w:sz w:val="24"/>
          <w:szCs w:val="24"/>
        </w:rPr>
        <w:t>Molecular Psychiatry, 28</w:t>
      </w:r>
      <w:r w:rsidRPr="009754C6">
        <w:rPr>
          <w:rFonts w:ascii="Arial" w:hAnsi="Arial" w:cs="Arial"/>
          <w:sz w:val="24"/>
          <w:szCs w:val="24"/>
        </w:rPr>
        <w:t xml:space="preserve">(8), 3171-3181.  </w:t>
      </w:r>
      <w:hyperlink r:id="rId56" w:history="1">
        <w:r w:rsidRPr="009754C6">
          <w:rPr>
            <w:rStyle w:val="Hyperlink"/>
            <w:rFonts w:ascii="Arial" w:hAnsi="Arial" w:cs="Arial"/>
            <w:sz w:val="24"/>
            <w:szCs w:val="24"/>
            <w:shd w:val="clear" w:color="auto" w:fill="FFFFFF"/>
          </w:rPr>
          <w:t>https://doi.org/10.1038/s41380-023-02202-z</w:t>
        </w:r>
      </w:hyperlink>
    </w:p>
    <w:p w14:paraId="68312084"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Warne, N., Heron, J., Mars, B., Solmi, F., Biddle, L., Gunnell, D., Hammerton, G., Moran, P., Munafo, M., Penton-Voak, I., Skinner, A., Stewart, A., &amp; Bould, H. (2023). Emotional dysregulation in childhood and disordered eating and self-harm in adolescence: prospective associations and mediating pathways. </w:t>
      </w:r>
      <w:r w:rsidRPr="009754C6">
        <w:rPr>
          <w:rFonts w:ascii="Arial" w:hAnsi="Arial" w:cs="Arial"/>
          <w:i/>
          <w:iCs/>
          <w:color w:val="222222"/>
          <w:sz w:val="24"/>
          <w:szCs w:val="24"/>
          <w:shd w:val="clear" w:color="auto" w:fill="FFFFFF"/>
        </w:rPr>
        <w:t>Journal of Child Psychology and Psychiatry, and Allied Disciplines, 64</w:t>
      </w:r>
      <w:r w:rsidRPr="009754C6">
        <w:rPr>
          <w:rFonts w:ascii="Arial" w:hAnsi="Arial" w:cs="Arial"/>
          <w:color w:val="222222"/>
          <w:sz w:val="24"/>
          <w:szCs w:val="24"/>
          <w:shd w:val="clear" w:color="auto" w:fill="FFFFFF"/>
        </w:rPr>
        <w:t xml:space="preserve">(5), 797-806. </w:t>
      </w:r>
      <w:hyperlink r:id="rId57" w:history="1">
        <w:r w:rsidRPr="009754C6">
          <w:rPr>
            <w:rStyle w:val="Hyperlink"/>
            <w:rFonts w:ascii="Arial" w:hAnsi="Arial" w:cs="Arial"/>
            <w:sz w:val="24"/>
            <w:szCs w:val="24"/>
            <w:shd w:val="clear" w:color="auto" w:fill="FFFFFF"/>
          </w:rPr>
          <w:t>https://doi.org/10.1111/jcpp.13738</w:t>
        </w:r>
      </w:hyperlink>
    </w:p>
    <w:p w14:paraId="3FB94ED4" w14:textId="77777777" w:rsidR="008124C5" w:rsidRPr="009754C6" w:rsidRDefault="008124C5" w:rsidP="007765C2">
      <w:pPr>
        <w:spacing w:line="360" w:lineRule="auto"/>
        <w:ind w:hanging="720"/>
        <w:rPr>
          <w:rFonts w:ascii="Arial" w:hAnsi="Arial" w:cs="Arial"/>
          <w:sz w:val="24"/>
          <w:szCs w:val="24"/>
        </w:rPr>
      </w:pPr>
      <w:r w:rsidRPr="009754C6">
        <w:rPr>
          <w:rFonts w:ascii="Arial" w:hAnsi="Arial" w:cs="Arial"/>
          <w:sz w:val="24"/>
          <w:szCs w:val="24"/>
        </w:rPr>
        <w:t xml:space="preserve">Weiss, N. H., Thomas, E. D., Schick, M. R., Reyes, M. E., &amp; Contractor, A. A. (2021). Racial and ethical differences in emotional regulation: a systematic review. </w:t>
      </w:r>
      <w:r w:rsidRPr="009754C6">
        <w:rPr>
          <w:rFonts w:ascii="Arial" w:hAnsi="Arial" w:cs="Arial"/>
          <w:i/>
          <w:iCs/>
          <w:sz w:val="24"/>
          <w:szCs w:val="24"/>
        </w:rPr>
        <w:t>Journal of Clinical Psychology, 78</w:t>
      </w:r>
      <w:r w:rsidRPr="009754C6">
        <w:rPr>
          <w:rFonts w:ascii="Arial" w:hAnsi="Arial" w:cs="Arial"/>
          <w:sz w:val="24"/>
          <w:szCs w:val="24"/>
        </w:rPr>
        <w:t xml:space="preserve">(5), 785-808. </w:t>
      </w:r>
      <w:hyperlink r:id="rId58" w:history="1">
        <w:r w:rsidRPr="009754C6">
          <w:rPr>
            <w:rStyle w:val="Hyperlink"/>
            <w:rFonts w:ascii="Arial" w:hAnsi="Arial" w:cs="Arial"/>
            <w:sz w:val="24"/>
            <w:szCs w:val="24"/>
          </w:rPr>
          <w:t>https://doi.org/10.1002/jclp.23284</w:t>
        </w:r>
      </w:hyperlink>
    </w:p>
    <w:p w14:paraId="431203EA" w14:textId="77777777" w:rsidR="008124C5" w:rsidRPr="009754C6" w:rsidRDefault="008124C5" w:rsidP="007765C2">
      <w:pPr>
        <w:spacing w:line="360" w:lineRule="auto"/>
        <w:ind w:hanging="720"/>
        <w:rPr>
          <w:rFonts w:ascii="Arial" w:hAnsi="Arial" w:cs="Arial"/>
          <w:sz w:val="24"/>
          <w:szCs w:val="24"/>
          <w:lang w:val="en-US"/>
        </w:rPr>
      </w:pPr>
      <w:r w:rsidRPr="009754C6">
        <w:rPr>
          <w:rFonts w:ascii="Arial" w:hAnsi="Arial" w:cs="Arial"/>
          <w:sz w:val="24"/>
          <w:szCs w:val="24"/>
          <w:lang w:val="en-US"/>
        </w:rPr>
        <w:lastRenderedPageBreak/>
        <w:t xml:space="preserve">Wolke, D., &amp; Lereya, S. T. (2015). Long-term effects of bullying. </w:t>
      </w:r>
      <w:r w:rsidRPr="009754C6">
        <w:rPr>
          <w:rFonts w:ascii="Arial" w:hAnsi="Arial" w:cs="Arial"/>
          <w:i/>
          <w:iCs/>
          <w:sz w:val="24"/>
          <w:szCs w:val="24"/>
          <w:lang w:val="en-US"/>
        </w:rPr>
        <w:t>Archives of Disease in Childhood, 100</w:t>
      </w:r>
      <w:r w:rsidRPr="009754C6">
        <w:rPr>
          <w:rFonts w:ascii="Arial" w:hAnsi="Arial" w:cs="Arial"/>
          <w:sz w:val="24"/>
          <w:szCs w:val="24"/>
          <w:lang w:val="en-US"/>
        </w:rPr>
        <w:t xml:space="preserve">(9), 879-885. </w:t>
      </w:r>
      <w:hyperlink r:id="rId59" w:history="1">
        <w:r w:rsidRPr="009754C6">
          <w:rPr>
            <w:rStyle w:val="Hyperlink"/>
            <w:rFonts w:ascii="Arial" w:hAnsi="Arial" w:cs="Arial"/>
            <w:sz w:val="24"/>
            <w:szCs w:val="24"/>
            <w:lang w:val="en-US"/>
          </w:rPr>
          <w:t>https://doi.org/10.1136/archdischild-2014-306667</w:t>
        </w:r>
      </w:hyperlink>
    </w:p>
    <w:p w14:paraId="252D0D3D" w14:textId="77777777" w:rsidR="008124C5" w:rsidRPr="009754C6" w:rsidRDefault="008124C5" w:rsidP="007765C2">
      <w:pPr>
        <w:spacing w:line="360" w:lineRule="auto"/>
        <w:ind w:hanging="720"/>
        <w:rPr>
          <w:rFonts w:ascii="Arial" w:hAnsi="Arial" w:cs="Arial"/>
          <w:color w:val="222222"/>
          <w:sz w:val="24"/>
          <w:szCs w:val="24"/>
          <w:shd w:val="clear" w:color="auto" w:fill="FFFFFF"/>
        </w:rPr>
      </w:pPr>
      <w:r w:rsidRPr="009754C6">
        <w:rPr>
          <w:rFonts w:ascii="Arial" w:hAnsi="Arial" w:cs="Arial"/>
          <w:color w:val="222222"/>
          <w:sz w:val="24"/>
          <w:szCs w:val="24"/>
          <w:shd w:val="clear" w:color="auto" w:fill="FFFFFF"/>
        </w:rPr>
        <w:t xml:space="preserve">Zhang, C., Shi, L., Tian, T., Zhou, Z., Peng, X., Shen, Y., Li, Y., &amp; Ou, J. (2022). Associations between academic stress and depressive symptoms mediated by anxiety symptoms and hopelessness among Chinese college students. </w:t>
      </w:r>
      <w:r w:rsidRPr="009754C6">
        <w:rPr>
          <w:rFonts w:ascii="Arial" w:hAnsi="Arial" w:cs="Arial"/>
          <w:i/>
          <w:iCs/>
          <w:color w:val="222222"/>
          <w:sz w:val="24"/>
          <w:szCs w:val="24"/>
          <w:shd w:val="clear" w:color="auto" w:fill="FFFFFF"/>
        </w:rPr>
        <w:t>Psychology Research and Behaviour Management, 15</w:t>
      </w:r>
      <w:r w:rsidRPr="009754C6">
        <w:rPr>
          <w:rFonts w:ascii="Arial" w:hAnsi="Arial" w:cs="Arial"/>
          <w:color w:val="222222"/>
          <w:sz w:val="24"/>
          <w:szCs w:val="24"/>
          <w:shd w:val="clear" w:color="auto" w:fill="FFFFFF"/>
        </w:rPr>
        <w:t xml:space="preserve">, 547-556. </w:t>
      </w:r>
      <w:hyperlink r:id="rId60" w:history="1">
        <w:r w:rsidRPr="009754C6">
          <w:rPr>
            <w:rStyle w:val="Hyperlink"/>
            <w:rFonts w:ascii="Arial" w:hAnsi="Arial" w:cs="Arial"/>
            <w:sz w:val="24"/>
            <w:szCs w:val="24"/>
            <w:shd w:val="clear" w:color="auto" w:fill="FFFFFF"/>
          </w:rPr>
          <w:t>https://doi.org/10.2147/PRBM.S353778</w:t>
        </w:r>
      </w:hyperlink>
    </w:p>
    <w:p w14:paraId="3B408E86" w14:textId="36A87409" w:rsidR="009F78C8" w:rsidRDefault="008124C5" w:rsidP="009F78C8">
      <w:pPr>
        <w:spacing w:line="360" w:lineRule="auto"/>
        <w:ind w:hanging="720"/>
        <w:rPr>
          <w:rFonts w:ascii="Arial" w:hAnsi="Arial" w:cs="Arial"/>
          <w:color w:val="222222"/>
          <w:sz w:val="24"/>
          <w:szCs w:val="24"/>
          <w:shd w:val="clear" w:color="auto" w:fill="FFFFFF"/>
        </w:rPr>
      </w:pPr>
      <w:r w:rsidRPr="009754C6">
        <w:rPr>
          <w:rFonts w:ascii="Arial" w:hAnsi="Arial" w:cs="Arial"/>
          <w:sz w:val="24"/>
          <w:szCs w:val="24"/>
        </w:rPr>
        <w:t xml:space="preserve">Zimmerman, M. E. (2011). Battery approach. </w:t>
      </w:r>
      <w:r w:rsidRPr="009754C6">
        <w:rPr>
          <w:rFonts w:ascii="Arial" w:hAnsi="Arial" w:cs="Arial"/>
          <w:i/>
          <w:iCs/>
          <w:sz w:val="24"/>
          <w:szCs w:val="24"/>
        </w:rPr>
        <w:t>Encylopedia of Clinical Neuropsychology</w:t>
      </w:r>
      <w:r w:rsidRPr="009754C6">
        <w:rPr>
          <w:rFonts w:ascii="Arial" w:hAnsi="Arial" w:cs="Arial"/>
          <w:sz w:val="24"/>
          <w:szCs w:val="24"/>
        </w:rPr>
        <w:t xml:space="preserve">, 354-355. </w:t>
      </w:r>
      <w:hyperlink r:id="rId61" w:history="1">
        <w:r w:rsidRPr="009754C6">
          <w:rPr>
            <w:rStyle w:val="Hyperlink"/>
            <w:rFonts w:ascii="Arial" w:hAnsi="Arial" w:cs="Arial"/>
            <w:sz w:val="24"/>
            <w:szCs w:val="24"/>
            <w:shd w:val="clear" w:color="auto" w:fill="FFFFFF"/>
          </w:rPr>
          <w:t>https://doi.org/10.1007/978-0-387-79948-3_1175</w:t>
        </w:r>
      </w:hyperlink>
    </w:p>
    <w:p w14:paraId="5DB2CA5A" w14:textId="77777777" w:rsidR="009F78C8" w:rsidRDefault="009F78C8" w:rsidP="009F78C8">
      <w:pPr>
        <w:spacing w:line="360" w:lineRule="auto"/>
        <w:ind w:hanging="720"/>
        <w:rPr>
          <w:rFonts w:ascii="Arial" w:hAnsi="Arial" w:cs="Arial"/>
          <w:color w:val="222222"/>
          <w:sz w:val="24"/>
          <w:szCs w:val="24"/>
          <w:shd w:val="clear" w:color="auto" w:fill="FFFFFF"/>
        </w:rPr>
      </w:pPr>
    </w:p>
    <w:p w14:paraId="2623CCF9" w14:textId="77777777" w:rsidR="009F78C8" w:rsidRDefault="009F78C8" w:rsidP="009F78C8">
      <w:pPr>
        <w:spacing w:line="360" w:lineRule="auto"/>
        <w:ind w:hanging="720"/>
        <w:rPr>
          <w:rFonts w:ascii="Arial" w:hAnsi="Arial" w:cs="Arial"/>
          <w:color w:val="222222"/>
          <w:sz w:val="24"/>
          <w:szCs w:val="24"/>
          <w:shd w:val="clear" w:color="auto" w:fill="FFFFFF"/>
        </w:rPr>
      </w:pPr>
    </w:p>
    <w:p w14:paraId="00843776" w14:textId="77777777" w:rsidR="009F78C8" w:rsidRDefault="009F78C8" w:rsidP="009F78C8">
      <w:pPr>
        <w:spacing w:line="360" w:lineRule="auto"/>
        <w:ind w:hanging="720"/>
        <w:rPr>
          <w:rFonts w:ascii="Arial" w:hAnsi="Arial" w:cs="Arial"/>
          <w:color w:val="222222"/>
          <w:sz w:val="24"/>
          <w:szCs w:val="24"/>
          <w:shd w:val="clear" w:color="auto" w:fill="FFFFFF"/>
        </w:rPr>
      </w:pPr>
    </w:p>
    <w:p w14:paraId="1C2DC00C" w14:textId="77777777" w:rsidR="009F78C8" w:rsidRDefault="009F78C8" w:rsidP="009F78C8">
      <w:pPr>
        <w:spacing w:line="360" w:lineRule="auto"/>
        <w:ind w:hanging="720"/>
        <w:rPr>
          <w:rFonts w:ascii="Arial" w:hAnsi="Arial" w:cs="Arial"/>
          <w:color w:val="222222"/>
          <w:sz w:val="24"/>
          <w:szCs w:val="24"/>
          <w:shd w:val="clear" w:color="auto" w:fill="FFFFFF"/>
        </w:rPr>
      </w:pPr>
    </w:p>
    <w:p w14:paraId="3D1944DD" w14:textId="5A6058FF" w:rsidR="009F78C8" w:rsidRDefault="009F78C8" w:rsidP="009F78C8">
      <w:pPr>
        <w:spacing w:line="360" w:lineRule="auto"/>
        <w:ind w:hanging="720"/>
        <w:rPr>
          <w:rFonts w:ascii="Arial" w:hAnsi="Arial" w:cs="Arial"/>
          <w:color w:val="222222"/>
          <w:sz w:val="24"/>
          <w:szCs w:val="24"/>
          <w:shd w:val="clear" w:color="auto" w:fill="FFFFFF"/>
        </w:rPr>
      </w:pPr>
      <w:r>
        <w:rPr>
          <w:rFonts w:ascii="Arial" w:hAnsi="Arial" w:cs="Arial"/>
          <w:color w:val="222222"/>
          <w:sz w:val="24"/>
          <w:szCs w:val="24"/>
          <w:shd w:val="clear" w:color="auto" w:fill="FFFFFF"/>
        </w:rPr>
        <w:t>AI</w:t>
      </w:r>
    </w:p>
    <w:p w14:paraId="04DEB6B6" w14:textId="77777777" w:rsidR="009F78C8" w:rsidRPr="009F489D" w:rsidRDefault="009F78C8" w:rsidP="009F78C8">
      <w:pPr>
        <w:rPr>
          <w:rFonts w:ascii="Arial" w:hAnsi="Arial" w:cs="Arial"/>
          <w:sz w:val="24"/>
          <w:szCs w:val="24"/>
        </w:rPr>
      </w:pPr>
      <w:r w:rsidRPr="009F489D">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4159A80" w14:textId="77777777" w:rsidR="009F78C8" w:rsidRPr="009F78C8" w:rsidRDefault="009F78C8" w:rsidP="009F78C8">
      <w:pPr>
        <w:spacing w:line="360" w:lineRule="auto"/>
        <w:ind w:hanging="720"/>
        <w:rPr>
          <w:rFonts w:ascii="Arial" w:hAnsi="Arial" w:cs="Arial"/>
          <w:color w:val="222222"/>
          <w:sz w:val="24"/>
          <w:szCs w:val="24"/>
          <w:shd w:val="clear" w:color="auto" w:fill="FFFFFF"/>
        </w:rPr>
      </w:pPr>
    </w:p>
    <w:sectPr w:rsidR="009F78C8" w:rsidRPr="009F78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2E6"/>
    <w:rsid w:val="00015EEA"/>
    <w:rsid w:val="00022BF4"/>
    <w:rsid w:val="000331B6"/>
    <w:rsid w:val="00042434"/>
    <w:rsid w:val="00047980"/>
    <w:rsid w:val="000673E5"/>
    <w:rsid w:val="00071ABC"/>
    <w:rsid w:val="000A49E2"/>
    <w:rsid w:val="000A7164"/>
    <w:rsid w:val="000B1A8F"/>
    <w:rsid w:val="000D1995"/>
    <w:rsid w:val="000E730B"/>
    <w:rsid w:val="000F0C10"/>
    <w:rsid w:val="00101C6B"/>
    <w:rsid w:val="001030F6"/>
    <w:rsid w:val="00132F71"/>
    <w:rsid w:val="00140D17"/>
    <w:rsid w:val="00162070"/>
    <w:rsid w:val="00162607"/>
    <w:rsid w:val="00170F52"/>
    <w:rsid w:val="0019093B"/>
    <w:rsid w:val="00194D1E"/>
    <w:rsid w:val="00195B35"/>
    <w:rsid w:val="001A37D4"/>
    <w:rsid w:val="001B12C9"/>
    <w:rsid w:val="001C6C4E"/>
    <w:rsid w:val="00232F79"/>
    <w:rsid w:val="0023535A"/>
    <w:rsid w:val="002378B7"/>
    <w:rsid w:val="00246569"/>
    <w:rsid w:val="00251344"/>
    <w:rsid w:val="00262635"/>
    <w:rsid w:val="00275644"/>
    <w:rsid w:val="002910BD"/>
    <w:rsid w:val="002A500B"/>
    <w:rsid w:val="002C1B2D"/>
    <w:rsid w:val="002D51BC"/>
    <w:rsid w:val="002D7A80"/>
    <w:rsid w:val="002F0EF7"/>
    <w:rsid w:val="00306FA8"/>
    <w:rsid w:val="00314715"/>
    <w:rsid w:val="00321B01"/>
    <w:rsid w:val="00321C3F"/>
    <w:rsid w:val="00342F26"/>
    <w:rsid w:val="00355A2F"/>
    <w:rsid w:val="00360BF9"/>
    <w:rsid w:val="00364A5D"/>
    <w:rsid w:val="00381766"/>
    <w:rsid w:val="003840BD"/>
    <w:rsid w:val="00385AA1"/>
    <w:rsid w:val="003865DD"/>
    <w:rsid w:val="00395C8C"/>
    <w:rsid w:val="003A7A6D"/>
    <w:rsid w:val="003D2E6F"/>
    <w:rsid w:val="003D5396"/>
    <w:rsid w:val="003D5A40"/>
    <w:rsid w:val="003D646C"/>
    <w:rsid w:val="003E484C"/>
    <w:rsid w:val="003E6A1E"/>
    <w:rsid w:val="00400841"/>
    <w:rsid w:val="00404C1D"/>
    <w:rsid w:val="004146A7"/>
    <w:rsid w:val="004209B0"/>
    <w:rsid w:val="00443F1A"/>
    <w:rsid w:val="004536E3"/>
    <w:rsid w:val="00463480"/>
    <w:rsid w:val="0047446F"/>
    <w:rsid w:val="00484FB8"/>
    <w:rsid w:val="0049045F"/>
    <w:rsid w:val="004B1CD9"/>
    <w:rsid w:val="004B4E06"/>
    <w:rsid w:val="004B535A"/>
    <w:rsid w:val="004C6C46"/>
    <w:rsid w:val="004D1D43"/>
    <w:rsid w:val="004D5D71"/>
    <w:rsid w:val="004D7EA1"/>
    <w:rsid w:val="004E0D9A"/>
    <w:rsid w:val="004E46F4"/>
    <w:rsid w:val="004F4D5A"/>
    <w:rsid w:val="004F625F"/>
    <w:rsid w:val="0050243D"/>
    <w:rsid w:val="0050686A"/>
    <w:rsid w:val="00514A3A"/>
    <w:rsid w:val="00524AEF"/>
    <w:rsid w:val="00525C8B"/>
    <w:rsid w:val="005276A8"/>
    <w:rsid w:val="00534233"/>
    <w:rsid w:val="00555940"/>
    <w:rsid w:val="00555E66"/>
    <w:rsid w:val="00595C3F"/>
    <w:rsid w:val="005A2BB9"/>
    <w:rsid w:val="005A7698"/>
    <w:rsid w:val="005C41D7"/>
    <w:rsid w:val="005F33ED"/>
    <w:rsid w:val="005F4740"/>
    <w:rsid w:val="00604B70"/>
    <w:rsid w:val="00647082"/>
    <w:rsid w:val="00654147"/>
    <w:rsid w:val="00662ECA"/>
    <w:rsid w:val="00683BB6"/>
    <w:rsid w:val="006D1580"/>
    <w:rsid w:val="006E2F10"/>
    <w:rsid w:val="006E42CA"/>
    <w:rsid w:val="006F53CA"/>
    <w:rsid w:val="00722705"/>
    <w:rsid w:val="00741CC9"/>
    <w:rsid w:val="00750715"/>
    <w:rsid w:val="00763383"/>
    <w:rsid w:val="007765C2"/>
    <w:rsid w:val="007A5436"/>
    <w:rsid w:val="007C6BC6"/>
    <w:rsid w:val="007D4E1D"/>
    <w:rsid w:val="007D5B8B"/>
    <w:rsid w:val="008108CA"/>
    <w:rsid w:val="008124C5"/>
    <w:rsid w:val="00823D11"/>
    <w:rsid w:val="008623B8"/>
    <w:rsid w:val="00897D5F"/>
    <w:rsid w:val="008E142F"/>
    <w:rsid w:val="0090085B"/>
    <w:rsid w:val="00907CA3"/>
    <w:rsid w:val="00940B0B"/>
    <w:rsid w:val="00943FB6"/>
    <w:rsid w:val="00955761"/>
    <w:rsid w:val="009754C6"/>
    <w:rsid w:val="0098462A"/>
    <w:rsid w:val="0098587C"/>
    <w:rsid w:val="009B03C0"/>
    <w:rsid w:val="009C12F5"/>
    <w:rsid w:val="009C6215"/>
    <w:rsid w:val="009D7761"/>
    <w:rsid w:val="009E6CB8"/>
    <w:rsid w:val="009F78C8"/>
    <w:rsid w:val="009F7AD2"/>
    <w:rsid w:val="00A03F9E"/>
    <w:rsid w:val="00A04BF6"/>
    <w:rsid w:val="00A13F00"/>
    <w:rsid w:val="00A2129D"/>
    <w:rsid w:val="00A2324B"/>
    <w:rsid w:val="00A43B55"/>
    <w:rsid w:val="00A641ED"/>
    <w:rsid w:val="00A65A67"/>
    <w:rsid w:val="00A803B5"/>
    <w:rsid w:val="00A86FAE"/>
    <w:rsid w:val="00A922C2"/>
    <w:rsid w:val="00A92DD0"/>
    <w:rsid w:val="00A96E82"/>
    <w:rsid w:val="00AA389E"/>
    <w:rsid w:val="00AB52DE"/>
    <w:rsid w:val="00AB575D"/>
    <w:rsid w:val="00AD4192"/>
    <w:rsid w:val="00AF1B2A"/>
    <w:rsid w:val="00B105DA"/>
    <w:rsid w:val="00B14A50"/>
    <w:rsid w:val="00B24F25"/>
    <w:rsid w:val="00B32306"/>
    <w:rsid w:val="00B62887"/>
    <w:rsid w:val="00B766CD"/>
    <w:rsid w:val="00B822D0"/>
    <w:rsid w:val="00B9546F"/>
    <w:rsid w:val="00B95622"/>
    <w:rsid w:val="00B96945"/>
    <w:rsid w:val="00B97C2B"/>
    <w:rsid w:val="00BA37CC"/>
    <w:rsid w:val="00BA76CA"/>
    <w:rsid w:val="00BB0484"/>
    <w:rsid w:val="00BD76C6"/>
    <w:rsid w:val="00C104B4"/>
    <w:rsid w:val="00C16AB8"/>
    <w:rsid w:val="00C207BA"/>
    <w:rsid w:val="00C24DF4"/>
    <w:rsid w:val="00C54304"/>
    <w:rsid w:val="00C615C9"/>
    <w:rsid w:val="00C624C5"/>
    <w:rsid w:val="00C73DF3"/>
    <w:rsid w:val="00C73E58"/>
    <w:rsid w:val="00C75B33"/>
    <w:rsid w:val="00C916F1"/>
    <w:rsid w:val="00C9742B"/>
    <w:rsid w:val="00CB37C8"/>
    <w:rsid w:val="00CB7049"/>
    <w:rsid w:val="00CE1729"/>
    <w:rsid w:val="00CE287D"/>
    <w:rsid w:val="00CE5647"/>
    <w:rsid w:val="00CE5B90"/>
    <w:rsid w:val="00CF1CD7"/>
    <w:rsid w:val="00D01AAC"/>
    <w:rsid w:val="00D10E9D"/>
    <w:rsid w:val="00D31EE6"/>
    <w:rsid w:val="00D3449A"/>
    <w:rsid w:val="00D64734"/>
    <w:rsid w:val="00D66F6B"/>
    <w:rsid w:val="00D878AF"/>
    <w:rsid w:val="00D9002A"/>
    <w:rsid w:val="00D9350C"/>
    <w:rsid w:val="00D94AA2"/>
    <w:rsid w:val="00DA18D5"/>
    <w:rsid w:val="00DC2F73"/>
    <w:rsid w:val="00DC5041"/>
    <w:rsid w:val="00DC766F"/>
    <w:rsid w:val="00DF2CBF"/>
    <w:rsid w:val="00E11A44"/>
    <w:rsid w:val="00E1478A"/>
    <w:rsid w:val="00E17EC2"/>
    <w:rsid w:val="00E24488"/>
    <w:rsid w:val="00E32A6B"/>
    <w:rsid w:val="00E3617C"/>
    <w:rsid w:val="00E414D5"/>
    <w:rsid w:val="00E44BDD"/>
    <w:rsid w:val="00E53144"/>
    <w:rsid w:val="00E556DF"/>
    <w:rsid w:val="00E6123B"/>
    <w:rsid w:val="00E63D82"/>
    <w:rsid w:val="00E72E7C"/>
    <w:rsid w:val="00E907E4"/>
    <w:rsid w:val="00EB25B0"/>
    <w:rsid w:val="00EB5E37"/>
    <w:rsid w:val="00EC6531"/>
    <w:rsid w:val="00ED2049"/>
    <w:rsid w:val="00ED2BCC"/>
    <w:rsid w:val="00ED7D4E"/>
    <w:rsid w:val="00EE2C59"/>
    <w:rsid w:val="00EF6B7E"/>
    <w:rsid w:val="00F042E6"/>
    <w:rsid w:val="00F21B38"/>
    <w:rsid w:val="00F2521A"/>
    <w:rsid w:val="00F34F4F"/>
    <w:rsid w:val="00F91C4D"/>
    <w:rsid w:val="00FB368A"/>
    <w:rsid w:val="00FC6BCA"/>
    <w:rsid w:val="00FD60B7"/>
    <w:rsid w:val="00FD65F4"/>
    <w:rsid w:val="00FE10A6"/>
    <w:rsid w:val="00FE2801"/>
    <w:rsid w:val="00FF1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8ECEF"/>
  <w15:chartTrackingRefBased/>
  <w15:docId w15:val="{239AFED1-AE1C-4935-ABF8-E51DE54A8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2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42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42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42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42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42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42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42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42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2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42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42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42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42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42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42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42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42E6"/>
    <w:rPr>
      <w:rFonts w:eastAsiaTheme="majorEastAsia" w:cstheme="majorBidi"/>
      <w:color w:val="272727" w:themeColor="text1" w:themeTint="D8"/>
    </w:rPr>
  </w:style>
  <w:style w:type="paragraph" w:styleId="Title">
    <w:name w:val="Title"/>
    <w:basedOn w:val="Normal"/>
    <w:next w:val="Normal"/>
    <w:link w:val="TitleChar"/>
    <w:uiPriority w:val="10"/>
    <w:qFormat/>
    <w:rsid w:val="00F042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42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42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42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42E6"/>
    <w:pPr>
      <w:spacing w:before="160"/>
      <w:jc w:val="center"/>
    </w:pPr>
    <w:rPr>
      <w:i/>
      <w:iCs/>
      <w:color w:val="404040" w:themeColor="text1" w:themeTint="BF"/>
    </w:rPr>
  </w:style>
  <w:style w:type="character" w:customStyle="1" w:styleId="QuoteChar">
    <w:name w:val="Quote Char"/>
    <w:basedOn w:val="DefaultParagraphFont"/>
    <w:link w:val="Quote"/>
    <w:uiPriority w:val="29"/>
    <w:rsid w:val="00F042E6"/>
    <w:rPr>
      <w:i/>
      <w:iCs/>
      <w:color w:val="404040" w:themeColor="text1" w:themeTint="BF"/>
    </w:rPr>
  </w:style>
  <w:style w:type="paragraph" w:styleId="ListParagraph">
    <w:name w:val="List Paragraph"/>
    <w:basedOn w:val="Normal"/>
    <w:uiPriority w:val="34"/>
    <w:qFormat/>
    <w:rsid w:val="00F042E6"/>
    <w:pPr>
      <w:ind w:left="720"/>
      <w:contextualSpacing/>
    </w:pPr>
  </w:style>
  <w:style w:type="character" w:styleId="IntenseEmphasis">
    <w:name w:val="Intense Emphasis"/>
    <w:basedOn w:val="DefaultParagraphFont"/>
    <w:uiPriority w:val="21"/>
    <w:qFormat/>
    <w:rsid w:val="00F042E6"/>
    <w:rPr>
      <w:i/>
      <w:iCs/>
      <w:color w:val="0F4761" w:themeColor="accent1" w:themeShade="BF"/>
    </w:rPr>
  </w:style>
  <w:style w:type="paragraph" w:styleId="IntenseQuote">
    <w:name w:val="Intense Quote"/>
    <w:basedOn w:val="Normal"/>
    <w:next w:val="Normal"/>
    <w:link w:val="IntenseQuoteChar"/>
    <w:uiPriority w:val="30"/>
    <w:qFormat/>
    <w:rsid w:val="00F042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42E6"/>
    <w:rPr>
      <w:i/>
      <w:iCs/>
      <w:color w:val="0F4761" w:themeColor="accent1" w:themeShade="BF"/>
    </w:rPr>
  </w:style>
  <w:style w:type="character" w:styleId="IntenseReference">
    <w:name w:val="Intense Reference"/>
    <w:basedOn w:val="DefaultParagraphFont"/>
    <w:uiPriority w:val="32"/>
    <w:qFormat/>
    <w:rsid w:val="00F042E6"/>
    <w:rPr>
      <w:b/>
      <w:bCs/>
      <w:smallCaps/>
      <w:color w:val="0F4761" w:themeColor="accent1" w:themeShade="BF"/>
      <w:spacing w:val="5"/>
    </w:rPr>
  </w:style>
  <w:style w:type="character" w:styleId="Hyperlink">
    <w:name w:val="Hyperlink"/>
    <w:basedOn w:val="DefaultParagraphFont"/>
    <w:uiPriority w:val="99"/>
    <w:unhideWhenUsed/>
    <w:rsid w:val="007765C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pubh.2022.1049051" TargetMode="External"/><Relationship Id="rId18" Type="http://schemas.openxmlformats.org/officeDocument/2006/relationships/hyperlink" Target="https://doi.org/10.1016/j.jad.2021.07.005" TargetMode="External"/><Relationship Id="rId26" Type="http://schemas.openxmlformats.org/officeDocument/2006/relationships/hyperlink" Target="https://doi.org/10.1017/S0048577201393198" TargetMode="External"/><Relationship Id="rId39" Type="http://schemas.openxmlformats.org/officeDocument/2006/relationships/hyperlink" Target="https://doi.org/10.1152/physrev.00041.2006" TargetMode="External"/><Relationship Id="rId21" Type="http://schemas.openxmlformats.org/officeDocument/2006/relationships/hyperlink" Target="https://doi.org/10.1016/S2215-0366(14)70312-8" TargetMode="External"/><Relationship Id="rId34" Type="http://schemas.openxmlformats.org/officeDocument/2006/relationships/hyperlink" Target="https://doi.org/10.1521/bumc.2016.80.2.146" TargetMode="External"/><Relationship Id="rId42" Type="http://schemas.openxmlformats.org/officeDocument/2006/relationships/hyperlink" Target="https://doi.org/10.3390/ijerph15020364" TargetMode="External"/><Relationship Id="rId47" Type="http://schemas.openxmlformats.org/officeDocument/2006/relationships/hyperlink" Target="https://doi.org/10.3233/NRE-2001-16402" TargetMode="External"/><Relationship Id="rId50" Type="http://schemas.openxmlformats.org/officeDocument/2006/relationships/hyperlink" Target="https://doi.org/10.1192/bjp.bp.107.037564" TargetMode="External"/><Relationship Id="rId55" Type="http://schemas.openxmlformats.org/officeDocument/2006/relationships/hyperlink" Target="https://doi.org/10.1016/j.cpr.2011.07.007" TargetMode="External"/><Relationship Id="rId63" Type="http://schemas.openxmlformats.org/officeDocument/2006/relationships/theme" Target="theme/theme1.xml"/><Relationship Id="rId7" Type="http://schemas.openxmlformats.org/officeDocument/2006/relationships/hyperlink" Target="https://doi.org/10.1016/j.brat.2017.05.009" TargetMode="External"/><Relationship Id="rId2" Type="http://schemas.openxmlformats.org/officeDocument/2006/relationships/settings" Target="settings.xml"/><Relationship Id="rId16" Type="http://schemas.openxmlformats.org/officeDocument/2006/relationships/hyperlink" Target="https://doi.org/10.1016/j.psyneuen.2022.105761" TargetMode="External"/><Relationship Id="rId29" Type="http://schemas.openxmlformats.org/officeDocument/2006/relationships/hyperlink" Target="https://doi.org/10.1017/s2040174423000181" TargetMode="External"/><Relationship Id="rId11" Type="http://schemas.openxmlformats.org/officeDocument/2006/relationships/hyperlink" Target="https://doi.org/10.1111/j.1475-6811.2012.01399.x" TargetMode="External"/><Relationship Id="rId24" Type="http://schemas.openxmlformats.org/officeDocument/2006/relationships/hyperlink" Target="https://doi.org/10.1007/s43076-022-00223-1" TargetMode="External"/><Relationship Id="rId32" Type="http://schemas.openxmlformats.org/officeDocument/2006/relationships/hyperlink" Target="https://doi.org/10.1037/0022-006X.73.4.658" TargetMode="External"/><Relationship Id="rId37" Type="http://schemas.openxmlformats.org/officeDocument/2006/relationships/hyperlink" Target="https://doi.org/10.1007/s40653-022-00436-7" TargetMode="External"/><Relationship Id="rId40" Type="http://schemas.openxmlformats.org/officeDocument/2006/relationships/hyperlink" Target="https://doi.org/10.1186/s12889-021-10555-9" TargetMode="External"/><Relationship Id="rId45" Type="http://schemas.openxmlformats.org/officeDocument/2006/relationships/hyperlink" Target="https://doi.org/10.1016/j.mhp.2024.200388" TargetMode="External"/><Relationship Id="rId53" Type="http://schemas.openxmlformats.org/officeDocument/2006/relationships/hyperlink" Target="https://doi.org/10.1002/14651858.CD012488" TargetMode="External"/><Relationship Id="rId58" Type="http://schemas.openxmlformats.org/officeDocument/2006/relationships/hyperlink" Target="https://doi.org/10.1002/jclp.23284" TargetMode="External"/><Relationship Id="rId5" Type="http://schemas.openxmlformats.org/officeDocument/2006/relationships/hyperlink" Target="https://doi.org/10.1111/jcpp.12841" TargetMode="External"/><Relationship Id="rId61" Type="http://schemas.openxmlformats.org/officeDocument/2006/relationships/hyperlink" Target="https://doi.org/10.1007/978-0-387-79948-3_1175" TargetMode="External"/><Relationship Id="rId19" Type="http://schemas.openxmlformats.org/officeDocument/2006/relationships/hyperlink" Target="https://doi.org/10.1016/j.neubiorev.2019.01.007" TargetMode="External"/><Relationship Id="rId14" Type="http://schemas.openxmlformats.org/officeDocument/2006/relationships/hyperlink" Target="https://doi.org/10.1186/s13033-020-00356-9" TargetMode="External"/><Relationship Id="rId22" Type="http://schemas.openxmlformats.org/officeDocument/2006/relationships/hyperlink" Target="https://doi.org/10.1016/S0749-3797(98)00017-8" TargetMode="External"/><Relationship Id="rId27" Type="http://schemas.openxmlformats.org/officeDocument/2006/relationships/hyperlink" Target="https://doi.org/10.1136/gpsych-2021-100741" TargetMode="External"/><Relationship Id="rId30" Type="http://schemas.openxmlformats.org/officeDocument/2006/relationships/hyperlink" Target="https://doi.org/10.1016/j.janxdis.2018.03.004" TargetMode="External"/><Relationship Id="rId35" Type="http://schemas.openxmlformats.org/officeDocument/2006/relationships/hyperlink" Target="https://doi.org/10.1016/j.psyneuen.2019.05.002" TargetMode="External"/><Relationship Id="rId43" Type="http://schemas.openxmlformats.org/officeDocument/2006/relationships/hyperlink" Target="https://pmc.ncbi.nlm.nih.gov/articles/PMC2921311/" TargetMode="External"/><Relationship Id="rId48" Type="http://schemas.openxmlformats.org/officeDocument/2006/relationships/hyperlink" Target="https://doi.org/10.1016/j.rcsop.2022.100205" TargetMode="External"/><Relationship Id="rId56" Type="http://schemas.openxmlformats.org/officeDocument/2006/relationships/hyperlink" Target="https://doi.org/10.1038/s41380-023-02202-z" TargetMode="External"/><Relationship Id="rId8" Type="http://schemas.openxmlformats.org/officeDocument/2006/relationships/hyperlink" Target="https://doi.org/10.2196/45305" TargetMode="External"/><Relationship Id="rId51" Type="http://schemas.openxmlformats.org/officeDocument/2006/relationships/hyperlink" Target="https://psycnet.apa.org/doi/10.1037/0022-006X.75.2.316" TargetMode="External"/><Relationship Id="rId3" Type="http://schemas.openxmlformats.org/officeDocument/2006/relationships/webSettings" Target="webSettings.xml"/><Relationship Id="rId12" Type="http://schemas.openxmlformats.org/officeDocument/2006/relationships/hyperlink" Target="https://doi.org/10.3389/fpsyt.2022.955871" TargetMode="External"/><Relationship Id="rId17" Type="http://schemas.openxmlformats.org/officeDocument/2006/relationships/hyperlink" Target="https://doi.org/10.1016/j.chc.2014.01.002" TargetMode="External"/><Relationship Id="rId25" Type="http://schemas.openxmlformats.org/officeDocument/2006/relationships/hyperlink" Target="https://doi.org/10.1080/16506073.2024.2373784" TargetMode="External"/><Relationship Id="rId33" Type="http://schemas.openxmlformats.org/officeDocument/2006/relationships/hyperlink" Target="https://doi.org/10.1080/15388220.2017.1296771" TargetMode="External"/><Relationship Id="rId38" Type="http://schemas.openxmlformats.org/officeDocument/2006/relationships/hyperlink" Target="https://doi.org/10.3389/fpsyt.2022.841734" TargetMode="External"/><Relationship Id="rId46" Type="http://schemas.openxmlformats.org/officeDocument/2006/relationships/hyperlink" Target="https://doi.org/10.1002/acr.20152" TargetMode="External"/><Relationship Id="rId59" Type="http://schemas.openxmlformats.org/officeDocument/2006/relationships/hyperlink" Target="https://doi.org/10.1136/archdischild-2014-306667" TargetMode="External"/><Relationship Id="rId20" Type="http://schemas.openxmlformats.org/officeDocument/2006/relationships/hyperlink" Target="https://doi.org/10.5498/wjp.v2.i1.13" TargetMode="External"/><Relationship Id="rId41" Type="http://schemas.openxmlformats.org/officeDocument/2006/relationships/hyperlink" Target="https://doi.org/10.1177/0033294118781855" TargetMode="External"/><Relationship Id="rId54" Type="http://schemas.openxmlformats.org/officeDocument/2006/relationships/hyperlink" Target="https://doi.org/10.1017/s0954579419000282" TargetMode="External"/><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55517/mrr.1419278" TargetMode="External"/><Relationship Id="rId15" Type="http://schemas.openxmlformats.org/officeDocument/2006/relationships/hyperlink" Target="https://doi.org/10.1016/j.brat.2014.04.006" TargetMode="External"/><Relationship Id="rId23" Type="http://schemas.openxmlformats.org/officeDocument/2006/relationships/hyperlink" Target="https://doi.org/10.3390/children1030390" TargetMode="External"/><Relationship Id="rId28" Type="http://schemas.openxmlformats.org/officeDocument/2006/relationships/hyperlink" Target="https://doi.org/10.1007/s40653-021-00409-2" TargetMode="External"/><Relationship Id="rId36" Type="http://schemas.openxmlformats.org/officeDocument/2006/relationships/hyperlink" Target="https://doi.org/10.1186/s13034-022-00512-8" TargetMode="External"/><Relationship Id="rId49" Type="http://schemas.openxmlformats.org/officeDocument/2006/relationships/hyperlink" Target="https://doi.org/10.3389/fnbeh.2020.601939" TargetMode="External"/><Relationship Id="rId57" Type="http://schemas.openxmlformats.org/officeDocument/2006/relationships/hyperlink" Target="https://doi.org/10.1111/jcpp.13738" TargetMode="External"/><Relationship Id="rId10" Type="http://schemas.openxmlformats.org/officeDocument/2006/relationships/hyperlink" Target="https://doi.org/10.1038/s41398-022-02178-4" TargetMode="External"/><Relationship Id="rId31" Type="http://schemas.openxmlformats.org/officeDocument/2006/relationships/hyperlink" Target="https://doi.org/10.1007/s10608-012-9476-1" TargetMode="External"/><Relationship Id="rId44" Type="http://schemas.openxmlformats.org/officeDocument/2006/relationships/hyperlink" Target="https://doi.org/10.3389/fpsyt.2021.628252" TargetMode="External"/><Relationship Id="rId52" Type="http://schemas.openxmlformats.org/officeDocument/2006/relationships/hyperlink" Target="https://doi.org/10.1016/s0149-7634(03)00007-1" TargetMode="External"/><Relationship Id="rId60" Type="http://schemas.openxmlformats.org/officeDocument/2006/relationships/hyperlink" Target="https://doi.org/10.2147/PRBM.S353778" TargetMode="External"/><Relationship Id="rId4" Type="http://schemas.openxmlformats.org/officeDocument/2006/relationships/hyperlink" Target="https://doi.org/10.1016/j.cpr.2009.11.004" TargetMode="External"/><Relationship Id="rId9" Type="http://schemas.openxmlformats.org/officeDocument/2006/relationships/hyperlink" Target="https://doi.org/10.1016/j.paed.2017.12.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2224</TotalTime>
  <Pages>16</Pages>
  <Words>5592</Words>
  <Characters>31878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Afsana Begum (2204410)</dc:creator>
  <cp:keywords/>
  <dc:description/>
  <cp:lastModifiedBy>Afsana Begum (2204410)</cp:lastModifiedBy>
  <cp:revision>229</cp:revision>
  <dcterms:created xsi:type="dcterms:W3CDTF">2025-02-07T14:15:00Z</dcterms:created>
  <dcterms:modified xsi:type="dcterms:W3CDTF">2025-03-07T12:34:00Z</dcterms:modified>
</cp:coreProperties>
</file>